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7355" w14:textId="77777777" w:rsidR="00C94DC6" w:rsidRPr="00363917" w:rsidRDefault="00000000" w:rsidP="00363917">
      <w:pPr>
        <w:tabs>
          <w:tab w:val="left" w:pos="142"/>
        </w:tabs>
        <w:jc w:val="center"/>
        <w:rPr>
          <w:rFonts w:cs="Times New Roman"/>
          <w:szCs w:val="24"/>
        </w:rPr>
      </w:pPr>
      <w:r w:rsidRPr="00363917">
        <w:rPr>
          <w:rFonts w:cs="Times New Roman"/>
          <w:b/>
          <w:szCs w:val="24"/>
        </w:rPr>
        <w:t>IMPLEMENTAÇÃO E RESULTADOS DA POLÍTICA PÚBLICA DE ACESSO A MERCADOS PARA MICRO E PEQUENAS EMPRESAS: EVIDÊNCIAS PRELIMINARES DAS LICITAÇÕES DE SERVIÇOS NO SISTEMA DE PREGÃO ONLINE BANRISUL (2015-2025)</w:t>
      </w:r>
    </w:p>
    <w:p w14:paraId="515A59D2" w14:textId="77777777" w:rsidR="00C94DC6" w:rsidRPr="00363917" w:rsidRDefault="00000000" w:rsidP="00363917">
      <w:pPr>
        <w:tabs>
          <w:tab w:val="left" w:pos="142"/>
        </w:tabs>
        <w:rPr>
          <w:rFonts w:cs="Times New Roman"/>
          <w:szCs w:val="24"/>
        </w:rPr>
      </w:pPr>
      <w:r w:rsidRPr="00363917">
        <w:rPr>
          <w:rFonts w:cs="Times New Roman"/>
          <w:b/>
          <w:szCs w:val="24"/>
        </w:rPr>
        <w:t xml:space="preserve">Autora: </w:t>
      </w:r>
      <w:r w:rsidRPr="00363917">
        <w:rPr>
          <w:rFonts w:cs="Times New Roman"/>
          <w:szCs w:val="24"/>
        </w:rPr>
        <w:t>Graziela Fernanda Bonato</w:t>
      </w:r>
    </w:p>
    <w:p w14:paraId="1234B43E" w14:textId="77777777" w:rsidR="00C94DC6" w:rsidRPr="00363917" w:rsidRDefault="00000000" w:rsidP="00363917">
      <w:pPr>
        <w:tabs>
          <w:tab w:val="left" w:pos="142"/>
        </w:tabs>
        <w:rPr>
          <w:rFonts w:cs="Times New Roman"/>
          <w:szCs w:val="24"/>
        </w:rPr>
      </w:pPr>
      <w:r w:rsidRPr="00363917">
        <w:rPr>
          <w:rFonts w:cs="Times New Roman"/>
          <w:b/>
          <w:szCs w:val="24"/>
        </w:rPr>
        <w:t xml:space="preserve">Instituição da autora: </w:t>
      </w:r>
      <w:r w:rsidRPr="00363917">
        <w:rPr>
          <w:rFonts w:cs="Times New Roman"/>
          <w:szCs w:val="24"/>
        </w:rPr>
        <w:t>Universidade Federal do Rio Grande do Sul – UFRGS</w:t>
      </w:r>
    </w:p>
    <w:p w14:paraId="0AF37808" w14:textId="77777777" w:rsidR="00C94DC6" w:rsidRPr="00363917" w:rsidRDefault="00000000" w:rsidP="00363917">
      <w:pPr>
        <w:tabs>
          <w:tab w:val="left" w:pos="142"/>
        </w:tabs>
        <w:rPr>
          <w:rFonts w:cs="Times New Roman"/>
          <w:szCs w:val="24"/>
        </w:rPr>
      </w:pPr>
      <w:r w:rsidRPr="00363917">
        <w:rPr>
          <w:rFonts w:cs="Times New Roman"/>
          <w:b/>
          <w:szCs w:val="24"/>
        </w:rPr>
        <w:t xml:space="preserve">Instituição onde a pesquisa está sendo realizada: </w:t>
      </w:r>
      <w:r w:rsidRPr="00363917">
        <w:rPr>
          <w:rFonts w:cs="Times New Roman"/>
          <w:szCs w:val="24"/>
        </w:rPr>
        <w:t>Programa de Pós-Graduação em Políticas Públicas da Universidade Federal do Rio Grande do Sul – PPGPP/UFRGS</w:t>
      </w:r>
    </w:p>
    <w:p w14:paraId="395085A7" w14:textId="77777777" w:rsidR="00C94DC6" w:rsidRPr="00363917" w:rsidRDefault="00000000" w:rsidP="00363917">
      <w:pPr>
        <w:tabs>
          <w:tab w:val="left" w:pos="142"/>
        </w:tabs>
        <w:rPr>
          <w:rFonts w:cs="Times New Roman"/>
          <w:szCs w:val="24"/>
        </w:rPr>
      </w:pPr>
      <w:r w:rsidRPr="00363917">
        <w:rPr>
          <w:rFonts w:cs="Times New Roman"/>
          <w:b/>
          <w:szCs w:val="24"/>
        </w:rPr>
        <w:t xml:space="preserve">Eixo temático: </w:t>
      </w:r>
      <w:r w:rsidRPr="00363917">
        <w:rPr>
          <w:rFonts w:cs="Times New Roman"/>
          <w:szCs w:val="24"/>
        </w:rPr>
        <w:t>Tema 5 – Políticas de Estado e de Governo</w:t>
      </w:r>
    </w:p>
    <w:p w14:paraId="61241ABA" w14:textId="77777777" w:rsidR="00C94DC6" w:rsidRPr="00363917" w:rsidRDefault="00000000" w:rsidP="00363917">
      <w:pPr>
        <w:pStyle w:val="Ttulo1"/>
        <w:tabs>
          <w:tab w:val="left" w:pos="142"/>
        </w:tabs>
        <w:rPr>
          <w:rFonts w:ascii="Times New Roman" w:hAnsi="Times New Roman" w:cs="Times New Roman"/>
          <w:color w:val="auto"/>
          <w:sz w:val="24"/>
          <w:szCs w:val="24"/>
        </w:rPr>
      </w:pPr>
      <w:r w:rsidRPr="00363917">
        <w:rPr>
          <w:rFonts w:ascii="Times New Roman" w:eastAsia="Times New Roman" w:hAnsi="Times New Roman" w:cs="Times New Roman"/>
          <w:color w:val="auto"/>
          <w:sz w:val="24"/>
          <w:szCs w:val="24"/>
        </w:rPr>
        <w:t>RESUMO</w:t>
      </w:r>
    </w:p>
    <w:p w14:paraId="41224137" w14:textId="77777777" w:rsidR="00C94DC6" w:rsidRPr="00363917" w:rsidRDefault="00000000" w:rsidP="00363917">
      <w:pPr>
        <w:tabs>
          <w:tab w:val="left" w:pos="142"/>
        </w:tabs>
        <w:spacing w:line="240" w:lineRule="auto"/>
        <w:jc w:val="both"/>
        <w:rPr>
          <w:rFonts w:cs="Times New Roman"/>
          <w:szCs w:val="24"/>
        </w:rPr>
      </w:pPr>
      <w:r w:rsidRPr="00363917">
        <w:rPr>
          <w:rFonts w:cs="Times New Roman"/>
          <w:szCs w:val="24"/>
        </w:rPr>
        <w:t>O artigo apresenta resultados preliminares de pesquisa em andamento sobre a política pública de acesso a mercados para micro e pequenas empresas (MPEs) no Brasil, tomando como foco os instrumentos de tratamento diferenciado previstos na Lei Complementar nº 123/2006 e sua rearticulação no regime da Lei nº 14.133/2021. O recorte empírico concentra-se nas licitações eletrônicas de serviços realizadas por meio do Sistema de Pregão Online Banrisul, no Rio Grande do Sul, em perspectiva comparativa entre o primeiro trimestre de 2015 e o primeiro trimestre de 2025. O estudo adota abordagem quantitativa, descritiva e analítica, ancorada na avaliação de resultados de políticas públicas, com base em dados administrativos e documentais. Os achados preliminares indicam expansão expressiva do uso da plataforma no período, com a passagem de 185 certames de serviços, em 2015, para mais de 300 certames homologados em 2025, além de confirmarem a viabilidade analítica do pareamento entre dados de licitações e dados cadastrais das empresas. O argumento central é que a efetividade da política não depende apenas da densidade do desenho normativo, mas também da forma como os instrumentos pró-MPE são apropriados por burocracias concretas, em contextos federativos marcados por assimetrias de capacidade estatal. Ao concentrar-se em uma plataforma regional ainda pouco explorada na literatura e no segmento de serviços, o estudo busca contribuir para o debate em direito e políticas públicas sobre avaliação de resultados, implementação, federalismo, compras governamentais e inclusão produtiva.</w:t>
      </w:r>
    </w:p>
    <w:p w14:paraId="5A2CA72E" w14:textId="0D229C2A" w:rsidR="00C94DC6" w:rsidRPr="00363917" w:rsidRDefault="00000000" w:rsidP="00363917">
      <w:pPr>
        <w:tabs>
          <w:tab w:val="left" w:pos="142"/>
        </w:tabs>
        <w:jc w:val="both"/>
        <w:rPr>
          <w:rFonts w:cs="Times New Roman"/>
          <w:szCs w:val="24"/>
        </w:rPr>
      </w:pPr>
      <w:r w:rsidRPr="00363917">
        <w:rPr>
          <w:rFonts w:cs="Times New Roman"/>
          <w:b/>
          <w:szCs w:val="24"/>
        </w:rPr>
        <w:t xml:space="preserve">Palavras-chave: </w:t>
      </w:r>
      <w:r w:rsidRPr="00363917">
        <w:rPr>
          <w:rFonts w:cs="Times New Roman"/>
          <w:szCs w:val="24"/>
        </w:rPr>
        <w:t>micro e pequenas empresas; compras públicas; avaliação de políticas públicas; implementação</w:t>
      </w:r>
      <w:r w:rsidR="00363917">
        <w:rPr>
          <w:rFonts w:cs="Times New Roman"/>
          <w:szCs w:val="24"/>
        </w:rPr>
        <w:t>.</w:t>
      </w:r>
    </w:p>
    <w:p w14:paraId="7E16857F" w14:textId="77777777" w:rsidR="00C94DC6" w:rsidRPr="00363917" w:rsidRDefault="00000000" w:rsidP="00363917">
      <w:pPr>
        <w:pStyle w:val="Ttulo1"/>
        <w:tabs>
          <w:tab w:val="left" w:pos="142"/>
        </w:tabs>
        <w:rPr>
          <w:rFonts w:ascii="Times New Roman" w:hAnsi="Times New Roman" w:cs="Times New Roman"/>
          <w:color w:val="auto"/>
          <w:sz w:val="24"/>
          <w:szCs w:val="24"/>
        </w:rPr>
      </w:pPr>
      <w:r w:rsidRPr="00363917">
        <w:rPr>
          <w:rFonts w:ascii="Times New Roman" w:eastAsia="Times New Roman" w:hAnsi="Times New Roman" w:cs="Times New Roman"/>
          <w:color w:val="auto"/>
          <w:sz w:val="24"/>
          <w:szCs w:val="24"/>
        </w:rPr>
        <w:t>1 INTRODUÇÃO</w:t>
      </w:r>
    </w:p>
    <w:p w14:paraId="410C47A8" w14:textId="77777777" w:rsidR="00C94DC6" w:rsidRPr="00363917" w:rsidRDefault="00000000"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1.1 Contextualização e delimitação do estudo</w:t>
      </w:r>
    </w:p>
    <w:p w14:paraId="0219371F"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Este projeto tem como tema a política pública de acesso a mercados para micro e pequenas empresas (MPEs) no Brasil, tomando como eixo analítico os instrumentos de </w:t>
      </w:r>
      <w:r w:rsidRPr="00363917">
        <w:rPr>
          <w:rFonts w:cs="Times New Roman"/>
          <w:szCs w:val="24"/>
        </w:rPr>
        <w:br/>
        <w:t xml:space="preserve">tratamento diferenciado previstos na Lei Complementar nº 123/2006 e na Lei nº 14.133/2021. </w:t>
      </w:r>
      <w:r w:rsidRPr="00363917">
        <w:rPr>
          <w:rFonts w:cs="Times New Roman"/>
          <w:szCs w:val="24"/>
        </w:rPr>
        <w:br/>
      </w:r>
      <w:r w:rsidRPr="00363917">
        <w:rPr>
          <w:rFonts w:cs="Times New Roman"/>
          <w:szCs w:val="24"/>
        </w:rPr>
        <w:lastRenderedPageBreak/>
        <w:t xml:space="preserve">Embora se trate de uma política de alcance nacional, o recorte empírico concentra-se em um </w:t>
      </w:r>
      <w:r w:rsidRPr="00363917">
        <w:rPr>
          <w:rFonts w:cs="Times New Roman"/>
          <w:szCs w:val="24"/>
        </w:rPr>
        <w:br/>
        <w:t xml:space="preserve">contexto subnacional específico, o Rio Grande do Sul, e em um instrumento bem delimitado de </w:t>
      </w:r>
      <w:r w:rsidRPr="00363917">
        <w:rPr>
          <w:rFonts w:cs="Times New Roman"/>
          <w:szCs w:val="24"/>
        </w:rPr>
        <w:br/>
        <w:t xml:space="preserve">contratação: as licitações eletrônicas de serviços realizadas por meio do Sistema de Pregão </w:t>
      </w:r>
      <w:r w:rsidRPr="00363917">
        <w:rPr>
          <w:rFonts w:cs="Times New Roman"/>
          <w:szCs w:val="24"/>
        </w:rPr>
        <w:br/>
        <w:t>Online Banrisul.</w:t>
      </w:r>
    </w:p>
    <w:p w14:paraId="17DEC519"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As MPEs têm presença marcante na estrutura produtiva brasileira, respondendo por </w:t>
      </w:r>
      <w:r w:rsidRPr="00363917">
        <w:rPr>
          <w:rFonts w:cs="Times New Roman"/>
          <w:szCs w:val="24"/>
        </w:rPr>
        <w:br/>
        <w:t xml:space="preserve">mais de 99% dos empreendimentos formais e por parcela significativa do emprego e do PIB </w:t>
      </w:r>
      <w:r w:rsidRPr="00363917">
        <w:rPr>
          <w:rFonts w:cs="Times New Roman"/>
          <w:szCs w:val="24"/>
        </w:rPr>
        <w:br/>
        <w:t xml:space="preserve">(SEBRAE, 2023). Essa capilaridade confere às políticas de acesso a mercados um papel </w:t>
      </w:r>
      <w:r w:rsidRPr="00363917">
        <w:rPr>
          <w:rFonts w:cs="Times New Roman"/>
          <w:szCs w:val="24"/>
        </w:rPr>
        <w:br/>
        <w:t xml:space="preserve">estratégico, na medida em que o po der de compra do Estado pode funcionar como alavanca </w:t>
      </w:r>
      <w:r w:rsidRPr="00363917">
        <w:rPr>
          <w:rFonts w:cs="Times New Roman"/>
          <w:szCs w:val="24"/>
        </w:rPr>
        <w:br/>
        <w:t xml:space="preserve">para a inclusão produtiva de pequenos negócios e para a dinamização de economias locais. A </w:t>
      </w:r>
      <w:r w:rsidRPr="00363917">
        <w:rPr>
          <w:rFonts w:cs="Times New Roman"/>
          <w:szCs w:val="24"/>
        </w:rPr>
        <w:br/>
        <w:t xml:space="preserve">LC nº 123/2006 e, mais recentemente, a Lei nº 14.133/2021, inserem as compras pú blicas no </w:t>
      </w:r>
      <w:r w:rsidRPr="00363917">
        <w:rPr>
          <w:rFonts w:cs="Times New Roman"/>
          <w:szCs w:val="24"/>
        </w:rPr>
        <w:br/>
        <w:t xml:space="preserve">núcleo dessa política pública, ao preverem mecanismos como licitações exclusivas, cotas </w:t>
      </w:r>
      <w:r w:rsidRPr="00363917">
        <w:rPr>
          <w:rFonts w:cs="Times New Roman"/>
          <w:szCs w:val="24"/>
        </w:rPr>
        <w:br/>
        <w:t xml:space="preserve">reservadas, subcontratação obrigatória de MPEs e critérios de desempate pró-MPE, </w:t>
      </w:r>
      <w:r w:rsidRPr="00363917">
        <w:rPr>
          <w:rFonts w:cs="Times New Roman"/>
          <w:szCs w:val="24"/>
        </w:rPr>
        <w:br/>
        <w:t xml:space="preserve">transformando a demanda estatal em instrumento deliberado de suporte. </w:t>
      </w:r>
      <w:r w:rsidRPr="00363917">
        <w:rPr>
          <w:rFonts w:cs="Times New Roman"/>
          <w:szCs w:val="24"/>
        </w:rPr>
        <w:br/>
        <w:t xml:space="preserve">Entretanto, a literatura alerta que a mera existência de dispositivos legais não garante, </w:t>
      </w:r>
      <w:r w:rsidRPr="00363917">
        <w:rPr>
          <w:rFonts w:cs="Times New Roman"/>
          <w:szCs w:val="24"/>
        </w:rPr>
        <w:br/>
        <w:t xml:space="preserve">por si só, a inclusão efetiva de MPEs nas compras governamentais (PEREIRA, 2015). Em um </w:t>
      </w:r>
      <w:r w:rsidRPr="00363917">
        <w:rPr>
          <w:rFonts w:cs="Times New Roman"/>
          <w:szCs w:val="24"/>
        </w:rPr>
        <w:br/>
        <w:t xml:space="preserve">arranjo federativo marcado por fortes assimetrias de capacidade institucional, os resultados da </w:t>
      </w:r>
      <w:r w:rsidRPr="00363917">
        <w:rPr>
          <w:rFonts w:cs="Times New Roman"/>
          <w:szCs w:val="24"/>
        </w:rPr>
        <w:br/>
        <w:t xml:space="preserve">política dependem da forma como órgãos contratantes interpretam, incorporam e </w:t>
      </w:r>
      <w:r w:rsidRPr="00363917">
        <w:rPr>
          <w:rFonts w:cs="Times New Roman"/>
          <w:szCs w:val="24"/>
        </w:rPr>
        <w:br/>
        <w:t xml:space="preserve">operacionalizam esses instrumentos no cotidiano dos processos licitatórios. É nesse ponto que </w:t>
      </w:r>
      <w:r w:rsidRPr="00363917">
        <w:rPr>
          <w:rFonts w:cs="Times New Roman"/>
          <w:szCs w:val="24"/>
        </w:rPr>
        <w:br/>
        <w:t xml:space="preserve">se coloca a necessidade de avaliação de resultados, entendida aqui como a análise da relação </w:t>
      </w:r>
      <w:r w:rsidRPr="00363917">
        <w:rPr>
          <w:rFonts w:cs="Times New Roman"/>
          <w:szCs w:val="24"/>
        </w:rPr>
        <w:br/>
        <w:t xml:space="preserve">entre objetivos declarados (ampliar a participação e a competitividade das MPEs nas compras </w:t>
      </w:r>
      <w:r w:rsidRPr="00363917">
        <w:rPr>
          <w:rFonts w:cs="Times New Roman"/>
          <w:szCs w:val="24"/>
        </w:rPr>
        <w:br/>
        <w:t xml:space="preserve">públicas) e resultados observados em contextos concretos de contratação. </w:t>
      </w:r>
    </w:p>
    <w:p w14:paraId="63BB5D21"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Com esse pano de fundo, o projeto delimita seu foco empírico na comparação entre o </w:t>
      </w:r>
      <w:r w:rsidRPr="00363917">
        <w:rPr>
          <w:rFonts w:cs="Times New Roman"/>
          <w:szCs w:val="24"/>
        </w:rPr>
        <w:br/>
        <w:t xml:space="preserve">primeiro trimestre de 2015 e o primeiro trimestre de 2025, considerando exclusivamente os </w:t>
      </w:r>
      <w:r w:rsidRPr="00363917">
        <w:rPr>
          <w:rFonts w:cs="Times New Roman"/>
          <w:szCs w:val="24"/>
        </w:rPr>
        <w:br/>
        <w:t xml:space="preserve">pregões eletrônicos de serviços do Sistema de Pregão Online Banrisul. Em 2015, o re gime de </w:t>
      </w:r>
      <w:r w:rsidRPr="00363917">
        <w:rPr>
          <w:rFonts w:cs="Times New Roman"/>
          <w:szCs w:val="24"/>
        </w:rPr>
        <w:br/>
        <w:t xml:space="preserve">contratações públicas ainda era estruturado pela combinação entre a Lei nº 8.666/1993, a Lei </w:t>
      </w:r>
      <w:r w:rsidRPr="00363917">
        <w:rPr>
          <w:rFonts w:cs="Times New Roman"/>
          <w:szCs w:val="24"/>
        </w:rPr>
        <w:br/>
        <w:t xml:space="preserve">do Pregão (Lei nº 10.520/2002) e o R egime Diferenciado de Contratações R DC (Lei nº </w:t>
      </w:r>
      <w:r w:rsidRPr="00363917">
        <w:rPr>
          <w:rFonts w:cs="Times New Roman"/>
          <w:szCs w:val="24"/>
        </w:rPr>
        <w:br/>
        <w:t xml:space="preserve">12.462/2011), em um ambiente regulatório fragmentado no qual os dispositivos pró-MPE da </w:t>
      </w:r>
      <w:r w:rsidRPr="00363917">
        <w:rPr>
          <w:rFonts w:cs="Times New Roman"/>
          <w:szCs w:val="24"/>
        </w:rPr>
        <w:br/>
        <w:t xml:space="preserve">LC nº 123/2006 conviviam com interpretações heterogêneas e forte variação federativa. Em </w:t>
      </w:r>
      <w:r w:rsidRPr="00363917">
        <w:rPr>
          <w:rFonts w:cs="Times New Roman"/>
          <w:szCs w:val="24"/>
        </w:rPr>
        <w:br/>
        <w:t xml:space="preserve">contraste, o início de 2025 corresponde ao primeiro ciclo completo após a vigência obrigatória </w:t>
      </w:r>
      <w:r w:rsidRPr="00363917">
        <w:rPr>
          <w:rFonts w:cs="Times New Roman"/>
          <w:szCs w:val="24"/>
        </w:rPr>
        <w:br/>
        <w:t xml:space="preserve">da Lei nº 14.133/2021, que integra de modo explícito o microssistema de tratamento favorecido </w:t>
      </w:r>
      <w:r w:rsidRPr="00363917">
        <w:rPr>
          <w:rFonts w:cs="Times New Roman"/>
          <w:szCs w:val="24"/>
        </w:rPr>
        <w:br/>
        <w:t xml:space="preserve">às MPEs e reforça exigências de planejamento, governança e transparência. </w:t>
      </w:r>
      <w:r w:rsidRPr="00363917">
        <w:rPr>
          <w:rFonts w:cs="Times New Roman"/>
          <w:szCs w:val="24"/>
        </w:rPr>
        <w:br/>
      </w:r>
      <w:r w:rsidRPr="00363917">
        <w:rPr>
          <w:rFonts w:cs="Times New Roman"/>
          <w:szCs w:val="24"/>
        </w:rPr>
        <w:lastRenderedPageBreak/>
        <w:t xml:space="preserve">Os dados preliminares indicam que, entre o primeiro trimestre de 2015 e o primeiro </w:t>
      </w:r>
      <w:r w:rsidRPr="00363917">
        <w:rPr>
          <w:rFonts w:cs="Times New Roman"/>
          <w:szCs w:val="24"/>
        </w:rPr>
        <w:br/>
        <w:t xml:space="preserve">trimestre de 2025, o número de licitações eletrônicas de serviços no Sistema de Pregão Online </w:t>
      </w:r>
      <w:r w:rsidRPr="00363917">
        <w:rPr>
          <w:rFonts w:cs="Times New Roman"/>
          <w:szCs w:val="24"/>
        </w:rPr>
        <w:br/>
        <w:t xml:space="preserve">Banrisul passou de 185 para mais de 3 75 certames homologados, sugerindo uma expansão </w:t>
      </w:r>
      <w:r w:rsidRPr="00363917">
        <w:rPr>
          <w:rFonts w:cs="Times New Roman"/>
          <w:szCs w:val="24"/>
        </w:rPr>
        <w:br/>
        <w:t xml:space="preserve">significativa do uso da plataforma como instrumento de contratação pública. Essa variação </w:t>
      </w:r>
      <w:r w:rsidRPr="00363917">
        <w:rPr>
          <w:rFonts w:cs="Times New Roman"/>
          <w:szCs w:val="24"/>
        </w:rPr>
        <w:br/>
        <w:t xml:space="preserve">quantitativa, aliada à possibilidade de parear informações dos certames com dados cadastrais </w:t>
      </w:r>
      <w:r w:rsidRPr="00363917">
        <w:rPr>
          <w:rFonts w:cs="Times New Roman"/>
          <w:szCs w:val="24"/>
        </w:rPr>
        <w:br/>
        <w:t xml:space="preserve">das empresas (CNPJ, data de constituição, porte, CNAE e município-sede), cria condições </w:t>
      </w:r>
      <w:r w:rsidRPr="00363917">
        <w:rPr>
          <w:rFonts w:cs="Times New Roman"/>
          <w:szCs w:val="24"/>
        </w:rPr>
        <w:br/>
        <w:t xml:space="preserve">favoráveis para uma avaliação empírica de resultados centrada em duas dimensões principais: </w:t>
      </w:r>
      <w:r w:rsidRPr="00363917">
        <w:rPr>
          <w:rFonts w:cs="Times New Roman"/>
          <w:szCs w:val="24"/>
        </w:rPr>
        <w:br/>
        <w:t xml:space="preserve">(i) a participação de microempresas, empresas de pequeno porte e demais empresas nas </w:t>
      </w:r>
      <w:r w:rsidRPr="00363917">
        <w:rPr>
          <w:rFonts w:cs="Times New Roman"/>
          <w:szCs w:val="24"/>
        </w:rPr>
        <w:br/>
        <w:t xml:space="preserve">licitações de serviços; e (ii) a associação entre formaliz ação recente das MPEs, participação e </w:t>
      </w:r>
      <w:r w:rsidRPr="00363917">
        <w:rPr>
          <w:rFonts w:cs="Times New Roman"/>
          <w:szCs w:val="24"/>
        </w:rPr>
        <w:br/>
        <w:t xml:space="preserve">sucesso licitatório, especialmente no ciclo de 2025. </w:t>
      </w:r>
    </w:p>
    <w:p w14:paraId="0F25CEE0" w14:textId="25F095A7" w:rsidR="00C94DC6" w:rsidRPr="00363917" w:rsidRDefault="00000000" w:rsidP="00363917">
      <w:pPr>
        <w:tabs>
          <w:tab w:val="left" w:pos="142"/>
        </w:tabs>
        <w:ind w:firstLine="851"/>
        <w:jc w:val="both"/>
        <w:rPr>
          <w:rFonts w:cs="Times New Roman"/>
          <w:szCs w:val="24"/>
        </w:rPr>
      </w:pPr>
      <w:r w:rsidRPr="00363917">
        <w:rPr>
          <w:rFonts w:cs="Times New Roman"/>
          <w:szCs w:val="24"/>
        </w:rPr>
        <w:t xml:space="preserve">Dessa forma, a delimitação do tema articula três níveis: (a) o plano normativo, em que </w:t>
      </w:r>
      <w:r w:rsidRPr="00363917">
        <w:rPr>
          <w:rFonts w:cs="Times New Roman"/>
          <w:szCs w:val="24"/>
        </w:rPr>
        <w:br/>
        <w:t xml:space="preserve">a política pública de acesso a mercados é definida pela LC nº 123/2006 e pela Lei nº </w:t>
      </w:r>
      <w:r w:rsidRPr="00363917">
        <w:rPr>
          <w:rFonts w:cs="Times New Roman"/>
          <w:szCs w:val="24"/>
        </w:rPr>
        <w:br/>
        <w:t xml:space="preserve">14.133/2021; (b) o plano institucional -operacional, em que essa política se material iza nas </w:t>
      </w:r>
      <w:r w:rsidRPr="00363917">
        <w:rPr>
          <w:rFonts w:cs="Times New Roman"/>
          <w:szCs w:val="24"/>
        </w:rPr>
        <w:br/>
        <w:t xml:space="preserve">rotinas de contratação via Sistema de Pregão Online Banrisul; e (c) o plano empírico-analítico, </w:t>
      </w:r>
      <w:r w:rsidRPr="00363917">
        <w:rPr>
          <w:rFonts w:cs="Times New Roman"/>
          <w:szCs w:val="24"/>
        </w:rPr>
        <w:br/>
        <w:t xml:space="preserve">em que se busca mensurar e interpretar, em perspectiva comparativa (2015 -2025), em que </w:t>
      </w:r>
      <w:r w:rsidRPr="00363917">
        <w:rPr>
          <w:rFonts w:cs="Times New Roman"/>
          <w:szCs w:val="24"/>
        </w:rPr>
        <w:br/>
        <w:t xml:space="preserve">medida os resultados observados – em termos de volume de certames, participação por porte, </w:t>
      </w:r>
      <w:r w:rsidRPr="00363917">
        <w:rPr>
          <w:rFonts w:cs="Times New Roman"/>
          <w:szCs w:val="24"/>
        </w:rPr>
        <w:br/>
        <w:t xml:space="preserve">perfil das empresas e taxas de sucesso – correspondem aos objetivos declarados de inclusão de </w:t>
      </w:r>
      <w:r w:rsidRPr="00363917">
        <w:rPr>
          <w:rFonts w:cs="Times New Roman"/>
          <w:szCs w:val="24"/>
        </w:rPr>
        <w:br/>
        <w:t>micro e pequenas empresas nas compras públicas.</w:t>
      </w:r>
    </w:p>
    <w:p w14:paraId="387E2EDB" w14:textId="77777777" w:rsidR="00C94DC6" w:rsidRPr="00363917" w:rsidRDefault="00000000"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1.2 Problema de pesquisa</w:t>
      </w:r>
    </w:p>
    <w:p w14:paraId="28CC7820"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A partir desse percurso normativo e institucional, coloca-se a questão de saber em que </w:t>
      </w:r>
      <w:r w:rsidRPr="00363917">
        <w:rPr>
          <w:rFonts w:cs="Times New Roman"/>
          <w:szCs w:val="24"/>
        </w:rPr>
        <w:br/>
        <w:t xml:space="preserve">medida a política pública de acesso a mercados para micro e pequenas empresas, tal como </w:t>
      </w:r>
      <w:r w:rsidRPr="00363917">
        <w:rPr>
          <w:rFonts w:cs="Times New Roman"/>
          <w:szCs w:val="24"/>
        </w:rPr>
        <w:br/>
        <w:t xml:space="preserve">desenhada pela LC nº 123/2006 e reconfigurada pelo novo regime geral de contrataç ões </w:t>
      </w:r>
      <w:r w:rsidRPr="00363917">
        <w:rPr>
          <w:rFonts w:cs="Times New Roman"/>
          <w:szCs w:val="24"/>
        </w:rPr>
        <w:br/>
        <w:t xml:space="preserve">públicas (Lei nº 14.133/2021), tem se traduzido em resultados concretos nas compras </w:t>
      </w:r>
      <w:r w:rsidRPr="00363917">
        <w:rPr>
          <w:rFonts w:cs="Times New Roman"/>
          <w:szCs w:val="24"/>
        </w:rPr>
        <w:br/>
        <w:t xml:space="preserve">governamentais. Em particular, interessa compreender como essa política opera em um </w:t>
      </w:r>
      <w:r w:rsidRPr="00363917">
        <w:rPr>
          <w:rFonts w:cs="Times New Roman"/>
          <w:szCs w:val="24"/>
        </w:rPr>
        <w:br/>
        <w:t xml:space="preserve">contexto subnacional específico, o Rio Grande do Sul, e em um instrumento bem delimitado de </w:t>
      </w:r>
      <w:r w:rsidRPr="00363917">
        <w:rPr>
          <w:rFonts w:cs="Times New Roman"/>
          <w:szCs w:val="24"/>
        </w:rPr>
        <w:br/>
        <w:t xml:space="preserve">contratação: as licitações eletrônicas de serviços realizadas por meio do Sistema de Pregão </w:t>
      </w:r>
      <w:r w:rsidRPr="00363917">
        <w:rPr>
          <w:rFonts w:cs="Times New Roman"/>
          <w:szCs w:val="24"/>
        </w:rPr>
        <w:br/>
        <w:t>Online Banrisul.</w:t>
      </w:r>
    </w:p>
    <w:p w14:paraId="4F82A96C"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O problema de pesquisa que orienta este projeto pode ser formulado nos seguintes </w:t>
      </w:r>
      <w:r w:rsidRPr="00363917">
        <w:rPr>
          <w:rFonts w:cs="Times New Roman"/>
          <w:szCs w:val="24"/>
        </w:rPr>
        <w:br/>
        <w:t xml:space="preserve">termos: </w:t>
      </w:r>
    </w:p>
    <w:p w14:paraId="654612A5" w14:textId="62AA64DB" w:rsidR="00363917" w:rsidRDefault="00000000" w:rsidP="00363917">
      <w:pPr>
        <w:tabs>
          <w:tab w:val="left" w:pos="142"/>
        </w:tabs>
        <w:ind w:firstLine="851"/>
        <w:jc w:val="both"/>
        <w:rPr>
          <w:rFonts w:cs="Times New Roman"/>
          <w:szCs w:val="24"/>
        </w:rPr>
      </w:pPr>
      <w:r w:rsidRPr="00363917">
        <w:rPr>
          <w:rFonts w:cs="Times New Roman"/>
          <w:szCs w:val="24"/>
        </w:rPr>
        <w:lastRenderedPageBreak/>
        <w:t xml:space="preserve">A política pública de acesso a mercados para micro e pequenas empresas, tal como </w:t>
      </w:r>
      <w:r w:rsidRPr="00363917">
        <w:rPr>
          <w:rFonts w:cs="Times New Roman"/>
          <w:szCs w:val="24"/>
        </w:rPr>
        <w:br/>
        <w:t xml:space="preserve">operacionalizada nas licitações eletrônicas de serviços do Sistema de Pregão Online </w:t>
      </w:r>
      <w:r w:rsidRPr="00363917">
        <w:rPr>
          <w:rFonts w:cs="Times New Roman"/>
          <w:szCs w:val="24"/>
        </w:rPr>
        <w:br/>
        <w:t xml:space="preserve">Banrisul, contribuiu para ampliar a participação em certames e o sucesso das MPEs </w:t>
      </w:r>
      <w:r w:rsidRPr="00363917">
        <w:rPr>
          <w:rFonts w:cs="Times New Roman"/>
          <w:szCs w:val="24"/>
        </w:rPr>
        <w:br/>
        <w:t xml:space="preserve">nas compras públicas, assim como a formalização recente dessas empresas? </w:t>
      </w:r>
    </w:p>
    <w:p w14:paraId="2441203E"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A partir dessa formulação, desdobram-se algumas questões de investigação: </w:t>
      </w:r>
    </w:p>
    <w:p w14:paraId="38C1AB1A" w14:textId="78CDE51A" w:rsidR="00363917" w:rsidRPr="00363917" w:rsidRDefault="00000000" w:rsidP="00363917">
      <w:pPr>
        <w:pStyle w:val="PargrafodaLista"/>
        <w:numPr>
          <w:ilvl w:val="0"/>
          <w:numId w:val="10"/>
        </w:numPr>
        <w:tabs>
          <w:tab w:val="left" w:pos="142"/>
        </w:tabs>
        <w:ind w:left="0" w:firstLine="0"/>
        <w:jc w:val="both"/>
        <w:rPr>
          <w:rFonts w:cs="Times New Roman"/>
          <w:szCs w:val="24"/>
        </w:rPr>
      </w:pPr>
      <w:r w:rsidRPr="00363917">
        <w:rPr>
          <w:rFonts w:cs="Times New Roman"/>
          <w:szCs w:val="24"/>
        </w:rPr>
        <w:t xml:space="preserve">Os editais analisados incorporam os instrumentos de tratamento favorecido às MPEs </w:t>
      </w:r>
      <w:r w:rsidRPr="00363917">
        <w:rPr>
          <w:rFonts w:cs="Times New Roman"/>
          <w:szCs w:val="24"/>
        </w:rPr>
        <w:br/>
        <w:t xml:space="preserve">previstos na LC nº 123/2006 e, no caso de 2025, na Lei nº 14.133/2021? Há diferenças </w:t>
      </w:r>
      <w:r w:rsidRPr="00363917">
        <w:rPr>
          <w:rFonts w:cs="Times New Roman"/>
          <w:szCs w:val="24"/>
        </w:rPr>
        <w:br/>
        <w:t xml:space="preserve">significativas de aderência normativa entre 2015 e 2025? </w:t>
      </w:r>
    </w:p>
    <w:p w14:paraId="52111E55" w14:textId="2F2DB717" w:rsidR="00363917" w:rsidRDefault="00000000" w:rsidP="00363917">
      <w:pPr>
        <w:pStyle w:val="PargrafodaLista"/>
        <w:numPr>
          <w:ilvl w:val="0"/>
          <w:numId w:val="10"/>
        </w:numPr>
        <w:tabs>
          <w:tab w:val="left" w:pos="142"/>
        </w:tabs>
        <w:ind w:left="0" w:firstLine="0"/>
        <w:jc w:val="both"/>
        <w:rPr>
          <w:rFonts w:cs="Times New Roman"/>
          <w:szCs w:val="24"/>
        </w:rPr>
      </w:pPr>
      <w:r w:rsidRPr="00363917">
        <w:rPr>
          <w:rFonts w:cs="Times New Roman"/>
          <w:szCs w:val="24"/>
        </w:rPr>
        <w:t>Como evoluiu, na comparação entre o primeiro trimestre de 2015 e o primeiro trimestre de 2025, o volume de licitações eletrônicas de serviços realizadas no Sistema de Pregão Online Banrisul e a participação de microempresas, empresas de pequeno porte e demais empresas na fase de propostas?</w:t>
      </w:r>
    </w:p>
    <w:p w14:paraId="6E8B40A8" w14:textId="77777777" w:rsidR="00363917" w:rsidRDefault="00000000" w:rsidP="00363917">
      <w:pPr>
        <w:pStyle w:val="PargrafodaLista"/>
        <w:numPr>
          <w:ilvl w:val="0"/>
          <w:numId w:val="10"/>
        </w:numPr>
        <w:tabs>
          <w:tab w:val="left" w:pos="142"/>
        </w:tabs>
        <w:ind w:left="0" w:firstLine="0"/>
        <w:jc w:val="both"/>
        <w:rPr>
          <w:rFonts w:cs="Times New Roman"/>
          <w:szCs w:val="24"/>
        </w:rPr>
      </w:pPr>
      <w:r w:rsidRPr="00363917">
        <w:rPr>
          <w:rFonts w:cs="Times New Roman"/>
          <w:szCs w:val="24"/>
        </w:rPr>
        <w:t xml:space="preserve">Qual o perfil das empresas participantes e vencedoras nesses certames, em termos de </w:t>
      </w:r>
      <w:r w:rsidRPr="00363917">
        <w:rPr>
          <w:rFonts w:cs="Times New Roman"/>
          <w:szCs w:val="24"/>
        </w:rPr>
        <w:br/>
        <w:t xml:space="preserve">porte, setor de atividade (CNAE) e localização territorial? </w:t>
      </w:r>
    </w:p>
    <w:p w14:paraId="53E4A659" w14:textId="77777777" w:rsidR="00363917" w:rsidRDefault="00000000" w:rsidP="00363917">
      <w:pPr>
        <w:pStyle w:val="PargrafodaLista"/>
        <w:numPr>
          <w:ilvl w:val="0"/>
          <w:numId w:val="10"/>
        </w:numPr>
        <w:tabs>
          <w:tab w:val="left" w:pos="142"/>
        </w:tabs>
        <w:ind w:left="0" w:firstLine="0"/>
        <w:jc w:val="both"/>
        <w:rPr>
          <w:rFonts w:cs="Times New Roman"/>
          <w:szCs w:val="24"/>
        </w:rPr>
      </w:pPr>
      <w:r w:rsidRPr="00363917">
        <w:rPr>
          <w:rFonts w:cs="Times New Roman"/>
          <w:szCs w:val="24"/>
        </w:rPr>
        <w:t xml:space="preserve">Há evidências de formalização recente associada à participação e ao sucesso nas </w:t>
      </w:r>
      <w:r w:rsidRPr="00363917">
        <w:rPr>
          <w:rFonts w:cs="Times New Roman"/>
          <w:szCs w:val="24"/>
        </w:rPr>
        <w:br/>
        <w:t>licitações de 2025?</w:t>
      </w:r>
    </w:p>
    <w:p w14:paraId="1B12857F" w14:textId="07D5BF41" w:rsidR="00363917" w:rsidRDefault="00000000" w:rsidP="00363917">
      <w:pPr>
        <w:pStyle w:val="PargrafodaLista"/>
        <w:numPr>
          <w:ilvl w:val="0"/>
          <w:numId w:val="10"/>
        </w:numPr>
        <w:tabs>
          <w:tab w:val="left" w:pos="142"/>
        </w:tabs>
        <w:ind w:left="0" w:firstLine="0"/>
        <w:jc w:val="both"/>
        <w:rPr>
          <w:rFonts w:cs="Times New Roman"/>
          <w:szCs w:val="24"/>
        </w:rPr>
      </w:pPr>
      <w:r w:rsidRPr="00363917">
        <w:rPr>
          <w:rFonts w:cs="Times New Roman"/>
          <w:szCs w:val="24"/>
        </w:rPr>
        <w:t xml:space="preserve">Há variações relevantes entre grupos de municípios, tipos de serviço ou padrões de </w:t>
      </w:r>
      <w:r w:rsidRPr="00363917">
        <w:rPr>
          <w:rFonts w:cs="Times New Roman"/>
          <w:szCs w:val="24"/>
        </w:rPr>
        <w:br/>
        <w:t xml:space="preserve">contratação que sugiram limites ou assimetrias na apropriação dessa política pública de acesso a mercados, indicando desafios de capacidade estatal e de aprendizado </w:t>
      </w:r>
      <w:r w:rsidRPr="00363917">
        <w:rPr>
          <w:rFonts w:cs="Times New Roman"/>
          <w:szCs w:val="24"/>
        </w:rPr>
        <w:br/>
        <w:t xml:space="preserve">institucional? </w:t>
      </w:r>
    </w:p>
    <w:p w14:paraId="5BD86C56" w14:textId="2995FA16" w:rsidR="00C94DC6" w:rsidRDefault="00000000" w:rsidP="00363917">
      <w:pPr>
        <w:pStyle w:val="PargrafodaLista"/>
        <w:numPr>
          <w:ilvl w:val="0"/>
          <w:numId w:val="10"/>
        </w:numPr>
        <w:tabs>
          <w:tab w:val="left" w:pos="142"/>
        </w:tabs>
        <w:ind w:left="0" w:firstLine="0"/>
        <w:jc w:val="both"/>
        <w:rPr>
          <w:rFonts w:cs="Times New Roman"/>
          <w:szCs w:val="24"/>
        </w:rPr>
      </w:pPr>
      <w:r w:rsidRPr="00363917">
        <w:rPr>
          <w:rFonts w:cs="Times New Roman"/>
          <w:szCs w:val="24"/>
        </w:rPr>
        <w:t>Ao abordar essas questões, pretende-se realizar uma avaliação de resultados que vá além da mera contagem de contratos ou valores adjudicados, buscando compreender a relação entre os objetivos declarados da política e os efeitos observados sobre a formalização e a inclusão produtiva, à luz do ciclo de políticas públicas e dos referenciais de avaliação institucional.</w:t>
      </w:r>
    </w:p>
    <w:p w14:paraId="18C104D9" w14:textId="77777777" w:rsidR="00C94DC6" w:rsidRPr="00363917" w:rsidRDefault="00000000"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1.3 Justificativa</w:t>
      </w:r>
    </w:p>
    <w:p w14:paraId="3FE3B7FF"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 xml:space="preserve">A trajetória das políticas públicas voltadas às micro e pequenas empresas (MPEs) no Brasil é marcada por descontinuidades, avanços normativos e fortes condicionantes macroeconômicos. Ainda na década de 1980, em pleno processo de redemocratização, o Estatuto da Microempresa (Lei nº 7.256/1984) inaugurou o tratamento jurídico diferenciado ao pequeno empreendimento, antecipando um debate que seria consolidado constitucionalmente com os arts. </w:t>
      </w:r>
      <w:r w:rsidRPr="00363917">
        <w:rPr>
          <w:rFonts w:cs="Times New Roman"/>
          <w:szCs w:val="24"/>
        </w:rPr>
        <w:lastRenderedPageBreak/>
        <w:t>170, IX, e 179 da Constituição Federal de 1988. Esses dispositivos instituíram um marco normativo que não apenas reconhecia as MPEs como agentes relevantes para o dinamismo econômico e para a desconcentração produtiva, mas também determinava ao Estado a adoção de políticas tributárias, administrativas e creditícias específicas para esse segmento.</w:t>
      </w:r>
    </w:p>
    <w:p w14:paraId="1E169033"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Não obstante, o ambiente institucional da década de 1990 reconfigurou substancialmente esse cenário. No contexto de reformas liberalizantes e de reordenação do papel do Estado na economia, o país revisou pilares constitucionais relacionados à proteção do mercado interno. A Emenda Constitucional nº 6/1995 suprimiu o art. 171 da Constituição, restringindo margens mais amplas de políticas de favorecimento ao produtor doméstico. Em termos substantivos, houve um ciclo de retirada ou enfraquecimento de instrumentos mais amplos de política de desenvolvimento produtivo, dentro do qual os direitos pró-MPE previstos na Constituição permaneceram mais no plano da promessa do que da implementação.</w:t>
      </w:r>
    </w:p>
    <w:p w14:paraId="62A6B0D8"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O movimento de reorganização institucional voltado à simplificação tributária, à redução de assimetrias burocráticas e à formalização de pequenos empreendedores se fortaleceu gradualmente com o Simples Federal e com o Estatuto da Micro e Pequena Empresa. Todavia, é apenas com a Lei Complementar nº 123/2006 que se produz o mais abrangente arcabouço normativo já estruturado para as micro e pequenas empresas no Brasil. A LC nº 123/2006 não apenas unifica o regime tributário sob o Simples Nacional, como também constitui um verdadeiro microssistema jurídico de fomento, estabelecendo instrumentos robustos de acesso a mercados e integrando as compras públicas ao núcleo estratégico das políticas de desenvolvimento de MPEs. A nova Lei de Licitações, Lei nº 14.133/2021, representa novo ponto de inflexão ao alterar estruturalmente o regime geral de contratações e ao integrar de maneira explícita e obrigatória os dispositivos da LC nº 123/2006.</w:t>
      </w:r>
    </w:p>
    <w:p w14:paraId="2FDB30C7"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 xml:space="preserve">É nesse cruzamento entre densidade normativa, reconfiguração institucional e implementação desigual que se ancora a justificativa do estudo. O Brasil chega a 2025 com um arcabouço jurídico denso, uma infraestrutura eletrônica relevante e um aumento visível do uso de plataformas de compras, mas ainda sem respostas claras sobre quem se beneficia, em que medida e com que perfil. No contexto específico do Rio Grande do Sul, a análise do período inicial também deve considerar o legado de experiências subnacionais de fomento, como o Programa Fornecer, que ajudou a consolidar, junto à burocracia estadual e ao mercado fornecedor gaúcho, uma cultura de compras indutoras do desenvolvimento. Avaliar os resultados da política pública </w:t>
      </w:r>
      <w:r w:rsidRPr="00363917">
        <w:rPr>
          <w:rFonts w:cs="Times New Roman"/>
          <w:szCs w:val="24"/>
        </w:rPr>
        <w:lastRenderedPageBreak/>
        <w:t>de acesso a mercados no Sistema de Pregão Online Banrisul, portanto, é relevante tanto cientificamente quanto do ponto de vista prático, pois permite examinar se, após uma década de vigência da LC nº 123/2006 e a entrada em vigor obrigatória da Lei nº 14.133/2021, os dispositivos de tratamento diferenciado e favorecido têm se traduzido em maior participação e maior sucesso de MPEs nas licitações, especialmente daquelas recentemente formalizadas.</w:t>
      </w:r>
    </w:p>
    <w:p w14:paraId="06EB01C3" w14:textId="77777777" w:rsidR="00C94DC6" w:rsidRPr="00363917" w:rsidRDefault="00000000"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1.4 Objetivos e hipóteses</w:t>
      </w:r>
    </w:p>
    <w:p w14:paraId="38326236" w14:textId="77777777" w:rsidR="00363917" w:rsidRDefault="00000000" w:rsidP="00363917">
      <w:pPr>
        <w:tabs>
          <w:tab w:val="left" w:pos="142"/>
        </w:tabs>
        <w:jc w:val="both"/>
        <w:rPr>
          <w:rFonts w:cs="Times New Roman"/>
          <w:b/>
          <w:szCs w:val="24"/>
        </w:rPr>
      </w:pPr>
      <w:r w:rsidRPr="00363917">
        <w:rPr>
          <w:rFonts w:cs="Times New Roman"/>
          <w:b/>
          <w:szCs w:val="24"/>
        </w:rPr>
        <w:t>Objetivo geral.</w:t>
      </w:r>
    </w:p>
    <w:p w14:paraId="00AF438D" w14:textId="7FEE8BC1" w:rsidR="00C94DC6" w:rsidRPr="00363917" w:rsidRDefault="00000000" w:rsidP="00363917">
      <w:pPr>
        <w:tabs>
          <w:tab w:val="left" w:pos="142"/>
        </w:tabs>
        <w:ind w:firstLine="851"/>
        <w:jc w:val="both"/>
        <w:rPr>
          <w:rFonts w:cs="Times New Roman"/>
          <w:szCs w:val="24"/>
        </w:rPr>
      </w:pPr>
      <w:r w:rsidRPr="00363917">
        <w:rPr>
          <w:rFonts w:cs="Times New Roman"/>
          <w:szCs w:val="24"/>
        </w:rPr>
        <w:t xml:space="preserve">Analisar, em perspectiva comparativa entre o primeiro trimestre de 2015 e o primeiro </w:t>
      </w:r>
      <w:r w:rsidRPr="00363917">
        <w:rPr>
          <w:rFonts w:cs="Times New Roman"/>
          <w:szCs w:val="24"/>
        </w:rPr>
        <w:br/>
        <w:t xml:space="preserve">trimestre de 2025, os resultados da política pública de acesso a mercados para micro e pequenas empresas, tal como operacionalizada nas licitações eletrônicas de serviços do </w:t>
      </w:r>
      <w:r w:rsidRPr="00363917">
        <w:rPr>
          <w:rFonts w:cs="Times New Roman"/>
          <w:szCs w:val="24"/>
        </w:rPr>
        <w:br/>
        <w:t xml:space="preserve">Sistema de Pregão Online Banrisul, com foco na participação, no grau de sucesso e na </w:t>
      </w:r>
      <w:r w:rsidRPr="00363917">
        <w:rPr>
          <w:rFonts w:cs="Times New Roman"/>
          <w:szCs w:val="24"/>
        </w:rPr>
        <w:br/>
        <w:t>formalização recente das MPEs.</w:t>
      </w:r>
    </w:p>
    <w:p w14:paraId="5EBF240E" w14:textId="77777777" w:rsidR="00C94DC6" w:rsidRPr="00363917" w:rsidRDefault="00000000" w:rsidP="00363917">
      <w:pPr>
        <w:tabs>
          <w:tab w:val="left" w:pos="142"/>
        </w:tabs>
        <w:jc w:val="both"/>
        <w:rPr>
          <w:rFonts w:cs="Times New Roman"/>
          <w:szCs w:val="24"/>
        </w:rPr>
      </w:pPr>
      <w:r w:rsidRPr="00363917">
        <w:rPr>
          <w:rFonts w:cs="Times New Roman"/>
          <w:szCs w:val="24"/>
        </w:rPr>
        <w:t xml:space="preserve">• Analisar o grau de aderência dos editais de serviços do Sistema de Pregão Online Banrisul, </w:t>
      </w:r>
      <w:r w:rsidRPr="00363917">
        <w:rPr>
          <w:rFonts w:cs="Times New Roman"/>
          <w:szCs w:val="24"/>
        </w:rPr>
        <w:br/>
        <w:t>em 2015 e 2025,</w:t>
      </w:r>
    </w:p>
    <w:p w14:paraId="65D710E4" w14:textId="77777777" w:rsidR="00C94DC6" w:rsidRPr="00363917" w:rsidRDefault="00000000" w:rsidP="00363917">
      <w:pPr>
        <w:tabs>
          <w:tab w:val="left" w:pos="142"/>
        </w:tabs>
        <w:jc w:val="both"/>
        <w:rPr>
          <w:rFonts w:cs="Times New Roman"/>
          <w:szCs w:val="24"/>
        </w:rPr>
      </w:pPr>
      <w:r w:rsidRPr="00363917">
        <w:rPr>
          <w:rFonts w:cs="Times New Roman"/>
          <w:szCs w:val="24"/>
        </w:rPr>
        <w:t xml:space="preserve">• Comparar o volume das licitações eletrônicas de serviços realizadas no Sistema de Pregão </w:t>
      </w:r>
      <w:r w:rsidRPr="00363917">
        <w:rPr>
          <w:rFonts w:cs="Times New Roman"/>
          <w:szCs w:val="24"/>
        </w:rPr>
        <w:br/>
        <w:t xml:space="preserve">Online Banrisul e a participação de microempresas, empresas de pequeno porte e demais </w:t>
      </w:r>
      <w:r w:rsidRPr="00363917">
        <w:rPr>
          <w:rFonts w:cs="Times New Roman"/>
          <w:szCs w:val="24"/>
        </w:rPr>
        <w:br/>
        <w:t>empresas na fase de propostas, nos primeiros trimestres de 2015 e de 2025;</w:t>
      </w:r>
    </w:p>
    <w:p w14:paraId="06AFDE09" w14:textId="77777777" w:rsidR="00C94DC6" w:rsidRPr="00363917" w:rsidRDefault="00000000" w:rsidP="00363917">
      <w:pPr>
        <w:tabs>
          <w:tab w:val="left" w:pos="142"/>
        </w:tabs>
        <w:jc w:val="both"/>
        <w:rPr>
          <w:rFonts w:cs="Times New Roman"/>
          <w:szCs w:val="24"/>
        </w:rPr>
      </w:pPr>
      <w:r w:rsidRPr="00363917">
        <w:rPr>
          <w:rFonts w:cs="Times New Roman"/>
          <w:szCs w:val="24"/>
        </w:rPr>
        <w:t xml:space="preserve">• Caracterizar as distribuições das empresas participantes e vencedoras nesses certames quanto </w:t>
      </w:r>
      <w:r w:rsidRPr="00363917">
        <w:rPr>
          <w:rFonts w:cs="Times New Roman"/>
          <w:szCs w:val="24"/>
        </w:rPr>
        <w:br/>
        <w:t xml:space="preserve">ao porte, setor de atividade e localização territorial, comparando -as entre si e de modo </w:t>
      </w:r>
      <w:r w:rsidRPr="00363917">
        <w:rPr>
          <w:rFonts w:cs="Times New Roman"/>
          <w:szCs w:val="24"/>
        </w:rPr>
        <w:br/>
        <w:t>intertemporal;</w:t>
      </w:r>
    </w:p>
    <w:p w14:paraId="23E5C5A1" w14:textId="7D7458A8" w:rsidR="00C94DC6" w:rsidRPr="00363917" w:rsidRDefault="00000000" w:rsidP="00363917">
      <w:pPr>
        <w:tabs>
          <w:tab w:val="left" w:pos="142"/>
        </w:tabs>
        <w:jc w:val="both"/>
        <w:rPr>
          <w:rFonts w:cs="Times New Roman"/>
          <w:szCs w:val="24"/>
        </w:rPr>
      </w:pPr>
      <w:r w:rsidRPr="00363917">
        <w:rPr>
          <w:rFonts w:cs="Times New Roman"/>
          <w:szCs w:val="24"/>
        </w:rPr>
        <w:t xml:space="preserve">• Caracterizar as distribuições das MPEs participantes e vencedoras nesses certames quanto </w:t>
      </w:r>
      <w:r w:rsidRPr="00363917">
        <w:rPr>
          <w:rFonts w:cs="Times New Roman"/>
          <w:szCs w:val="24"/>
        </w:rPr>
        <w:br/>
        <w:t>ao tempo de formalização, comparando-as entre si e de modo intertemporal e identificando, em especial, a presença de empresas recentemente formalizadas;</w:t>
      </w:r>
    </w:p>
    <w:p w14:paraId="40DB7A78" w14:textId="77777777" w:rsidR="00C94DC6" w:rsidRPr="00363917" w:rsidRDefault="00000000" w:rsidP="00363917">
      <w:pPr>
        <w:tabs>
          <w:tab w:val="left" w:pos="142"/>
        </w:tabs>
        <w:jc w:val="both"/>
        <w:rPr>
          <w:rFonts w:cs="Times New Roman"/>
          <w:szCs w:val="24"/>
        </w:rPr>
      </w:pPr>
      <w:r w:rsidRPr="00363917">
        <w:rPr>
          <w:rFonts w:cs="Times New Roman"/>
          <w:szCs w:val="24"/>
        </w:rPr>
        <w:t xml:space="preserve">• Mensurar a associação entre o tempo de constituição e a participação e sucesso licitatório das </w:t>
      </w:r>
      <w:r w:rsidRPr="00363917">
        <w:rPr>
          <w:rFonts w:cs="Times New Roman"/>
          <w:szCs w:val="24"/>
        </w:rPr>
        <w:br/>
        <w:t>MPEs nas licitações eletrônicas de serviços analisadas, com ênfase nos certames de 2025.</w:t>
      </w:r>
    </w:p>
    <w:p w14:paraId="3EF62449"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As hipóteses orientadoras da pesquisa são as seguintes:</w:t>
      </w:r>
    </w:p>
    <w:p w14:paraId="03DAE46F" w14:textId="77777777" w:rsidR="00C94DC6" w:rsidRPr="00363917" w:rsidRDefault="00000000" w:rsidP="00363917">
      <w:pPr>
        <w:tabs>
          <w:tab w:val="left" w:pos="142"/>
        </w:tabs>
        <w:jc w:val="both"/>
        <w:rPr>
          <w:rFonts w:cs="Times New Roman"/>
          <w:szCs w:val="24"/>
        </w:rPr>
      </w:pPr>
      <w:r w:rsidRPr="00363917">
        <w:rPr>
          <w:rFonts w:cs="Times New Roman"/>
          <w:szCs w:val="24"/>
        </w:rPr>
        <w:t xml:space="preserve">• H1 – Aderência normativa: os editais de 2025 apresentam maior aderência formal aos </w:t>
      </w:r>
      <w:r w:rsidRPr="00363917">
        <w:rPr>
          <w:rFonts w:cs="Times New Roman"/>
          <w:szCs w:val="24"/>
        </w:rPr>
        <w:br/>
        <w:t xml:space="preserve">instrumentos de tratamento favorecido às MPEs (licitações exclusivas, cotas reservadas, </w:t>
      </w:r>
      <w:r w:rsidRPr="00363917">
        <w:rPr>
          <w:rFonts w:cs="Times New Roman"/>
          <w:szCs w:val="24"/>
        </w:rPr>
        <w:br/>
        <w:t>subcontratação, empate ficto, flexibilização da regularidade fiscal) do que os editais de 2015.</w:t>
      </w:r>
    </w:p>
    <w:p w14:paraId="7F7A169D" w14:textId="77777777" w:rsidR="00C94DC6" w:rsidRPr="00363917" w:rsidRDefault="00000000" w:rsidP="00363917">
      <w:pPr>
        <w:tabs>
          <w:tab w:val="left" w:pos="142"/>
        </w:tabs>
        <w:jc w:val="both"/>
        <w:rPr>
          <w:rFonts w:cs="Times New Roman"/>
          <w:szCs w:val="24"/>
        </w:rPr>
      </w:pPr>
      <w:r w:rsidRPr="00363917">
        <w:rPr>
          <w:rFonts w:cs="Times New Roman"/>
          <w:szCs w:val="24"/>
        </w:rPr>
        <w:lastRenderedPageBreak/>
        <w:t xml:space="preserve">• H2 – Os certames com maior aderência normativa tendem a registrar maior participação </w:t>
      </w:r>
      <w:r w:rsidRPr="00363917">
        <w:rPr>
          <w:rFonts w:cs="Times New Roman"/>
          <w:szCs w:val="24"/>
        </w:rPr>
        <w:br/>
        <w:t>e maior taxa de sucesso de MPEs.</w:t>
      </w:r>
    </w:p>
    <w:p w14:paraId="09C29041" w14:textId="77777777" w:rsidR="00C94DC6" w:rsidRPr="00363917" w:rsidRDefault="00000000" w:rsidP="00363917">
      <w:pPr>
        <w:tabs>
          <w:tab w:val="left" w:pos="142"/>
        </w:tabs>
        <w:jc w:val="both"/>
        <w:rPr>
          <w:rFonts w:cs="Times New Roman"/>
          <w:szCs w:val="24"/>
        </w:rPr>
      </w:pPr>
      <w:r w:rsidRPr="00363917">
        <w:rPr>
          <w:rFonts w:cs="Times New Roman"/>
          <w:szCs w:val="24"/>
        </w:rPr>
        <w:t xml:space="preserve">• H3 – A mudança da política pública, com a aprovação da Lei n° 14.133/2021, induziu </w:t>
      </w:r>
      <w:r w:rsidRPr="00363917">
        <w:rPr>
          <w:rFonts w:cs="Times New Roman"/>
          <w:szCs w:val="24"/>
        </w:rPr>
        <w:br/>
        <w:t>um aumento na participação de MPEs.</w:t>
      </w:r>
    </w:p>
    <w:p w14:paraId="0824D3FA" w14:textId="77777777" w:rsidR="00C94DC6" w:rsidRPr="00363917" w:rsidRDefault="00000000" w:rsidP="00363917">
      <w:pPr>
        <w:tabs>
          <w:tab w:val="left" w:pos="142"/>
        </w:tabs>
        <w:jc w:val="both"/>
        <w:rPr>
          <w:rFonts w:cs="Times New Roman"/>
          <w:szCs w:val="24"/>
        </w:rPr>
      </w:pPr>
      <w:r w:rsidRPr="00363917">
        <w:rPr>
          <w:rFonts w:cs="Times New Roman"/>
          <w:szCs w:val="24"/>
        </w:rPr>
        <w:t xml:space="preserve">• H4 – A mudança da política pública, com a aprovação da Lei n° 14.133/2021, induziu </w:t>
      </w:r>
      <w:r w:rsidRPr="00363917">
        <w:rPr>
          <w:rFonts w:cs="Times New Roman"/>
          <w:szCs w:val="24"/>
        </w:rPr>
        <w:br/>
        <w:t>um aumento na participação de MPEs com formalização recente.</w:t>
      </w:r>
    </w:p>
    <w:p w14:paraId="07E4C071" w14:textId="77777777" w:rsidR="00C94DC6" w:rsidRPr="00363917" w:rsidRDefault="00000000" w:rsidP="00363917">
      <w:pPr>
        <w:tabs>
          <w:tab w:val="left" w:pos="142"/>
        </w:tabs>
        <w:jc w:val="both"/>
        <w:rPr>
          <w:rFonts w:cs="Times New Roman"/>
          <w:szCs w:val="24"/>
        </w:rPr>
      </w:pPr>
      <w:r w:rsidRPr="00363917">
        <w:rPr>
          <w:rFonts w:cs="Times New Roman"/>
          <w:szCs w:val="24"/>
        </w:rPr>
        <w:t xml:space="preserve">• H5 – A mudança da política pública, com a aprovação da Lei n° 14.133/2021, induziu </w:t>
      </w:r>
      <w:r w:rsidRPr="00363917">
        <w:rPr>
          <w:rFonts w:cs="Times New Roman"/>
          <w:szCs w:val="24"/>
        </w:rPr>
        <w:br/>
        <w:t>um aumento no grau de sucesso de MPEs nos certames.</w:t>
      </w:r>
    </w:p>
    <w:p w14:paraId="6DB75F61" w14:textId="77777777" w:rsidR="00C94DC6" w:rsidRPr="00363917" w:rsidRDefault="00000000" w:rsidP="00363917">
      <w:pPr>
        <w:tabs>
          <w:tab w:val="left" w:pos="142"/>
        </w:tabs>
        <w:jc w:val="both"/>
        <w:rPr>
          <w:rFonts w:cs="Times New Roman"/>
          <w:szCs w:val="24"/>
        </w:rPr>
      </w:pPr>
      <w:r w:rsidRPr="00363917">
        <w:rPr>
          <w:rFonts w:cs="Times New Roman"/>
          <w:szCs w:val="24"/>
        </w:rPr>
        <w:t xml:space="preserve">• H6 – As MPEs com maior tempo de formalização tendem a apresentar maior grau de </w:t>
      </w:r>
      <w:r w:rsidRPr="00363917">
        <w:rPr>
          <w:rFonts w:cs="Times New Roman"/>
          <w:szCs w:val="24"/>
        </w:rPr>
        <w:br/>
        <w:t>sucesso nos certames.</w:t>
      </w:r>
    </w:p>
    <w:p w14:paraId="2ED2EC26" w14:textId="77777777" w:rsidR="00C94DC6" w:rsidRPr="00363917" w:rsidRDefault="00000000" w:rsidP="00363917">
      <w:pPr>
        <w:pStyle w:val="Ttulo1"/>
        <w:tabs>
          <w:tab w:val="left" w:pos="142"/>
        </w:tabs>
        <w:rPr>
          <w:rFonts w:ascii="Times New Roman" w:hAnsi="Times New Roman" w:cs="Times New Roman"/>
          <w:color w:val="auto"/>
          <w:sz w:val="24"/>
          <w:szCs w:val="24"/>
        </w:rPr>
      </w:pPr>
      <w:r w:rsidRPr="00363917">
        <w:rPr>
          <w:rFonts w:ascii="Times New Roman" w:eastAsia="Times New Roman" w:hAnsi="Times New Roman" w:cs="Times New Roman"/>
          <w:color w:val="auto"/>
          <w:sz w:val="24"/>
          <w:szCs w:val="24"/>
        </w:rPr>
        <w:t>2 PRINCIPAIS MÉTODOS EMPREGADOS</w:t>
      </w:r>
    </w:p>
    <w:p w14:paraId="6CBA3476" w14:textId="77777777" w:rsidR="00C94DC6" w:rsidRPr="00363917" w:rsidRDefault="00000000"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2.1 Estratégia de pesquisa</w:t>
      </w:r>
    </w:p>
    <w:p w14:paraId="3E7B77B9"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A pesquisa adota abordagem quantitativa, de caráter descritivo e analítico, ancorada na perspectiva da avaliação de resultados de políticas públicas. Trata-se de estudo ex post, baseado em dados administrativos e documentais, voltado a observar em que medida a política pública de acesso a mercados para MPEs, operacionalizada por meio das compras governamentais de serviços, se expressa em padrões de participação e de sucesso licitatório das micro e pequenas empresas.</w:t>
      </w:r>
    </w:p>
    <w:p w14:paraId="21ACBA91"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Não se pretende isolar um impacto causal específico da Lei nº 14.133/2021 ou de qualquer outro instrumento. O propósito é analisar, em perspectiva comparada, a configuração dos resultados em dois momentos institucionais distintos, 2015 e 2025, associados a arranjos normativos de compras públicas também distintos.</w:t>
      </w:r>
    </w:p>
    <w:p w14:paraId="7A7E15A7" w14:textId="77777777" w:rsidR="00C94DC6" w:rsidRPr="00363917" w:rsidRDefault="00000000"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2.2 Universo empírico e recorte temporal</w:t>
      </w:r>
    </w:p>
    <w:p w14:paraId="5211A4B9"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O universo empírico da pesquisa é constituído por todos os pregões eletrônicos de serviços realizados no Sistema de Pregão Online Banrisul nos períodos de 01/01 a 31/03 de 2015 e de 01/01 a 31/03 de 2025.</w:t>
      </w:r>
    </w:p>
    <w:p w14:paraId="09E92D32"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 xml:space="preserve">Levantamento preliminar indica a existência de 185 certames de serviços no primeiro trimestre de 2015 e de mais de 300 certames de serviços no primeiro trimestre de 2025, o que já sinaliza incremento expressivo no uso do sistema para contratações de serviços ao longo da </w:t>
      </w:r>
      <w:r w:rsidRPr="00363917">
        <w:rPr>
          <w:rFonts w:cs="Times New Roman"/>
          <w:szCs w:val="24"/>
        </w:rPr>
        <w:lastRenderedPageBreak/>
        <w:t>década. A opção por trabalhar com o universo de certames, e não com amostras, busca explorar ao máximo o potencial informativo da base administrativa disponibilizada pelo Banrisul.</w:t>
      </w:r>
    </w:p>
    <w:p w14:paraId="51777E6D"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Esses dois recortes temporais permitem observar a evolução do volume de licitações de serviços, a participação de MPEs e demais empresas na fase de propostas, a distribuição das vitórias por porte empresarial e a configuração dos editais quanto à aplicação dos instrumentos de tratamento diferenciado.</w:t>
      </w:r>
    </w:p>
    <w:p w14:paraId="7039FC54" w14:textId="77777777" w:rsidR="00C94DC6" w:rsidRPr="00363917" w:rsidRDefault="00000000"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2.3 Fontes de dados e procedimentos de coleta</w:t>
      </w:r>
    </w:p>
    <w:p w14:paraId="7B920F75"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A pesquisa combina quatro fontes principais de informação.</w:t>
      </w:r>
    </w:p>
    <w:p w14:paraId="2D67FFE7" w14:textId="77777777" w:rsidR="00C94DC6" w:rsidRPr="00363917" w:rsidRDefault="00000000" w:rsidP="00363917">
      <w:pPr>
        <w:tabs>
          <w:tab w:val="left" w:pos="142"/>
        </w:tabs>
        <w:jc w:val="both"/>
        <w:rPr>
          <w:rFonts w:cs="Times New Roman"/>
          <w:szCs w:val="24"/>
        </w:rPr>
      </w:pPr>
      <w:r w:rsidRPr="00363917">
        <w:rPr>
          <w:rFonts w:cs="Times New Roman"/>
          <w:szCs w:val="24"/>
        </w:rPr>
        <w:t>• a) Base de licitações do Sistema de Pregão Online Banrisul, com extração, para todos os certames de serviços dos períodos selecionados, de informações como número do processo, órgão contratante, objeto, modalidade, tipo de julgamento, data de abertura, valor estimado, propostas apresentadas, empresas participantes, vencedores e valores adjudicados.</w:t>
      </w:r>
    </w:p>
    <w:p w14:paraId="09D11943" w14:textId="77777777" w:rsidR="00C94DC6" w:rsidRPr="00363917" w:rsidRDefault="00000000" w:rsidP="00363917">
      <w:pPr>
        <w:tabs>
          <w:tab w:val="left" w:pos="142"/>
        </w:tabs>
        <w:jc w:val="both"/>
        <w:rPr>
          <w:rFonts w:cs="Times New Roman"/>
          <w:szCs w:val="24"/>
        </w:rPr>
      </w:pPr>
      <w:r w:rsidRPr="00363917">
        <w:rPr>
          <w:rFonts w:cs="Times New Roman"/>
          <w:szCs w:val="24"/>
        </w:rPr>
        <w:t>• b) Textos integrais dos editais de licitação, com download, organização e codificação manual de cláusulas relativas aos instrumentos pró-MPE previstos na LC nº 123/2006 e na Lei nº 14.133/2021, tais como licitações exclusivas, cotas, subcontratação de MPEs, empate ficto e flexibilização da regularidade fiscal.</w:t>
      </w:r>
    </w:p>
    <w:p w14:paraId="35C2D8BC" w14:textId="77777777" w:rsidR="00C94DC6" w:rsidRPr="00363917" w:rsidRDefault="00000000" w:rsidP="00363917">
      <w:pPr>
        <w:tabs>
          <w:tab w:val="left" w:pos="142"/>
        </w:tabs>
        <w:jc w:val="both"/>
        <w:rPr>
          <w:rFonts w:cs="Times New Roman"/>
          <w:szCs w:val="24"/>
        </w:rPr>
      </w:pPr>
      <w:r w:rsidRPr="00363917">
        <w:rPr>
          <w:rFonts w:cs="Times New Roman"/>
          <w:szCs w:val="24"/>
        </w:rPr>
        <w:t>• c) Bases cadastrais de pessoas jurídicas, especialmente o Cadastro Nacional da Pessoa Jurídica – CNPJ, para obtenção de informações sobre as empresas participantes e vencedoras: data de constituição, enquadramento de porte, CNAE principal e município-sede. A partir da data de constituição, calcula-se o tempo de vida da empresa em meses na data do certame.</w:t>
      </w:r>
    </w:p>
    <w:p w14:paraId="0F018362" w14:textId="77777777" w:rsidR="00C94DC6" w:rsidRPr="00363917" w:rsidRDefault="00000000" w:rsidP="00363917">
      <w:pPr>
        <w:tabs>
          <w:tab w:val="left" w:pos="142"/>
        </w:tabs>
        <w:jc w:val="both"/>
        <w:rPr>
          <w:rFonts w:cs="Times New Roman"/>
          <w:szCs w:val="24"/>
        </w:rPr>
      </w:pPr>
      <w:r w:rsidRPr="00363917">
        <w:rPr>
          <w:rFonts w:cs="Times New Roman"/>
          <w:szCs w:val="24"/>
        </w:rPr>
        <w:t>• d) Documentos institucionais e materiais de capacitação produzidos pelo Banrisul, por órgãos de controle e por entidades de apoio, como o SEBRAE, incluindo manuais, relatórios, notas técnicas e materiais de formação. Esses materiais são utilizados para contextualizar a implementação da política e identificar possíveis esforços de avaliação e aprendizado institucional.</w:t>
      </w:r>
    </w:p>
    <w:p w14:paraId="481A0D55" w14:textId="77777777" w:rsidR="00C94DC6" w:rsidRPr="00363917" w:rsidRDefault="00000000"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2.4 Softwares de apoio à operacionalização dos dados</w:t>
      </w:r>
    </w:p>
    <w:p w14:paraId="2A7E61B4"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Na etapa de organização e análise dos dados, o estudo prevê o uso de softwares de apoio como NVivo e SPSS, a depender das necessidades de tratamento, codificação e exploração das informações coletadas.</w:t>
      </w:r>
    </w:p>
    <w:p w14:paraId="4D76F87A" w14:textId="77777777" w:rsidR="00C94DC6" w:rsidRPr="00363917" w:rsidRDefault="00000000"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lastRenderedPageBreak/>
        <w:t>2.5 Estratégias de análise</w:t>
      </w:r>
    </w:p>
    <w:p w14:paraId="68274219"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A análise combina estatística descritiva, para caracterizar o universo de certames, empresas participantes e vencedoras, bem como a distribuição das variáveis de interesse em 2015 e 2025.</w:t>
      </w:r>
    </w:p>
    <w:p w14:paraId="451FBADC"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Além disso, mobiliza análises comparativas entre os dois períodos, com observação de variações absolutas e percentuais, taxas de participação e de sucesso por porte, faixas de valor, setores e territórios.</w:t>
      </w:r>
    </w:p>
    <w:p w14:paraId="6D505479"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Também se prevê o uso de medidas de associação entre tempo de constituição, porte, aderência normativa e resultados, especialmente participação e sucesso, mediante técnicas como testes de associação para variáveis categóricas e, quando a estrutura dos dados permitir, correlações ou modelos simples, como regressão logística ou de Poisson.</w:t>
      </w:r>
    </w:p>
    <w:p w14:paraId="3DC59BE5"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Em todos os casos, a ênfase recai menos na construção de modelos complexos e mais na produção de evidências robustas e transparentes que permitam dialogar com o debate sobre avaliação de resultados de políticas públicas e sobre o papel das compras governamentais como instrumento da política de desenvolvimento das micro e pequenas empresas.</w:t>
      </w:r>
    </w:p>
    <w:p w14:paraId="60FA766F" w14:textId="77777777" w:rsidR="00C94DC6" w:rsidRPr="00363917" w:rsidRDefault="00000000" w:rsidP="00363917">
      <w:pPr>
        <w:pStyle w:val="Ttulo1"/>
        <w:tabs>
          <w:tab w:val="left" w:pos="142"/>
        </w:tabs>
        <w:rPr>
          <w:rFonts w:ascii="Times New Roman" w:hAnsi="Times New Roman" w:cs="Times New Roman"/>
          <w:color w:val="auto"/>
          <w:sz w:val="24"/>
          <w:szCs w:val="24"/>
        </w:rPr>
      </w:pPr>
      <w:r w:rsidRPr="00363917">
        <w:rPr>
          <w:rFonts w:ascii="Times New Roman" w:eastAsia="Times New Roman" w:hAnsi="Times New Roman" w:cs="Times New Roman"/>
          <w:color w:val="auto"/>
          <w:sz w:val="24"/>
          <w:szCs w:val="24"/>
        </w:rPr>
        <w:t>3 FUNDAMENTAÇÃO TEÓRICA</w:t>
      </w:r>
    </w:p>
    <w:p w14:paraId="039E5CCA" w14:textId="77777777" w:rsidR="00C94DC6" w:rsidRPr="00363917" w:rsidRDefault="00000000" w:rsidP="00363917">
      <w:pPr>
        <w:tabs>
          <w:tab w:val="left" w:pos="142"/>
        </w:tabs>
        <w:ind w:firstLine="851"/>
        <w:jc w:val="both"/>
        <w:rPr>
          <w:rFonts w:cs="Times New Roman"/>
          <w:szCs w:val="24"/>
        </w:rPr>
      </w:pPr>
      <w:r w:rsidRPr="00363917">
        <w:rPr>
          <w:rFonts w:cs="Times New Roman"/>
          <w:szCs w:val="24"/>
        </w:rPr>
        <w:t>A fundamentação teórica articula o estado da arte sobre MPEs e compras públicas com um quadro analítico centrado em políticas públicas, avaliação de resultados, compras governamentais como instrumento de acesso a mercados e capacidades estatais.</w:t>
      </w:r>
    </w:p>
    <w:p w14:paraId="6D5A6A67" w14:textId="0A794EAD"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3.1 </w:t>
      </w:r>
      <w:r w:rsidR="00000000" w:rsidRPr="00363917">
        <w:rPr>
          <w:rFonts w:ascii="Times New Roman" w:eastAsia="Times New Roman" w:hAnsi="Times New Roman" w:cs="Times New Roman"/>
          <w:color w:val="auto"/>
          <w:szCs w:val="24"/>
        </w:rPr>
        <w:t>MPEs, desenvolvimento e acesso a mercados</w:t>
      </w:r>
    </w:p>
    <w:p w14:paraId="07686EAA"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A literatura nacional e internacional é relativamente consensual em atribuir às micro e </w:t>
      </w:r>
      <w:r w:rsidRPr="00363917">
        <w:rPr>
          <w:rFonts w:cs="Times New Roman"/>
          <w:szCs w:val="24"/>
        </w:rPr>
        <w:br/>
        <w:t xml:space="preserve">pequenas empresas um papel central na estrutura produtiva, na geração de empregos e na </w:t>
      </w:r>
      <w:r w:rsidRPr="00363917">
        <w:rPr>
          <w:rFonts w:cs="Times New Roman"/>
          <w:szCs w:val="24"/>
        </w:rPr>
        <w:br/>
        <w:t xml:space="preserve">dinamização de economias locais. Estudos promovidos pelo SEBRAE indicam que as MP Es </w:t>
      </w:r>
      <w:r w:rsidRPr="00363917">
        <w:rPr>
          <w:rFonts w:cs="Times New Roman"/>
          <w:szCs w:val="24"/>
        </w:rPr>
        <w:br/>
        <w:t xml:space="preserve">representam mais de 99% dos empreendimentos formais no Brasil e são responsáveis por cerca </w:t>
      </w:r>
      <w:r w:rsidRPr="00363917">
        <w:rPr>
          <w:rFonts w:cs="Times New Roman"/>
          <w:szCs w:val="24"/>
        </w:rPr>
        <w:br/>
        <w:t xml:space="preserve">de 52% dos empregos com carteira assinada e aproximadamente 30% do PIB nacional, </w:t>
      </w:r>
      <w:r w:rsidRPr="00363917">
        <w:rPr>
          <w:rFonts w:cs="Times New Roman"/>
          <w:szCs w:val="24"/>
        </w:rPr>
        <w:br/>
        <w:t xml:space="preserve">reforçando sua centralidade para o desenvolvimento econômico e social (SEBRAE, 20 23; </w:t>
      </w:r>
      <w:r w:rsidRPr="00363917">
        <w:rPr>
          <w:rFonts w:cs="Times New Roman"/>
          <w:szCs w:val="24"/>
        </w:rPr>
        <w:br/>
        <w:t>IPEA, 2023).</w:t>
      </w:r>
    </w:p>
    <w:p w14:paraId="412E564C"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Do ponto de vista analítico, autores vinculados à tradição dos sistemas de inovação e </w:t>
      </w:r>
      <w:r w:rsidRPr="00363917">
        <w:rPr>
          <w:rFonts w:cs="Times New Roman"/>
          <w:szCs w:val="24"/>
        </w:rPr>
        <w:br/>
        <w:t xml:space="preserve">dos arranjos produtivos locais, como Cassiolato e Lastres, enfatizam que a sustentabilidade das </w:t>
      </w:r>
      <w:r w:rsidRPr="00363917">
        <w:rPr>
          <w:rFonts w:cs="Times New Roman"/>
          <w:szCs w:val="24"/>
        </w:rPr>
        <w:br/>
      </w:r>
      <w:r w:rsidRPr="00363917">
        <w:rPr>
          <w:rFonts w:cs="Times New Roman"/>
          <w:szCs w:val="24"/>
        </w:rPr>
        <w:lastRenderedPageBreak/>
        <w:t xml:space="preserve">pequenas firmas depende não apenas de fatores internos, gestão, qualificação, inovação, mas </w:t>
      </w:r>
      <w:r w:rsidRPr="00363917">
        <w:rPr>
          <w:rFonts w:cs="Times New Roman"/>
          <w:szCs w:val="24"/>
        </w:rPr>
        <w:br/>
        <w:t xml:space="preserve">também de ambientes institucionais favoráveis e da inserção em redes de cooperação, cadeias </w:t>
      </w:r>
      <w:r w:rsidRPr="00363917">
        <w:rPr>
          <w:rFonts w:cs="Times New Roman"/>
          <w:szCs w:val="24"/>
        </w:rPr>
        <w:br/>
        <w:t xml:space="preserve">produtivas e mercados minimamente estáveis (CASSIOLATO; LASTRES, 2003; FJP, 2023). </w:t>
      </w:r>
      <w:r w:rsidRPr="00363917">
        <w:rPr>
          <w:rFonts w:cs="Times New Roman"/>
          <w:szCs w:val="24"/>
        </w:rPr>
        <w:br/>
        <w:t xml:space="preserve">A atuação do Estado, nesse contexto, é vista como parte de um “ ecossistema” que combina </w:t>
      </w:r>
      <w:r w:rsidRPr="00363917">
        <w:rPr>
          <w:rFonts w:cs="Times New Roman"/>
          <w:szCs w:val="24"/>
        </w:rPr>
        <w:br/>
        <w:t xml:space="preserve">políticas de crédito, apoio tecnológico, capacitação e, cada vez mais, políticas de acesso a </w:t>
      </w:r>
      <w:r w:rsidRPr="00363917">
        <w:rPr>
          <w:rFonts w:cs="Times New Roman"/>
          <w:szCs w:val="24"/>
        </w:rPr>
        <w:br/>
        <w:t xml:space="preserve">mercados, em especial aos mercados públicos (BARRETO, 2011; SEBRAE, 2023). </w:t>
      </w:r>
    </w:p>
    <w:p w14:paraId="01CCF4F0"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A literatura sobre desenvolvimento territorial reforça esse ponto ao mostrar que a </w:t>
      </w:r>
      <w:r w:rsidRPr="00363917">
        <w:rPr>
          <w:rFonts w:cs="Times New Roman"/>
          <w:szCs w:val="24"/>
        </w:rPr>
        <w:br/>
        <w:t xml:space="preserve">presença de MPEs em cadeias de suprimento do setor público pode ter efeitos multiplicadores </w:t>
      </w:r>
      <w:r w:rsidRPr="00363917">
        <w:rPr>
          <w:rFonts w:cs="Times New Roman"/>
          <w:szCs w:val="24"/>
        </w:rPr>
        <w:br/>
        <w:t xml:space="preserve">sobre renda, emprego e adensamento de capacidades locais, sobretudo em municípios médios </w:t>
      </w:r>
      <w:r w:rsidRPr="00363917">
        <w:rPr>
          <w:rFonts w:cs="Times New Roman"/>
          <w:szCs w:val="24"/>
        </w:rPr>
        <w:br/>
        <w:t xml:space="preserve">e pequenos (SEBRAE, 2023; FJP, 2023). Trabalhos que analisam experiências de </w:t>
      </w:r>
      <w:r w:rsidRPr="00363917">
        <w:rPr>
          <w:rFonts w:cs="Times New Roman"/>
          <w:szCs w:val="24"/>
        </w:rPr>
        <w:br/>
        <w:t xml:space="preserve">desenvolvimento local no Brasil indicam que a articulação entre MPEs, governos locais e </w:t>
      </w:r>
      <w:r w:rsidRPr="00363917">
        <w:rPr>
          <w:rFonts w:cs="Times New Roman"/>
          <w:szCs w:val="24"/>
        </w:rPr>
        <w:br/>
        <w:t xml:space="preserve">grandes contratantes, públicos ou privados, constitui um dos vetores para transformar a </w:t>
      </w:r>
      <w:r w:rsidRPr="00363917">
        <w:rPr>
          <w:rFonts w:cs="Times New Roman"/>
          <w:szCs w:val="24"/>
        </w:rPr>
        <w:br/>
        <w:t xml:space="preserve">presença dos pequenos negócios em dinâmicas persistentes de desenvolvimento, e não apenas </w:t>
      </w:r>
      <w:r w:rsidRPr="00363917">
        <w:rPr>
          <w:rFonts w:cs="Times New Roman"/>
          <w:szCs w:val="24"/>
        </w:rPr>
        <w:br/>
        <w:t>em ocupações de baixa produtividade (BARRETO, 2011; IPEA, 2023).</w:t>
      </w:r>
    </w:p>
    <w:p w14:paraId="7C8D9C41"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Nesse quadro, a noção de acesso a mercados ganha um sentido mais amplo: não se trata </w:t>
      </w:r>
      <w:r w:rsidRPr="00363917">
        <w:rPr>
          <w:rFonts w:cs="Times New Roman"/>
          <w:szCs w:val="24"/>
        </w:rPr>
        <w:br/>
        <w:t xml:space="preserve">apenas de permitir que MPEs vendam bens ou serviços em mercados concorrenciais, mas de </w:t>
      </w:r>
      <w:r w:rsidRPr="00363917">
        <w:rPr>
          <w:rFonts w:cs="Times New Roman"/>
          <w:szCs w:val="24"/>
        </w:rPr>
        <w:br/>
        <w:t xml:space="preserve">reduzir barreiras institucionais, tais como requisitos excessivos, burocracia e assi metrias de </w:t>
      </w:r>
      <w:r w:rsidRPr="00363917">
        <w:rPr>
          <w:rFonts w:cs="Times New Roman"/>
          <w:szCs w:val="24"/>
        </w:rPr>
        <w:br/>
        <w:t xml:space="preserve">informação, que dificultam sua entrada em mercados mais estáveis, como as compras </w:t>
      </w:r>
      <w:r w:rsidRPr="00363917">
        <w:rPr>
          <w:rFonts w:cs="Times New Roman"/>
          <w:szCs w:val="24"/>
        </w:rPr>
        <w:br/>
        <w:t xml:space="preserve">governamentais (SEBRAE, 2023; PERRY et al., 2007). A literatura aponta que, isoladas, as </w:t>
      </w:r>
      <w:r w:rsidRPr="00363917">
        <w:rPr>
          <w:rFonts w:cs="Times New Roman"/>
          <w:szCs w:val="24"/>
        </w:rPr>
        <w:br/>
        <w:t xml:space="preserve">políticas de crédito ou de desoneração tributária tendem a ter efeitos lim itados, se não forem </w:t>
      </w:r>
      <w:r w:rsidRPr="00363917">
        <w:rPr>
          <w:rFonts w:cs="Times New Roman"/>
          <w:szCs w:val="24"/>
        </w:rPr>
        <w:br/>
        <w:t xml:space="preserve">acompanhadas de iniciativas que ampliem a base de demanda acessível às MPEs (BARRETO, </w:t>
      </w:r>
      <w:r w:rsidRPr="00363917">
        <w:rPr>
          <w:rFonts w:cs="Times New Roman"/>
          <w:szCs w:val="24"/>
        </w:rPr>
        <w:br/>
        <w:t>2011; IPEA, 2023).</w:t>
      </w:r>
    </w:p>
    <w:p w14:paraId="0A37D260" w14:textId="1F9D693C" w:rsidR="00363917" w:rsidRDefault="009A4A48" w:rsidP="00363917">
      <w:pPr>
        <w:tabs>
          <w:tab w:val="left" w:pos="142"/>
        </w:tabs>
        <w:jc w:val="both"/>
        <w:rPr>
          <w:rFonts w:cs="Times New Roman"/>
          <w:szCs w:val="24"/>
        </w:rPr>
      </w:pPr>
      <w:r>
        <w:rPr>
          <w:rFonts w:cs="Times New Roman"/>
          <w:b/>
          <w:szCs w:val="24"/>
        </w:rPr>
        <w:t xml:space="preserve">3.2 </w:t>
      </w:r>
      <w:r w:rsidR="00000000" w:rsidRPr="00363917">
        <w:rPr>
          <w:rFonts w:cs="Times New Roman"/>
          <w:b/>
          <w:szCs w:val="24"/>
        </w:rPr>
        <w:t>Compras públicas como instrumento de política para MPEs: evidências</w:t>
      </w:r>
      <w:r w:rsidR="00363917">
        <w:rPr>
          <w:rFonts w:cs="Times New Roman"/>
          <w:szCs w:val="24"/>
        </w:rPr>
        <w:t xml:space="preserve"> </w:t>
      </w:r>
      <w:r w:rsidR="00000000" w:rsidRPr="009A4A48">
        <w:rPr>
          <w:rFonts w:cs="Times New Roman"/>
          <w:b/>
          <w:bCs/>
          <w:szCs w:val="24"/>
        </w:rPr>
        <w:t>internacionais</w:t>
      </w:r>
      <w:r w:rsidR="00000000" w:rsidRPr="00363917">
        <w:rPr>
          <w:rFonts w:cs="Times New Roman"/>
          <w:szCs w:val="24"/>
        </w:rPr>
        <w:t xml:space="preserve"> </w:t>
      </w:r>
    </w:p>
    <w:p w14:paraId="477A0B08"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Em diversos países, as compras governamentais passaram a ser tratadas explicitamente </w:t>
      </w:r>
      <w:r w:rsidRPr="00363917">
        <w:rPr>
          <w:rFonts w:cs="Times New Roman"/>
          <w:szCs w:val="24"/>
        </w:rPr>
        <w:br/>
        <w:t xml:space="preserve">como instrumento de política para pequenas empresas, inovação e desenvolvimento regional </w:t>
      </w:r>
      <w:r w:rsidRPr="00363917">
        <w:rPr>
          <w:rFonts w:cs="Times New Roman"/>
          <w:szCs w:val="24"/>
        </w:rPr>
        <w:br/>
        <w:t xml:space="preserve">(OCDE, 2023; MCCRUDDEN, 2004). A literatura internacional destaca alguns casos </w:t>
      </w:r>
      <w:r w:rsidRPr="00363917">
        <w:rPr>
          <w:rFonts w:cs="Times New Roman"/>
          <w:szCs w:val="24"/>
        </w:rPr>
        <w:br/>
        <w:t xml:space="preserve">paradigmáticos, que interessam diretamente ao presente estudo por combinarem marcos legais </w:t>
      </w:r>
      <w:r w:rsidRPr="00363917">
        <w:rPr>
          <w:rFonts w:cs="Times New Roman"/>
          <w:szCs w:val="24"/>
        </w:rPr>
        <w:br/>
        <w:t xml:space="preserve">claros de favorecimento às MPEs, sistemas eletrônicos robustos de compras e esforços </w:t>
      </w:r>
      <w:r w:rsidRPr="00363917">
        <w:rPr>
          <w:rFonts w:cs="Times New Roman"/>
          <w:szCs w:val="24"/>
        </w:rPr>
        <w:br/>
        <w:t xml:space="preserve">sistemáticos de avaliação de resultados e de policy learning (ROPER, 2018; ROPER; HART, </w:t>
      </w:r>
      <w:r w:rsidRPr="00363917">
        <w:rPr>
          <w:rFonts w:cs="Times New Roman"/>
          <w:szCs w:val="24"/>
        </w:rPr>
        <w:br/>
        <w:t xml:space="preserve">2020; OCDE, 2023). </w:t>
      </w:r>
    </w:p>
    <w:p w14:paraId="21AA6851" w14:textId="77777777" w:rsidR="00363917" w:rsidRDefault="00000000" w:rsidP="00363917">
      <w:pPr>
        <w:tabs>
          <w:tab w:val="left" w:pos="142"/>
        </w:tabs>
        <w:ind w:firstLine="851"/>
        <w:jc w:val="both"/>
        <w:rPr>
          <w:rFonts w:cs="Times New Roman"/>
          <w:szCs w:val="24"/>
        </w:rPr>
      </w:pPr>
      <w:r w:rsidRPr="00363917">
        <w:rPr>
          <w:rFonts w:cs="Times New Roman"/>
          <w:szCs w:val="24"/>
        </w:rPr>
        <w:lastRenderedPageBreak/>
        <w:t xml:space="preserve">No Reino Unido, a articulação entre política de inovação e compras públicas é </w:t>
      </w:r>
      <w:r w:rsidRPr="00363917">
        <w:rPr>
          <w:rFonts w:cs="Times New Roman"/>
          <w:szCs w:val="24"/>
        </w:rPr>
        <w:br/>
        <w:t xml:space="preserve">frequentemente citada como referência. Avaliações do programa Small Business Research </w:t>
      </w:r>
      <w:r w:rsidRPr="00363917">
        <w:rPr>
          <w:rFonts w:cs="Times New Roman"/>
          <w:szCs w:val="24"/>
        </w:rPr>
        <w:br/>
        <w:t xml:space="preserve">Initiative (SBRI) mostram como a contratação de pequenas firmas para resolver desafios </w:t>
      </w:r>
      <w:r w:rsidRPr="00363917">
        <w:rPr>
          <w:rFonts w:cs="Times New Roman"/>
          <w:szCs w:val="24"/>
        </w:rPr>
        <w:br/>
        <w:t xml:space="preserve">públicos específicos pode gerar aprendizagem tanto do lado das empresas quanto do lado do </w:t>
      </w:r>
      <w:r w:rsidRPr="00363917">
        <w:rPr>
          <w:rFonts w:cs="Times New Roman"/>
          <w:szCs w:val="24"/>
        </w:rPr>
        <w:br/>
        <w:t xml:space="preserve">governo, além de fortalecer capacidades inovativas (ROPER, 2018; ROPER; HART, 2020). </w:t>
      </w:r>
      <w:r w:rsidRPr="00363917">
        <w:rPr>
          <w:rFonts w:cs="Times New Roman"/>
          <w:szCs w:val="24"/>
        </w:rPr>
        <w:br/>
        <w:t xml:space="preserve">Esses estudos destacam que, quando bem desenhadas, políticas baseadas em contratação </w:t>
      </w:r>
      <w:r w:rsidRPr="00363917">
        <w:rPr>
          <w:rFonts w:cs="Times New Roman"/>
          <w:szCs w:val="24"/>
        </w:rPr>
        <w:br/>
        <w:t xml:space="preserve">pública podem reduzir barreiras de entrada para pequenas empresas em mercados intensivos </w:t>
      </w:r>
      <w:r w:rsidRPr="00363917">
        <w:rPr>
          <w:rFonts w:cs="Times New Roman"/>
          <w:szCs w:val="24"/>
        </w:rPr>
        <w:br/>
        <w:t xml:space="preserve">em inovação, estimular relações mais cooperativas entre pequenas firmas e grandes </w:t>
      </w:r>
      <w:r w:rsidRPr="00363917">
        <w:rPr>
          <w:rFonts w:cs="Times New Roman"/>
          <w:szCs w:val="24"/>
        </w:rPr>
        <w:br/>
        <w:t xml:space="preserve">compradores públicos e criar ciclos de policy learning, em que os resultados das chamadas e </w:t>
      </w:r>
      <w:r w:rsidRPr="00363917">
        <w:rPr>
          <w:rFonts w:cs="Times New Roman"/>
          <w:szCs w:val="24"/>
        </w:rPr>
        <w:br/>
        <w:t xml:space="preserve">contratos retroalimentam o desenho de novas rodadas de compras (ROPER, 2018; ROPER; </w:t>
      </w:r>
      <w:r w:rsidRPr="00363917">
        <w:rPr>
          <w:rFonts w:cs="Times New Roman"/>
          <w:szCs w:val="24"/>
        </w:rPr>
        <w:br/>
        <w:t xml:space="preserve">HART, 2020). </w:t>
      </w:r>
    </w:p>
    <w:p w14:paraId="0E4D79FD"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Em termos jurídicos, a experiência britânica também é relevante pelo debate sobre </w:t>
      </w:r>
      <w:r w:rsidRPr="00363917">
        <w:rPr>
          <w:rFonts w:cs="Times New Roman"/>
          <w:szCs w:val="24"/>
        </w:rPr>
        <w:br/>
        <w:t xml:space="preserve">remédios e enforcement das regras de contratação. Arrowsmith e Craven analisam o sistema de </w:t>
      </w:r>
      <w:r w:rsidRPr="00363917">
        <w:rPr>
          <w:rFonts w:cs="Times New Roman"/>
          <w:szCs w:val="24"/>
        </w:rPr>
        <w:br/>
        <w:t xml:space="preserve">recursos e reparações no âmbito das diretivas europeias e do direito britânico, mostrando como </w:t>
      </w:r>
      <w:r w:rsidRPr="00363917">
        <w:rPr>
          <w:rFonts w:cs="Times New Roman"/>
          <w:szCs w:val="24"/>
        </w:rPr>
        <w:br/>
        <w:t xml:space="preserve">o acesso à justiça e a efetividade dos remédios influenciam o comportamento de fornecedores, </w:t>
      </w:r>
      <w:r w:rsidRPr="00363917">
        <w:rPr>
          <w:rFonts w:cs="Times New Roman"/>
          <w:szCs w:val="24"/>
        </w:rPr>
        <w:br/>
        <w:t xml:space="preserve">inclusive pequenas empresas, diante de supostas violações das normas de compras públicas </w:t>
      </w:r>
      <w:r w:rsidRPr="00363917">
        <w:rPr>
          <w:rFonts w:cs="Times New Roman"/>
          <w:szCs w:val="24"/>
        </w:rPr>
        <w:br/>
        <w:t xml:space="preserve">(ARROWSMITH; CRAVEN, 2016). Essa dimensão de enforcement é central para </w:t>
      </w:r>
      <w:r w:rsidRPr="00363917">
        <w:rPr>
          <w:rFonts w:cs="Times New Roman"/>
          <w:szCs w:val="24"/>
        </w:rPr>
        <w:br/>
        <w:t xml:space="preserve">compreender se políticas pró -MPE, uma vez consagradas em lei, de fato se materializam em </w:t>
      </w:r>
      <w:r w:rsidRPr="00363917">
        <w:rPr>
          <w:rFonts w:cs="Times New Roman"/>
          <w:szCs w:val="24"/>
        </w:rPr>
        <w:br/>
        <w:t>práticas e resultados.</w:t>
      </w:r>
    </w:p>
    <w:p w14:paraId="27913E1E"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Na América Latina, o caso do ChileCompra é um dos mais estudados. A plataforma </w:t>
      </w:r>
      <w:r w:rsidRPr="00363917">
        <w:rPr>
          <w:rFonts w:cs="Times New Roman"/>
          <w:szCs w:val="24"/>
        </w:rPr>
        <w:br/>
        <w:t xml:space="preserve">nacional de compras públicas do Chile, criada em 2003, consolidou-se como referência em </w:t>
      </w:r>
      <w:r w:rsidRPr="00363917">
        <w:rPr>
          <w:rFonts w:cs="Times New Roman"/>
          <w:szCs w:val="24"/>
        </w:rPr>
        <w:br/>
        <w:t xml:space="preserve">transparência e participação de MPEs. Relatórios da OCDE e estudos específicos sobre o </w:t>
      </w:r>
      <w:r w:rsidRPr="00363917">
        <w:rPr>
          <w:rFonts w:cs="Times New Roman"/>
          <w:szCs w:val="24"/>
        </w:rPr>
        <w:br/>
        <w:t xml:space="preserve">sistema mostram que cerca de 90% dos fornecedores que operam via ChileCompra são micro </w:t>
      </w:r>
      <w:r w:rsidRPr="00363917">
        <w:rPr>
          <w:rFonts w:cs="Times New Roman"/>
          <w:szCs w:val="24"/>
        </w:rPr>
        <w:br/>
        <w:t xml:space="preserve">ou pequenas empresas e que elas respondem por aproximadamente 40% do valor transacionado </w:t>
      </w:r>
      <w:r w:rsidRPr="00363917">
        <w:rPr>
          <w:rFonts w:cs="Times New Roman"/>
          <w:szCs w:val="24"/>
        </w:rPr>
        <w:br/>
        <w:t xml:space="preserve">na plataforma, proporção significativamente superior à média de participação de MP Es na </w:t>
      </w:r>
      <w:r w:rsidRPr="00363917">
        <w:rPr>
          <w:rFonts w:cs="Times New Roman"/>
          <w:szCs w:val="24"/>
        </w:rPr>
        <w:br/>
        <w:t xml:space="preserve">economia como um todo (OCDE, 2023). Mais recentemente, análises focadas em iniciativas de </w:t>
      </w:r>
      <w:r w:rsidRPr="00363917">
        <w:rPr>
          <w:rFonts w:cs="Times New Roman"/>
          <w:szCs w:val="24"/>
        </w:rPr>
        <w:br/>
        <w:t xml:space="preserve">apoio aos microempreendedores via centros de apoio do ChileCompra sugerem que, embora a </w:t>
      </w:r>
      <w:r w:rsidRPr="00363917">
        <w:rPr>
          <w:rFonts w:cs="Times New Roman"/>
          <w:szCs w:val="24"/>
        </w:rPr>
        <w:br/>
        <w:t xml:space="preserve">participação numérica das microempresas seja elevada, persistem desafios relacionados à </w:t>
      </w:r>
      <w:r w:rsidRPr="00363917">
        <w:rPr>
          <w:rFonts w:cs="Times New Roman"/>
          <w:szCs w:val="24"/>
        </w:rPr>
        <w:br/>
        <w:t xml:space="preserve">concentração de valores em poucos fornecedores e à necessidade de políticas complementares </w:t>
      </w:r>
      <w:r w:rsidRPr="00363917">
        <w:rPr>
          <w:rFonts w:cs="Times New Roman"/>
          <w:szCs w:val="24"/>
        </w:rPr>
        <w:br/>
        <w:t>de capacitação e simplificação procedimental (OCDE, 2023).</w:t>
      </w:r>
    </w:p>
    <w:p w14:paraId="7D2042E6" w14:textId="6FBFAE5E" w:rsidR="00C94DC6" w:rsidRPr="00363917" w:rsidRDefault="00000000" w:rsidP="00363917">
      <w:pPr>
        <w:tabs>
          <w:tab w:val="left" w:pos="142"/>
        </w:tabs>
        <w:ind w:firstLine="851"/>
        <w:jc w:val="both"/>
        <w:rPr>
          <w:rFonts w:cs="Times New Roman"/>
          <w:szCs w:val="24"/>
        </w:rPr>
      </w:pPr>
      <w:r w:rsidRPr="00363917">
        <w:rPr>
          <w:rFonts w:cs="Times New Roman"/>
          <w:szCs w:val="24"/>
        </w:rPr>
        <w:lastRenderedPageBreak/>
        <w:t xml:space="preserve">Estudos patrocinados por organismos internacionais, como OIT e Banco Mundial, </w:t>
      </w:r>
      <w:r w:rsidRPr="00363917">
        <w:rPr>
          <w:rFonts w:cs="Times New Roman"/>
          <w:szCs w:val="24"/>
        </w:rPr>
        <w:br/>
        <w:t xml:space="preserve">sintetizam um conjunto de boas práticas em políticas de compras públicas pró -MPEs. Entre </w:t>
      </w:r>
      <w:r w:rsidRPr="00363917">
        <w:rPr>
          <w:rFonts w:cs="Times New Roman"/>
          <w:szCs w:val="24"/>
        </w:rPr>
        <w:br/>
        <w:t xml:space="preserve">essas práticas, destacam-se a definição de metas claras de participação, a simplificação de </w:t>
      </w:r>
      <w:r w:rsidRPr="00363917">
        <w:rPr>
          <w:rFonts w:cs="Times New Roman"/>
          <w:szCs w:val="24"/>
        </w:rPr>
        <w:br/>
        <w:t xml:space="preserve">requisitos de qualificação, a subdivisão de contratos em lotes, a previsão de cotas ou licitações </w:t>
      </w:r>
      <w:r w:rsidRPr="00363917">
        <w:rPr>
          <w:rFonts w:cs="Times New Roman"/>
          <w:szCs w:val="24"/>
        </w:rPr>
        <w:br/>
        <w:t xml:space="preserve">exclusivas para pequenos fornecedores, a possibilidade de subcontratação e a implementação </w:t>
      </w:r>
      <w:r w:rsidRPr="00363917">
        <w:rPr>
          <w:rFonts w:cs="Times New Roman"/>
          <w:szCs w:val="24"/>
        </w:rPr>
        <w:br/>
        <w:t xml:space="preserve">de programas de capacitação orientados especificamente para empr esas de pequeno porte </w:t>
      </w:r>
      <w:r w:rsidRPr="00363917">
        <w:rPr>
          <w:rFonts w:cs="Times New Roman"/>
          <w:szCs w:val="24"/>
        </w:rPr>
        <w:br/>
        <w:t xml:space="preserve">(MCCRUDDEN, 2004; PERRY et al., 2007; OCDE, 2023). Um ponto comum a essas </w:t>
      </w:r>
      <w:r w:rsidRPr="00363917">
        <w:rPr>
          <w:rFonts w:cs="Times New Roman"/>
          <w:szCs w:val="24"/>
        </w:rPr>
        <w:br/>
        <w:t xml:space="preserve">experiências é a ênfase em bases de dados administrativos de boa qualidade, que permitam </w:t>
      </w:r>
      <w:r w:rsidRPr="00363917">
        <w:rPr>
          <w:rFonts w:cs="Times New Roman"/>
          <w:szCs w:val="24"/>
        </w:rPr>
        <w:br/>
        <w:t xml:space="preserve">monitorar de forma sistemática a participação, o sucesso e o valor contratado com MPEs, bem </w:t>
      </w:r>
      <w:r w:rsidRPr="00363917">
        <w:rPr>
          <w:rFonts w:cs="Times New Roman"/>
          <w:szCs w:val="24"/>
        </w:rPr>
        <w:br/>
        <w:t xml:space="preserve">como realizar análises desagregadas por setor, território e tipo de contrato (OCDE, 2023; IPEA, </w:t>
      </w:r>
      <w:r w:rsidRPr="00363917">
        <w:rPr>
          <w:rFonts w:cs="Times New Roman"/>
          <w:szCs w:val="24"/>
        </w:rPr>
        <w:br/>
        <w:t xml:space="preserve">2023). Essa ênfase em dados é diretam ente relevante para o presente projeto, que se propõe </w:t>
      </w:r>
      <w:r w:rsidRPr="00363917">
        <w:rPr>
          <w:rFonts w:cs="Times New Roman"/>
          <w:szCs w:val="24"/>
        </w:rPr>
        <w:br/>
        <w:t xml:space="preserve">justamente a explorar uma base administrativa, os pregões eletrônicos de serviços via Banrisul, </w:t>
      </w:r>
      <w:r w:rsidRPr="00363917">
        <w:rPr>
          <w:rFonts w:cs="Times New Roman"/>
          <w:szCs w:val="24"/>
        </w:rPr>
        <w:br/>
        <w:t>em perspectiva comparativa entre 2015 e 2025.</w:t>
      </w:r>
    </w:p>
    <w:p w14:paraId="59B36B9D" w14:textId="13F45C55"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3.3 </w:t>
      </w:r>
      <w:r w:rsidR="00000000" w:rsidRPr="00363917">
        <w:rPr>
          <w:rFonts w:ascii="Times New Roman" w:eastAsia="Times New Roman" w:hAnsi="Times New Roman" w:cs="Times New Roman"/>
          <w:color w:val="auto"/>
          <w:szCs w:val="24"/>
        </w:rPr>
        <w:t>Trajetória brasileira: LC 123/2006, compras públicas e MPEs</w:t>
      </w:r>
    </w:p>
    <w:p w14:paraId="69AFE779"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No Brasil, a literatura aponta a Lei Complementar nº 123/2006 como marco decisivo na </w:t>
      </w:r>
      <w:r w:rsidRPr="00363917">
        <w:rPr>
          <w:rFonts w:cs="Times New Roman"/>
          <w:szCs w:val="24"/>
        </w:rPr>
        <w:br/>
        <w:t xml:space="preserve">estruturação de um microssistema jurídico voltado às MPEs, combinando simplificação </w:t>
      </w:r>
      <w:r w:rsidRPr="00363917">
        <w:rPr>
          <w:rFonts w:cs="Times New Roman"/>
          <w:szCs w:val="24"/>
        </w:rPr>
        <w:br/>
        <w:t xml:space="preserve">tributária, por meio do Simples Nacional, estímulo à formalização e instrumentos de ace sso a </w:t>
      </w:r>
      <w:r w:rsidRPr="00363917">
        <w:rPr>
          <w:rFonts w:cs="Times New Roman"/>
          <w:szCs w:val="24"/>
        </w:rPr>
        <w:br/>
        <w:t xml:space="preserve">mercados (NOGUEIRA, 2010; BARRETO, 2011). A partir desse marco, as compras públicas </w:t>
      </w:r>
      <w:r w:rsidRPr="00363917">
        <w:rPr>
          <w:rFonts w:cs="Times New Roman"/>
          <w:szCs w:val="24"/>
        </w:rPr>
        <w:br/>
        <w:t xml:space="preserve">passam a ser incorporadas explicitamente como eixo de política de desenvolvimento, </w:t>
      </w:r>
      <w:r w:rsidRPr="00363917">
        <w:rPr>
          <w:rFonts w:cs="Times New Roman"/>
          <w:szCs w:val="24"/>
        </w:rPr>
        <w:br/>
        <w:t xml:space="preserve">especialmente por meio dos artigos 42 a 49, que instituem licitações exclusivas para MPEs até </w:t>
      </w:r>
      <w:r w:rsidRPr="00363917">
        <w:rPr>
          <w:rFonts w:cs="Times New Roman"/>
          <w:szCs w:val="24"/>
        </w:rPr>
        <w:br/>
        <w:t xml:space="preserve">determinado valor, cotas reservadas em itens divisíveis, subcontratação obrigatória de MPEs </w:t>
      </w:r>
      <w:r w:rsidRPr="00363917">
        <w:rPr>
          <w:rFonts w:cs="Times New Roman"/>
          <w:szCs w:val="24"/>
        </w:rPr>
        <w:br/>
        <w:t xml:space="preserve">em grandes contratos, critérios de desempate pró -MPE, conhecidos como empate ficto, e </w:t>
      </w:r>
      <w:r w:rsidRPr="00363917">
        <w:rPr>
          <w:rFonts w:cs="Times New Roman"/>
          <w:szCs w:val="24"/>
        </w:rPr>
        <w:br/>
        <w:t xml:space="preserve">flexibilização da comprovação da regularidade fiscal, com prazo par a regularização posterior </w:t>
      </w:r>
      <w:r w:rsidRPr="00363917">
        <w:rPr>
          <w:rFonts w:cs="Times New Roman"/>
          <w:szCs w:val="24"/>
        </w:rPr>
        <w:br/>
        <w:t xml:space="preserve">(BARRETO, 2011; IPEA, 2023). </w:t>
      </w:r>
    </w:p>
    <w:p w14:paraId="41E57FCE"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Diversos estudos produzidos por IPEA, Fundação João Pinheiro e SEBRAE mostram </w:t>
      </w:r>
      <w:r w:rsidRPr="00363917">
        <w:rPr>
          <w:rFonts w:cs="Times New Roman"/>
          <w:szCs w:val="24"/>
        </w:rPr>
        <w:br/>
        <w:t xml:space="preserve">que, desde meados da década de 2010, houve crescimento expressivo da participação de MPEs </w:t>
      </w:r>
      <w:r w:rsidRPr="00363917">
        <w:rPr>
          <w:rFonts w:cs="Times New Roman"/>
          <w:szCs w:val="24"/>
        </w:rPr>
        <w:br/>
        <w:t xml:space="preserve">nos contratos de compras governamentais, tanto em número de contratos quanto em valores, </w:t>
      </w:r>
      <w:r w:rsidRPr="00363917">
        <w:rPr>
          <w:rFonts w:cs="Times New Roman"/>
          <w:szCs w:val="24"/>
        </w:rPr>
        <w:br/>
        <w:t xml:space="preserve">sobretudo na esfera federal (IPEA, 2023; FJP, 2023; SEBRAE, 2023). Esses diagnósticos </w:t>
      </w:r>
      <w:r w:rsidRPr="00363917">
        <w:rPr>
          <w:rFonts w:cs="Times New Roman"/>
          <w:szCs w:val="24"/>
        </w:rPr>
        <w:br/>
        <w:t xml:space="preserve">indicam aumento da participação das MPEs no total de contratos de compras públicas, ainda </w:t>
      </w:r>
      <w:r w:rsidRPr="00363917">
        <w:rPr>
          <w:rFonts w:cs="Times New Roman"/>
          <w:szCs w:val="24"/>
        </w:rPr>
        <w:br/>
        <w:t xml:space="preserve">que com valores médios contratados inferiores aos das empresas maiores, e reforçam a ideia de </w:t>
      </w:r>
      <w:r w:rsidRPr="00363917">
        <w:rPr>
          <w:rFonts w:cs="Times New Roman"/>
          <w:szCs w:val="24"/>
        </w:rPr>
        <w:br/>
      </w:r>
      <w:r w:rsidRPr="00363917">
        <w:rPr>
          <w:rFonts w:cs="Times New Roman"/>
          <w:szCs w:val="24"/>
        </w:rPr>
        <w:lastRenderedPageBreak/>
        <w:t xml:space="preserve">que a LC 123/2006 ampliou o espaço das pequenas empresas nas compras públicas (IPEA, </w:t>
      </w:r>
      <w:r w:rsidRPr="00363917">
        <w:rPr>
          <w:rFonts w:cs="Times New Roman"/>
          <w:szCs w:val="24"/>
        </w:rPr>
        <w:br/>
        <w:t xml:space="preserve">2023). Relatórios produzidos no âmbito do SEBRAE indicam, ainda, que as MPEs respondem </w:t>
      </w:r>
      <w:r w:rsidRPr="00363917">
        <w:rPr>
          <w:rFonts w:cs="Times New Roman"/>
          <w:szCs w:val="24"/>
        </w:rPr>
        <w:br/>
        <w:t xml:space="preserve">por parcela significativa do número de fornecedores cadastrados em sistemas como o SICAF e </w:t>
      </w:r>
      <w:r w:rsidRPr="00363917">
        <w:rPr>
          <w:rFonts w:cs="Times New Roman"/>
          <w:szCs w:val="24"/>
        </w:rPr>
        <w:br/>
        <w:t xml:space="preserve">o Compras.gov.br e que sua participação nas compras federais cresceu de forma consistente na </w:t>
      </w:r>
      <w:r w:rsidRPr="00363917">
        <w:rPr>
          <w:rFonts w:cs="Times New Roman"/>
          <w:szCs w:val="24"/>
        </w:rPr>
        <w:br/>
        <w:t xml:space="preserve">última década, em parte como resultado de esforços de disseminação dos instrumentos da LC </w:t>
      </w:r>
      <w:r w:rsidRPr="00363917">
        <w:rPr>
          <w:rFonts w:cs="Times New Roman"/>
          <w:szCs w:val="24"/>
        </w:rPr>
        <w:br/>
        <w:t>123 (SEBRAE, 2023; IPEA, 2023).</w:t>
      </w:r>
    </w:p>
    <w:p w14:paraId="2839F474"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No entanto, a literatura enfatiza que esse avanço não se distribui de maneira homogênea </w:t>
      </w:r>
      <w:r w:rsidRPr="00363917">
        <w:rPr>
          <w:rFonts w:cs="Times New Roman"/>
          <w:szCs w:val="24"/>
        </w:rPr>
        <w:br/>
        <w:t xml:space="preserve">no território nacional, nem entre diferentes níveis de governo. Estudos de caso em municípios </w:t>
      </w:r>
      <w:r w:rsidRPr="00363917">
        <w:rPr>
          <w:rFonts w:cs="Times New Roman"/>
          <w:szCs w:val="24"/>
        </w:rPr>
        <w:br/>
        <w:t xml:space="preserve">e estados específicos revelam que a incorporação dos mecanismos pró -MPE de pende </w:t>
      </w:r>
      <w:r w:rsidRPr="00363917">
        <w:rPr>
          <w:rFonts w:cs="Times New Roman"/>
          <w:szCs w:val="24"/>
        </w:rPr>
        <w:br/>
        <w:t xml:space="preserve">fortemente da capacidade administrativa local, da existência ou não de apoio técnico, por </w:t>
      </w:r>
      <w:r w:rsidRPr="00363917">
        <w:rPr>
          <w:rFonts w:cs="Times New Roman"/>
          <w:szCs w:val="24"/>
        </w:rPr>
        <w:br/>
        <w:t xml:space="preserve">exemplo de SEBRAE e tribunais de contas, e do grau de institucionalização de rotinas de </w:t>
      </w:r>
      <w:r w:rsidRPr="00363917">
        <w:rPr>
          <w:rFonts w:cs="Times New Roman"/>
          <w:szCs w:val="24"/>
        </w:rPr>
        <w:br/>
        <w:t xml:space="preserve">compras eletrônicas (ABRUCIO, 2005; GOMIDE; PIRES, 2014; PIRES; GOMIDE, 2016; FJP, </w:t>
      </w:r>
      <w:r w:rsidRPr="00363917">
        <w:rPr>
          <w:rFonts w:cs="Times New Roman"/>
          <w:szCs w:val="24"/>
        </w:rPr>
        <w:br/>
        <w:t>2023).</w:t>
      </w:r>
    </w:p>
    <w:p w14:paraId="53343BD4" w14:textId="2766A7A4" w:rsidR="00C94DC6" w:rsidRPr="00363917" w:rsidRDefault="00000000" w:rsidP="00363917">
      <w:pPr>
        <w:tabs>
          <w:tab w:val="left" w:pos="142"/>
        </w:tabs>
        <w:ind w:firstLine="851"/>
        <w:jc w:val="both"/>
        <w:rPr>
          <w:rFonts w:cs="Times New Roman"/>
          <w:szCs w:val="24"/>
        </w:rPr>
      </w:pPr>
      <w:r w:rsidRPr="00363917">
        <w:rPr>
          <w:rFonts w:cs="Times New Roman"/>
          <w:szCs w:val="24"/>
        </w:rPr>
        <w:t xml:space="preserve">A introdução da Lei nº 14.133/2021, que reformula o regime geral de licitações e </w:t>
      </w:r>
      <w:r w:rsidRPr="00363917">
        <w:rPr>
          <w:rFonts w:cs="Times New Roman"/>
          <w:szCs w:val="24"/>
        </w:rPr>
        <w:br/>
        <w:t xml:space="preserve">contratos administrativos, reconfigura esse cenário ao integrar explicitamente a LC 123/2006 </w:t>
      </w:r>
      <w:r w:rsidRPr="00363917">
        <w:rPr>
          <w:rFonts w:cs="Times New Roman"/>
          <w:szCs w:val="24"/>
        </w:rPr>
        <w:br/>
        <w:t xml:space="preserve">ao novo marco de contratações, estabelecer objetivos relacionados ao desenvolvimen to </w:t>
      </w:r>
      <w:r w:rsidRPr="00363917">
        <w:rPr>
          <w:rFonts w:cs="Times New Roman"/>
          <w:szCs w:val="24"/>
        </w:rPr>
        <w:br/>
        <w:t xml:space="preserve">nacional sustentável e reforçar exigências de planejamento, governança e transparência </w:t>
      </w:r>
      <w:r w:rsidRPr="00363917">
        <w:rPr>
          <w:rFonts w:cs="Times New Roman"/>
          <w:szCs w:val="24"/>
        </w:rPr>
        <w:br/>
        <w:t xml:space="preserve">(BATISTA, 2017; IPEA, 2023). A literatura jurídica e de políticas públicas identifica nesse </w:t>
      </w:r>
      <w:r w:rsidRPr="00363917">
        <w:rPr>
          <w:rFonts w:cs="Times New Roman"/>
          <w:szCs w:val="24"/>
        </w:rPr>
        <w:br/>
        <w:t xml:space="preserve">movimento uma oportunidade de consolidar e ampliar o tratamento favorecido às MPEs, mas </w:t>
      </w:r>
      <w:r w:rsidRPr="00363917">
        <w:rPr>
          <w:rFonts w:cs="Times New Roman"/>
          <w:szCs w:val="24"/>
        </w:rPr>
        <w:br/>
        <w:t xml:space="preserve">chama atenção para o risco de que, sem investimentos em capacidade institucional e em </w:t>
      </w:r>
      <w:r w:rsidRPr="00363917">
        <w:rPr>
          <w:rFonts w:cs="Times New Roman"/>
          <w:szCs w:val="24"/>
        </w:rPr>
        <w:br/>
        <w:t xml:space="preserve">sistemas de informação, a nova lei repita o padrão de “normas avançadas, implementação </w:t>
      </w:r>
      <w:r w:rsidRPr="00363917">
        <w:rPr>
          <w:rFonts w:cs="Times New Roman"/>
          <w:szCs w:val="24"/>
        </w:rPr>
        <w:br/>
        <w:t xml:space="preserve">desigual” que já caracterizava a LC 123 (BATISTA, 2017; GOMIDE; PIRES, 2014; PIRES; </w:t>
      </w:r>
      <w:r w:rsidRPr="00363917">
        <w:rPr>
          <w:rFonts w:cs="Times New Roman"/>
          <w:szCs w:val="24"/>
        </w:rPr>
        <w:br/>
        <w:t>GOMIDE, 2016).</w:t>
      </w:r>
    </w:p>
    <w:p w14:paraId="15E80D09" w14:textId="3A4D486C"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3.4 </w:t>
      </w:r>
      <w:r w:rsidR="00000000" w:rsidRPr="00363917">
        <w:rPr>
          <w:rFonts w:ascii="Times New Roman" w:eastAsia="Times New Roman" w:hAnsi="Times New Roman" w:cs="Times New Roman"/>
          <w:color w:val="auto"/>
          <w:szCs w:val="24"/>
        </w:rPr>
        <w:t>Estudos empíricos sobre participação de MPEs em licitações e seus determinantes</w:t>
      </w:r>
    </w:p>
    <w:p w14:paraId="12D18995"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No campo da administração pública e da gestão, alguns estudos empíricos se dedicaram </w:t>
      </w:r>
      <w:r w:rsidRPr="00363917">
        <w:rPr>
          <w:rFonts w:cs="Times New Roman"/>
          <w:szCs w:val="24"/>
        </w:rPr>
        <w:br/>
        <w:t xml:space="preserve">a investigar, de forma mais sistemática, determinantes da participação e do sucesso de MPEs </w:t>
      </w:r>
      <w:r w:rsidRPr="00363917">
        <w:rPr>
          <w:rFonts w:cs="Times New Roman"/>
          <w:szCs w:val="24"/>
        </w:rPr>
        <w:br/>
        <w:t xml:space="preserve">em compras públicas (BATISTA, 2017; IPEA, 2023). Análises baseadas em bases de licitações </w:t>
      </w:r>
      <w:r w:rsidRPr="00363917">
        <w:rPr>
          <w:rFonts w:cs="Times New Roman"/>
          <w:szCs w:val="24"/>
        </w:rPr>
        <w:br/>
        <w:t xml:space="preserve">mostram a importância do porte empresarial, da experiência prévia em contratos públicos, da </w:t>
      </w:r>
      <w:r w:rsidRPr="00363917">
        <w:rPr>
          <w:rFonts w:cs="Times New Roman"/>
          <w:szCs w:val="24"/>
        </w:rPr>
        <w:br/>
        <w:t xml:space="preserve">localização geográfica e do tipo de objeto licitado, distinguindo entre bens e serviços, para </w:t>
      </w:r>
      <w:r w:rsidRPr="00363917">
        <w:rPr>
          <w:rFonts w:cs="Times New Roman"/>
          <w:szCs w:val="24"/>
        </w:rPr>
        <w:br/>
        <w:t>explicar padrões de participação e desempenho (SILVA; REIS; MELLO, 2019; IPEA, 2023).</w:t>
      </w:r>
    </w:p>
    <w:p w14:paraId="58BF516C" w14:textId="5A572054" w:rsidR="00363917" w:rsidRDefault="00000000" w:rsidP="00363917">
      <w:pPr>
        <w:tabs>
          <w:tab w:val="left" w:pos="142"/>
        </w:tabs>
        <w:ind w:firstLine="851"/>
        <w:jc w:val="both"/>
        <w:rPr>
          <w:rFonts w:cs="Times New Roman"/>
          <w:szCs w:val="24"/>
        </w:rPr>
      </w:pPr>
      <w:r w:rsidRPr="00363917">
        <w:rPr>
          <w:rFonts w:cs="Times New Roman"/>
          <w:szCs w:val="24"/>
        </w:rPr>
        <w:lastRenderedPageBreak/>
        <w:t xml:space="preserve">Esses estudos encontram evidências de que empresas menores tendem a participar menos de grandes certames, mas também sugerem que, quando há instrumentos específicos de </w:t>
      </w:r>
      <w:r w:rsidRPr="00363917">
        <w:rPr>
          <w:rFonts w:cs="Times New Roman"/>
          <w:szCs w:val="24"/>
        </w:rPr>
        <w:br/>
        <w:t xml:space="preserve">favorecimento, como a fragmentação de contratos em lotes menores e a definição de exigências </w:t>
      </w:r>
      <w:r w:rsidRPr="00363917">
        <w:rPr>
          <w:rFonts w:cs="Times New Roman"/>
          <w:szCs w:val="24"/>
        </w:rPr>
        <w:br/>
        <w:t xml:space="preserve">de qualificação proporcionais, a participação de pequenas firmas aumenta (SILVA; REIS; </w:t>
      </w:r>
      <w:r w:rsidRPr="00363917">
        <w:rPr>
          <w:rFonts w:cs="Times New Roman"/>
          <w:szCs w:val="24"/>
        </w:rPr>
        <w:br/>
        <w:t xml:space="preserve">MELLO, 2019; SEBRAE, 2023). </w:t>
      </w:r>
    </w:p>
    <w:p w14:paraId="5E8F7BBC"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Trabalhos de escopo mais localizado investigam como a LC 123/2006 se traduz em </w:t>
      </w:r>
      <w:r w:rsidRPr="00363917">
        <w:rPr>
          <w:rFonts w:cs="Times New Roman"/>
          <w:szCs w:val="24"/>
        </w:rPr>
        <w:br/>
        <w:t xml:space="preserve">práticas concretas de compras públicas, em geral por meio de estudos de caso em municípios e </w:t>
      </w:r>
      <w:r w:rsidRPr="00363917">
        <w:rPr>
          <w:rFonts w:cs="Times New Roman"/>
          <w:szCs w:val="24"/>
        </w:rPr>
        <w:br/>
        <w:t xml:space="preserve">estados específicos, que combinam análise documental de editais, dados de contratos e </w:t>
      </w:r>
      <w:r w:rsidRPr="00363917">
        <w:rPr>
          <w:rFonts w:cs="Times New Roman"/>
          <w:szCs w:val="24"/>
        </w:rPr>
        <w:br/>
        <w:t xml:space="preserve">entrevistas com gestores e empresários (FJP, 2023; BATISTA, 2017). Os resultados indicam </w:t>
      </w:r>
      <w:r w:rsidRPr="00363917">
        <w:rPr>
          <w:rFonts w:cs="Times New Roman"/>
          <w:szCs w:val="24"/>
        </w:rPr>
        <w:br/>
        <w:t xml:space="preserve">avanços na incorporação dos instrumentos pró-MPE, mas também barreiras persistentes, como </w:t>
      </w:r>
      <w:r w:rsidRPr="00363917">
        <w:rPr>
          <w:rFonts w:cs="Times New Roman"/>
          <w:szCs w:val="24"/>
        </w:rPr>
        <w:br/>
        <w:t xml:space="preserve">o desconhecimento das regras por parte dos próprios fornecedores, a dificuldade de atendimento </w:t>
      </w:r>
      <w:r w:rsidRPr="00363917">
        <w:rPr>
          <w:rFonts w:cs="Times New Roman"/>
          <w:szCs w:val="24"/>
        </w:rPr>
        <w:br/>
        <w:t xml:space="preserve">a certas exigências e a tendência de concentração em alguns segmentos mais organizados </w:t>
      </w:r>
      <w:r w:rsidRPr="00363917">
        <w:rPr>
          <w:rFonts w:cs="Times New Roman"/>
          <w:szCs w:val="24"/>
        </w:rPr>
        <w:br/>
        <w:t xml:space="preserve">(SEBRAE, 2023; IPEA, 2023). </w:t>
      </w:r>
    </w:p>
    <w:p w14:paraId="7E68C697"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Há também estudos que abordam o tema a partir de ângulo mais jurídico -institucional, </w:t>
      </w:r>
      <w:r w:rsidRPr="00363917">
        <w:rPr>
          <w:rFonts w:cs="Times New Roman"/>
          <w:szCs w:val="24"/>
        </w:rPr>
        <w:br/>
        <w:t xml:space="preserve">destacando as implicações da LC 123/2006 para a participação de MPEs nas licitações, os </w:t>
      </w:r>
      <w:r w:rsidRPr="00363917">
        <w:rPr>
          <w:rFonts w:cs="Times New Roman"/>
          <w:szCs w:val="24"/>
        </w:rPr>
        <w:br/>
        <w:t xml:space="preserve">limites de interpretação dos dispositivos de tratamento favorecido e as tensões com a </w:t>
      </w:r>
      <w:r w:rsidRPr="00363917">
        <w:rPr>
          <w:rFonts w:cs="Times New Roman"/>
          <w:szCs w:val="24"/>
        </w:rPr>
        <w:br/>
        <w:t xml:space="preserve">jurisprudência dos órgãos de controle (BARRETO, 2011; NOGUEIRA, 2010; </w:t>
      </w:r>
      <w:r w:rsidRPr="00363917">
        <w:rPr>
          <w:rFonts w:cs="Times New Roman"/>
          <w:szCs w:val="24"/>
        </w:rPr>
        <w:br/>
        <w:t xml:space="preserve">ARROWSMITH; CRAVEN, 2016). Embora haja evidências de aumento de participação, </w:t>
      </w:r>
      <w:r w:rsidRPr="00363917">
        <w:rPr>
          <w:rFonts w:cs="Times New Roman"/>
          <w:szCs w:val="24"/>
        </w:rPr>
        <w:br/>
        <w:t xml:space="preserve">persistem obstáculos ligados à capacidade dos municípios, à pouca difusão de modelos de edital </w:t>
      </w:r>
      <w:r w:rsidRPr="00363917">
        <w:rPr>
          <w:rFonts w:cs="Times New Roman"/>
          <w:szCs w:val="24"/>
        </w:rPr>
        <w:br/>
        <w:t xml:space="preserve">ajustados e à resistência de alguns órgãos de controle em aceitar interpretações mais flexíveis </w:t>
      </w:r>
      <w:r w:rsidRPr="00363917">
        <w:rPr>
          <w:rFonts w:cs="Times New Roman"/>
          <w:szCs w:val="24"/>
        </w:rPr>
        <w:br/>
        <w:t xml:space="preserve">das normas de habilitação (GOMIDE; PIRES, 2014; PIRES; GOMIDE, 2016; BATISTA, </w:t>
      </w:r>
      <w:r w:rsidRPr="00363917">
        <w:rPr>
          <w:rFonts w:cs="Times New Roman"/>
          <w:szCs w:val="24"/>
        </w:rPr>
        <w:br/>
        <w:t xml:space="preserve">2017). </w:t>
      </w:r>
    </w:p>
    <w:p w14:paraId="151E86C9"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Na literatura mais recente, começam a aparecer análises comparativas entre períodos </w:t>
      </w:r>
      <w:r w:rsidRPr="00363917">
        <w:rPr>
          <w:rFonts w:cs="Times New Roman"/>
          <w:szCs w:val="24"/>
        </w:rPr>
        <w:br/>
        <w:t xml:space="preserve">distintos, inclusive em contextos estaduais e subnacionais, que relacionam variações de </w:t>
      </w:r>
      <w:r w:rsidRPr="00363917">
        <w:rPr>
          <w:rFonts w:cs="Times New Roman"/>
          <w:szCs w:val="24"/>
        </w:rPr>
        <w:br/>
        <w:t xml:space="preserve">participação de MPEs à adoção de marcos normativos específicos e à difusão de plataf ormas </w:t>
      </w:r>
      <w:r w:rsidRPr="00363917">
        <w:rPr>
          <w:rFonts w:cs="Times New Roman"/>
          <w:szCs w:val="24"/>
        </w:rPr>
        <w:br/>
        <w:t xml:space="preserve">eletrônicas (IPEA, 2023; FJP, 2023). Embora esses estudos não tratem diretamente do Banrisul, </w:t>
      </w:r>
      <w:r w:rsidRPr="00363917">
        <w:rPr>
          <w:rFonts w:cs="Times New Roman"/>
          <w:szCs w:val="24"/>
        </w:rPr>
        <w:br/>
        <w:t xml:space="preserve">o desenho comparativo temporal aproxima-se do que este projeto se propõe a fazer para o caso </w:t>
      </w:r>
      <w:r w:rsidRPr="00363917">
        <w:rPr>
          <w:rFonts w:cs="Times New Roman"/>
          <w:szCs w:val="24"/>
        </w:rPr>
        <w:br/>
        <w:t xml:space="preserve">gaúcho. Em termos de variáveis explicativas, a literatura converge na relevância de aspectos do </w:t>
      </w:r>
      <w:r w:rsidRPr="00363917">
        <w:rPr>
          <w:rFonts w:cs="Times New Roman"/>
          <w:szCs w:val="24"/>
        </w:rPr>
        <w:br/>
        <w:t xml:space="preserve">desenho dos editais, como a estrutura de lotes, as exigências de habilitação e as previsões </w:t>
      </w:r>
      <w:r w:rsidRPr="00363917">
        <w:rPr>
          <w:rFonts w:cs="Times New Roman"/>
          <w:szCs w:val="24"/>
        </w:rPr>
        <w:br/>
        <w:t xml:space="preserve">específicas para MPEs, do porte e da experiência das empresas, do grau de uso de plataformas </w:t>
      </w:r>
      <w:r w:rsidRPr="00363917">
        <w:rPr>
          <w:rFonts w:cs="Times New Roman"/>
          <w:szCs w:val="24"/>
        </w:rPr>
        <w:br/>
        <w:t xml:space="preserve">eletrônicas e da padronização de procedimentos, bem como da presença de políticas de apoio, </w:t>
      </w:r>
      <w:r w:rsidRPr="00363917">
        <w:rPr>
          <w:rFonts w:cs="Times New Roman"/>
          <w:szCs w:val="24"/>
        </w:rPr>
        <w:br/>
      </w:r>
      <w:r w:rsidRPr="00363917">
        <w:rPr>
          <w:rFonts w:cs="Times New Roman"/>
          <w:szCs w:val="24"/>
        </w:rPr>
        <w:lastRenderedPageBreak/>
        <w:t xml:space="preserve">como capacitações, manuais e a atuação de entidades como o SEBRAE (SEBRAE, 2023; IPEA, </w:t>
      </w:r>
      <w:r w:rsidRPr="00363917">
        <w:rPr>
          <w:rFonts w:cs="Times New Roman"/>
          <w:szCs w:val="24"/>
        </w:rPr>
        <w:br/>
        <w:t xml:space="preserve">2023; FJP, 2023). </w:t>
      </w:r>
    </w:p>
    <w:p w14:paraId="0248BDA8" w14:textId="4F258CB5" w:rsidR="00C94DC6" w:rsidRPr="00363917" w:rsidRDefault="00000000" w:rsidP="00363917">
      <w:pPr>
        <w:tabs>
          <w:tab w:val="left" w:pos="142"/>
        </w:tabs>
        <w:ind w:firstLine="851"/>
        <w:jc w:val="both"/>
        <w:rPr>
          <w:rFonts w:cs="Times New Roman"/>
          <w:szCs w:val="24"/>
        </w:rPr>
      </w:pPr>
      <w:r w:rsidRPr="00363917">
        <w:rPr>
          <w:rFonts w:cs="Times New Roman"/>
          <w:szCs w:val="24"/>
        </w:rPr>
        <w:t xml:space="preserve">Contudo, poucos estudos combinam, de forma sistemática, dados de licitações com </w:t>
      </w:r>
      <w:r w:rsidRPr="00363917">
        <w:rPr>
          <w:rFonts w:cs="Times New Roman"/>
          <w:szCs w:val="24"/>
        </w:rPr>
        <w:br/>
        <w:t xml:space="preserve">informações cadastrais das empresas, como data de constituição, CNAE e localização, de modo </w:t>
      </w:r>
      <w:r w:rsidRPr="00363917">
        <w:rPr>
          <w:rFonts w:cs="Times New Roman"/>
          <w:szCs w:val="24"/>
        </w:rPr>
        <w:br/>
        <w:t xml:space="preserve">a investigar a associação entre formalização recente e participação ou sucesso em co mpras </w:t>
      </w:r>
      <w:r w:rsidRPr="00363917">
        <w:rPr>
          <w:rFonts w:cs="Times New Roman"/>
          <w:szCs w:val="24"/>
        </w:rPr>
        <w:br/>
        <w:t xml:space="preserve">públicas – dimensão que se torna central na proposta deste projeto (SILVA; REIS; MELLO, </w:t>
      </w:r>
      <w:r w:rsidRPr="00363917">
        <w:rPr>
          <w:rFonts w:cs="Times New Roman"/>
          <w:szCs w:val="24"/>
        </w:rPr>
        <w:br/>
        <w:t>2019; IPEA, 2023).</w:t>
      </w:r>
    </w:p>
    <w:p w14:paraId="3BA09007" w14:textId="098F9854"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3.5 </w:t>
      </w:r>
      <w:r w:rsidR="00000000" w:rsidRPr="00363917">
        <w:rPr>
          <w:rFonts w:ascii="Times New Roman" w:eastAsia="Times New Roman" w:hAnsi="Times New Roman" w:cs="Times New Roman"/>
          <w:color w:val="auto"/>
          <w:szCs w:val="24"/>
        </w:rPr>
        <w:t>O papel do SEBRAE e de arranjos institucionais de apoio</w:t>
      </w:r>
    </w:p>
    <w:p w14:paraId="0632BAE7"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A literatura sobre políticas para MPEs no Brasil atribui ao SEBRAE um papel central </w:t>
      </w:r>
      <w:r w:rsidRPr="00363917">
        <w:rPr>
          <w:rFonts w:cs="Times New Roman"/>
          <w:szCs w:val="24"/>
        </w:rPr>
        <w:br/>
        <w:t xml:space="preserve">como ator de intermediação entre formuladores de políticas, burocracias subnacionais e o </w:t>
      </w:r>
      <w:r w:rsidRPr="00363917">
        <w:rPr>
          <w:rFonts w:cs="Times New Roman"/>
          <w:szCs w:val="24"/>
        </w:rPr>
        <w:br/>
        <w:t xml:space="preserve">próprio segmento de pequenos negócios (BARRETO, 2011; SEBRAE, 2023). Estudos </w:t>
      </w:r>
      <w:r w:rsidRPr="00363917">
        <w:rPr>
          <w:rFonts w:cs="Times New Roman"/>
          <w:szCs w:val="24"/>
        </w:rPr>
        <w:br/>
        <w:t xml:space="preserve">produzidos pelo IPEA e pelo próprio SEBRAE descrevem a instituição como principal “hub” </w:t>
      </w:r>
      <w:r w:rsidRPr="00363917">
        <w:rPr>
          <w:rFonts w:cs="Times New Roman"/>
          <w:szCs w:val="24"/>
        </w:rPr>
        <w:br/>
        <w:t xml:space="preserve">de apoio às MPEs, articulando ações de capacitação, consultoria, produção de estudos e </w:t>
      </w:r>
      <w:r w:rsidRPr="00363917">
        <w:rPr>
          <w:rFonts w:cs="Times New Roman"/>
          <w:szCs w:val="24"/>
        </w:rPr>
        <w:br/>
        <w:t xml:space="preserve">advocacy em favor de marcos normativos específicos, como a LC 123 e as normas de compras </w:t>
      </w:r>
      <w:r w:rsidRPr="00363917">
        <w:rPr>
          <w:rFonts w:cs="Times New Roman"/>
          <w:szCs w:val="24"/>
        </w:rPr>
        <w:br/>
        <w:t>públicas (IPEA, 2023; SEBRAE, 2023).</w:t>
      </w:r>
    </w:p>
    <w:p w14:paraId="0E30BEC0"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No campo das compras governamentais, documentos elaborados em parceria entre </w:t>
      </w:r>
      <w:r w:rsidRPr="00363917">
        <w:rPr>
          <w:rFonts w:cs="Times New Roman"/>
          <w:szCs w:val="24"/>
        </w:rPr>
        <w:br/>
        <w:t>SEBRAE e governos estaduais e municipais mostram esforços de difusão dos instrumentos pró-</w:t>
      </w:r>
      <w:r w:rsidRPr="00363917">
        <w:rPr>
          <w:rFonts w:cs="Times New Roman"/>
          <w:szCs w:val="24"/>
        </w:rPr>
        <w:br/>
        <w:t xml:space="preserve">MPE, com produção de manuais, modelos de edital e programas de sensibilização para gestores </w:t>
      </w:r>
      <w:r w:rsidRPr="00363917">
        <w:rPr>
          <w:rFonts w:cs="Times New Roman"/>
          <w:szCs w:val="24"/>
        </w:rPr>
        <w:br/>
        <w:t xml:space="preserve">públicos (SEBRAE, 2023; FJP, 2023). Relatórios destacam, por exemplo, o aumento do volume </w:t>
      </w:r>
      <w:r w:rsidRPr="00363917">
        <w:rPr>
          <w:rFonts w:cs="Times New Roman"/>
          <w:szCs w:val="24"/>
        </w:rPr>
        <w:br/>
        <w:t xml:space="preserve">contratado com MPEs na esfera federal e em alguns estados ao longo da década de 2010, </w:t>
      </w:r>
      <w:r w:rsidRPr="00363917">
        <w:rPr>
          <w:rFonts w:cs="Times New Roman"/>
          <w:szCs w:val="24"/>
        </w:rPr>
        <w:br/>
        <w:t xml:space="preserve">associando esse movimento à combinação entre um marco normativo favorável e a ções de </w:t>
      </w:r>
      <w:r w:rsidRPr="00363917">
        <w:rPr>
          <w:rFonts w:cs="Times New Roman"/>
          <w:szCs w:val="24"/>
        </w:rPr>
        <w:br/>
        <w:t xml:space="preserve">apoio dirigidas (IPEA, 2023; SEBRAE, 2023). </w:t>
      </w:r>
    </w:p>
    <w:p w14:paraId="19C226A7" w14:textId="7F1293E7" w:rsidR="00C94DC6" w:rsidRPr="00363917" w:rsidRDefault="00000000" w:rsidP="00363917">
      <w:pPr>
        <w:tabs>
          <w:tab w:val="left" w:pos="142"/>
        </w:tabs>
        <w:ind w:firstLine="851"/>
        <w:jc w:val="both"/>
        <w:rPr>
          <w:rFonts w:cs="Times New Roman"/>
          <w:szCs w:val="24"/>
        </w:rPr>
      </w:pPr>
      <w:r w:rsidRPr="00363917">
        <w:rPr>
          <w:rFonts w:cs="Times New Roman"/>
          <w:szCs w:val="24"/>
        </w:rPr>
        <w:t xml:space="preserve">Ao mesmo tempo, porém, a literatura indica que a institucionalização de rotinas de </w:t>
      </w:r>
      <w:r w:rsidRPr="00363917">
        <w:rPr>
          <w:rFonts w:cs="Times New Roman"/>
          <w:szCs w:val="24"/>
        </w:rPr>
        <w:br/>
        <w:t xml:space="preserve">avaliação e de policy learning a partir desses esforços ainda é desigual. Diagnósticos são </w:t>
      </w:r>
      <w:r w:rsidRPr="00363917">
        <w:rPr>
          <w:rFonts w:cs="Times New Roman"/>
          <w:szCs w:val="24"/>
        </w:rPr>
        <w:br/>
        <w:t xml:space="preserve">produzidos, mas nem sempre há ciclos formais de revisão de estratégias com base em </w:t>
      </w:r>
      <w:r w:rsidRPr="00363917">
        <w:rPr>
          <w:rFonts w:cs="Times New Roman"/>
          <w:szCs w:val="24"/>
        </w:rPr>
        <w:br/>
        <w:t xml:space="preserve">evidências (BATISTA, 2017; OCDE, 2023). A comparação com experiências como </w:t>
      </w:r>
      <w:r w:rsidRPr="00363917">
        <w:rPr>
          <w:rFonts w:cs="Times New Roman"/>
          <w:szCs w:val="24"/>
        </w:rPr>
        <w:br/>
        <w:t xml:space="preserve">ChileCompra e com o modelo britânico sugere que o Brasil avança em termos de regulação e </w:t>
      </w:r>
      <w:r w:rsidRPr="00363917">
        <w:rPr>
          <w:rFonts w:cs="Times New Roman"/>
          <w:szCs w:val="24"/>
        </w:rPr>
        <w:br/>
        <w:t xml:space="preserve">de apoio, mas ainda carece de uma cultura mais consolidada de uso sistemático de dados de </w:t>
      </w:r>
      <w:r w:rsidRPr="00363917">
        <w:rPr>
          <w:rFonts w:cs="Times New Roman"/>
          <w:szCs w:val="24"/>
        </w:rPr>
        <w:br/>
        <w:t xml:space="preserve">compras para ajuste contínuo de políticas (OCDE, 2023; ROPER, 2018; ROPER; HART, </w:t>
      </w:r>
      <w:r w:rsidRPr="00363917">
        <w:rPr>
          <w:rFonts w:cs="Times New Roman"/>
          <w:szCs w:val="24"/>
        </w:rPr>
        <w:br/>
        <w:t xml:space="preserve">2020). Nesse sentido, estudos que exploram bases administrativas de compras públicas de </w:t>
      </w:r>
      <w:r w:rsidRPr="00363917">
        <w:rPr>
          <w:rFonts w:cs="Times New Roman"/>
          <w:szCs w:val="24"/>
        </w:rPr>
        <w:br/>
      </w:r>
      <w:r w:rsidRPr="00363917">
        <w:rPr>
          <w:rFonts w:cs="Times New Roman"/>
          <w:szCs w:val="24"/>
        </w:rPr>
        <w:lastRenderedPageBreak/>
        <w:t xml:space="preserve">maneira mais aprofundada – como o que se propõe aqui, ao analisar pregões de serviços vi a </w:t>
      </w:r>
      <w:r w:rsidRPr="00363917">
        <w:rPr>
          <w:rFonts w:cs="Times New Roman"/>
          <w:szCs w:val="24"/>
        </w:rPr>
        <w:br/>
        <w:t xml:space="preserve">Banrisul em dois momentos distintos – podem oferecer insumos concretos para esses processos </w:t>
      </w:r>
      <w:r w:rsidRPr="00363917">
        <w:rPr>
          <w:rFonts w:cs="Times New Roman"/>
          <w:szCs w:val="24"/>
        </w:rPr>
        <w:br/>
        <w:t xml:space="preserve">de aprendizagem institucional, alimentando tanto o debate acadêmico quanto a atuação de </w:t>
      </w:r>
      <w:r w:rsidRPr="00363917">
        <w:rPr>
          <w:rFonts w:cs="Times New Roman"/>
          <w:szCs w:val="24"/>
        </w:rPr>
        <w:br/>
        <w:t xml:space="preserve">atores como o SEBRAE, órgãos de controle e bancos públicos envolvidos na g estão de </w:t>
      </w:r>
      <w:r w:rsidRPr="00363917">
        <w:rPr>
          <w:rFonts w:cs="Times New Roman"/>
          <w:szCs w:val="24"/>
        </w:rPr>
        <w:br/>
        <w:t>plataformas de compras (BATISTA, 2017; IPEA, 2023; FJP, 2023).</w:t>
      </w:r>
    </w:p>
    <w:p w14:paraId="4851916F" w14:textId="501D5058"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3.6 </w:t>
      </w:r>
      <w:r w:rsidR="00000000" w:rsidRPr="00363917">
        <w:rPr>
          <w:rFonts w:ascii="Times New Roman" w:eastAsia="Times New Roman" w:hAnsi="Times New Roman" w:cs="Times New Roman"/>
          <w:color w:val="auto"/>
          <w:szCs w:val="24"/>
        </w:rPr>
        <w:t>Lacunas na literatura e contribuição específica do estudo</w:t>
      </w:r>
    </w:p>
    <w:p w14:paraId="6F718C9D"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Apesar do avanço significativo da produção acadêmica e institucional sobre MPEs e </w:t>
      </w:r>
      <w:r w:rsidRPr="00363917">
        <w:rPr>
          <w:rFonts w:cs="Times New Roman"/>
          <w:szCs w:val="24"/>
        </w:rPr>
        <w:br/>
        <w:t xml:space="preserve">compras públicas no Brasil, o estado da arte ainda revela lacunas importantes, que justificam e </w:t>
      </w:r>
      <w:r w:rsidRPr="00363917">
        <w:rPr>
          <w:rFonts w:cs="Times New Roman"/>
          <w:szCs w:val="24"/>
        </w:rPr>
        <w:br/>
        <w:t xml:space="preserve">orientam o recorte adotado neste projeto (BATISTA, 2017; IPEA, 2023; FJP, 2023 ). Em </w:t>
      </w:r>
      <w:r w:rsidRPr="00363917">
        <w:rPr>
          <w:rFonts w:cs="Times New Roman"/>
          <w:szCs w:val="24"/>
        </w:rPr>
        <w:br/>
        <w:t xml:space="preserve">primeiro lugar, observa-se a predominância de estudos agregados ou setoriais na esfera federal: </w:t>
      </w:r>
      <w:r w:rsidRPr="00363917">
        <w:rPr>
          <w:rFonts w:cs="Times New Roman"/>
          <w:szCs w:val="24"/>
        </w:rPr>
        <w:br/>
        <w:t xml:space="preserve">a maior parte dos diagnósticos sobre participação de MPEs em compras públicas utiliza dados </w:t>
      </w:r>
      <w:r w:rsidRPr="00363917">
        <w:rPr>
          <w:rFonts w:cs="Times New Roman"/>
          <w:szCs w:val="24"/>
        </w:rPr>
        <w:br/>
        <w:t xml:space="preserve">consolidados de sistemas como o Compras.gov.br, muitas vezes com foco na administração </w:t>
      </w:r>
      <w:r w:rsidRPr="00363917">
        <w:rPr>
          <w:rFonts w:cs="Times New Roman"/>
          <w:szCs w:val="24"/>
        </w:rPr>
        <w:br/>
        <w:t xml:space="preserve">federal direta e indireta (IPEA, 2023). Em contraste, há pouca atenção sistemática a plataformas </w:t>
      </w:r>
      <w:r w:rsidRPr="00363917">
        <w:rPr>
          <w:rFonts w:cs="Times New Roman"/>
          <w:szCs w:val="24"/>
        </w:rPr>
        <w:br/>
        <w:t xml:space="preserve">regionais ou setoriais específicas, como o Sistema de Pregão Online Banrisul, sobretudo no que </w:t>
      </w:r>
      <w:r w:rsidRPr="00363917">
        <w:rPr>
          <w:rFonts w:cs="Times New Roman"/>
          <w:szCs w:val="24"/>
        </w:rPr>
        <w:br/>
        <w:t xml:space="preserve">diz respeito às contratações de serviços. </w:t>
      </w:r>
    </w:p>
    <w:p w14:paraId="66321C8F"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Em segundo lugar, embora existam exemplos de análises comparativas de curta duração, </w:t>
      </w:r>
      <w:r w:rsidRPr="00363917">
        <w:rPr>
          <w:rFonts w:cs="Times New Roman"/>
          <w:szCs w:val="24"/>
        </w:rPr>
        <w:br/>
        <w:t xml:space="preserve">como estudos que comparam um ou dois anos consecutivos em contextos estaduais ou </w:t>
      </w:r>
      <w:r w:rsidRPr="00363917">
        <w:rPr>
          <w:rFonts w:cs="Times New Roman"/>
          <w:szCs w:val="24"/>
        </w:rPr>
        <w:br/>
        <w:t xml:space="preserve">municipais, são raros os trabalhos que exploram uma janela temporal mais longa, da ordem de </w:t>
      </w:r>
      <w:r w:rsidRPr="00363917">
        <w:rPr>
          <w:rFonts w:cs="Times New Roman"/>
          <w:szCs w:val="24"/>
        </w:rPr>
        <w:br/>
        <w:t xml:space="preserve">uma década, para comparar resultados de participação e sucesso de MPEs antes e depois de </w:t>
      </w:r>
      <w:r w:rsidRPr="00363917">
        <w:rPr>
          <w:rFonts w:cs="Times New Roman"/>
          <w:szCs w:val="24"/>
        </w:rPr>
        <w:br/>
        <w:t xml:space="preserve">mudanças normativas relevantes, como a transição do regime da Lei nº 8.666/1993 e correlatas </w:t>
      </w:r>
      <w:r w:rsidRPr="00363917">
        <w:rPr>
          <w:rFonts w:cs="Times New Roman"/>
          <w:szCs w:val="24"/>
        </w:rPr>
        <w:br/>
        <w:t xml:space="preserve">para a vigência obrigatória da Lei nº 14.133/2021 (BATISTA, 2017; IPEA, 2023). </w:t>
      </w:r>
    </w:p>
    <w:p w14:paraId="520E1739"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Uma terceira lacuna refere-se à integração limitada entre dados de licitações e </w:t>
      </w:r>
      <w:r w:rsidRPr="00363917">
        <w:rPr>
          <w:rFonts w:cs="Times New Roman"/>
          <w:szCs w:val="24"/>
        </w:rPr>
        <w:br/>
        <w:t xml:space="preserve">informações cadastrais das empresas. Grande parte dos estudos centra-se em indicadores como </w:t>
      </w:r>
      <w:r w:rsidRPr="00363917">
        <w:rPr>
          <w:rFonts w:cs="Times New Roman"/>
          <w:szCs w:val="24"/>
        </w:rPr>
        <w:br/>
        <w:t xml:space="preserve">número de contratos, valores contratados e porte dos fornecedores, sem necessariamen te </w:t>
      </w:r>
      <w:r w:rsidRPr="00363917">
        <w:rPr>
          <w:rFonts w:cs="Times New Roman"/>
          <w:szCs w:val="24"/>
        </w:rPr>
        <w:br/>
        <w:t xml:space="preserve">articular, de maneira sistemática, bases de licitações com dados do CNPJ, como data de </w:t>
      </w:r>
      <w:r w:rsidRPr="00363917">
        <w:rPr>
          <w:rFonts w:cs="Times New Roman"/>
          <w:szCs w:val="24"/>
        </w:rPr>
        <w:br/>
        <w:t xml:space="preserve">constituição, CNAE, localização territorial e enquadramento de porte (SILVA; REIS; MELLO, </w:t>
      </w:r>
      <w:r w:rsidRPr="00363917">
        <w:rPr>
          <w:rFonts w:cs="Times New Roman"/>
          <w:szCs w:val="24"/>
        </w:rPr>
        <w:br/>
        <w:t xml:space="preserve">2019; IPEA, 2023). Tal integração é essencial para investigar a associação e ntre formalização </w:t>
      </w:r>
      <w:r w:rsidRPr="00363917">
        <w:rPr>
          <w:rFonts w:cs="Times New Roman"/>
          <w:szCs w:val="24"/>
        </w:rPr>
        <w:br/>
        <w:t xml:space="preserve">recente, participação e sucesso licitatório, dimensão que se torna central na proposta deste </w:t>
      </w:r>
      <w:r w:rsidRPr="00363917">
        <w:rPr>
          <w:rFonts w:cs="Times New Roman"/>
          <w:szCs w:val="24"/>
        </w:rPr>
        <w:br/>
        <w:t xml:space="preserve">estudo. </w:t>
      </w:r>
    </w:p>
    <w:p w14:paraId="0329526E" w14:textId="77777777" w:rsidR="00363917" w:rsidRDefault="00000000" w:rsidP="00363917">
      <w:pPr>
        <w:tabs>
          <w:tab w:val="left" w:pos="142"/>
        </w:tabs>
        <w:ind w:firstLine="851"/>
        <w:jc w:val="both"/>
        <w:rPr>
          <w:rFonts w:cs="Times New Roman"/>
          <w:szCs w:val="24"/>
        </w:rPr>
      </w:pPr>
      <w:r w:rsidRPr="00363917">
        <w:rPr>
          <w:rFonts w:cs="Times New Roman"/>
          <w:szCs w:val="24"/>
        </w:rPr>
        <w:lastRenderedPageBreak/>
        <w:t xml:space="preserve">Em quarto lugar, nota-se um foco predominante em bens, com menor ênfase em </w:t>
      </w:r>
      <w:r w:rsidRPr="00363917">
        <w:rPr>
          <w:rFonts w:cs="Times New Roman"/>
          <w:szCs w:val="24"/>
        </w:rPr>
        <w:br/>
        <w:t xml:space="preserve">serviços. Muitos diagnósticos agregam bens e serviços ou se concentram em categorias de bens </w:t>
      </w:r>
      <w:r w:rsidRPr="00363917">
        <w:rPr>
          <w:rFonts w:cs="Times New Roman"/>
          <w:szCs w:val="24"/>
        </w:rPr>
        <w:br/>
        <w:t xml:space="preserve">mais padronizadas – como alimentos, material de consumo e equipamentos –, enquanto as </w:t>
      </w:r>
      <w:r w:rsidRPr="00363917">
        <w:rPr>
          <w:rFonts w:cs="Times New Roman"/>
          <w:szCs w:val="24"/>
        </w:rPr>
        <w:br/>
        <w:t xml:space="preserve">contratações de serviços, que apresentam maior intensidade de mão de obra e maior peso de </w:t>
      </w:r>
      <w:r w:rsidRPr="00363917">
        <w:rPr>
          <w:rFonts w:cs="Times New Roman"/>
          <w:szCs w:val="24"/>
        </w:rPr>
        <w:br/>
        <w:t xml:space="preserve">qualificação técnica e experiência prévia, recebem menos atenção sistemática, embora sejam </w:t>
      </w:r>
      <w:r w:rsidRPr="00363917">
        <w:rPr>
          <w:rFonts w:cs="Times New Roman"/>
          <w:szCs w:val="24"/>
        </w:rPr>
        <w:br/>
        <w:t xml:space="preserve">especialmente relevantes para MPEs intensivas em trabalho e conhecimento (SEB RAE, 2023; </w:t>
      </w:r>
      <w:r w:rsidRPr="00363917">
        <w:rPr>
          <w:rFonts w:cs="Times New Roman"/>
          <w:szCs w:val="24"/>
        </w:rPr>
        <w:br/>
        <w:t xml:space="preserve">FJP, 2023). </w:t>
      </w:r>
    </w:p>
    <w:p w14:paraId="51B9AC9E"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Além disso, há uma carência evidente de estudos sobre plataformas de compras </w:t>
      </w:r>
      <w:r w:rsidRPr="00363917">
        <w:rPr>
          <w:rFonts w:cs="Times New Roman"/>
          <w:szCs w:val="24"/>
        </w:rPr>
        <w:br/>
        <w:t xml:space="preserve">vinculadas a bancos públicos regionais. O Sistema de Pregão Online Banrisul, que se tornou </w:t>
      </w:r>
      <w:r w:rsidRPr="00363917">
        <w:rPr>
          <w:rFonts w:cs="Times New Roman"/>
          <w:szCs w:val="24"/>
        </w:rPr>
        <w:br/>
        <w:t xml:space="preserve">ferramenta importante de contratação de serviços por parte de municípios e órgãos do Rio </w:t>
      </w:r>
      <w:r w:rsidRPr="00363917">
        <w:rPr>
          <w:rFonts w:cs="Times New Roman"/>
          <w:szCs w:val="24"/>
        </w:rPr>
        <w:br/>
        <w:t xml:space="preserve">Grande do Sul, ainda aparece de forma marginal na literatura, que costuma privilegiar o </w:t>
      </w:r>
      <w:r w:rsidRPr="00363917">
        <w:rPr>
          <w:rFonts w:cs="Times New Roman"/>
          <w:szCs w:val="24"/>
        </w:rPr>
        <w:br/>
        <w:t xml:space="preserve">Compras.gov.br e algumas poucas plataformas estaduais mais visibilizadas (IPEA, 2023). </w:t>
      </w:r>
      <w:r w:rsidRPr="00363917">
        <w:rPr>
          <w:rFonts w:cs="Times New Roman"/>
          <w:szCs w:val="24"/>
        </w:rPr>
        <w:br/>
        <w:t xml:space="preserve">Analisar o Banrisul permite observar como um banco público regional opera como </w:t>
      </w:r>
      <w:r w:rsidRPr="00363917">
        <w:rPr>
          <w:rFonts w:cs="Times New Roman"/>
          <w:szCs w:val="24"/>
        </w:rPr>
        <w:br/>
        <w:t xml:space="preserve">“infraestrutura de mercado” para compras subnacionais, questão particularmente relevante para </w:t>
      </w:r>
      <w:r w:rsidRPr="00363917">
        <w:rPr>
          <w:rFonts w:cs="Times New Roman"/>
          <w:szCs w:val="24"/>
        </w:rPr>
        <w:br/>
        <w:t xml:space="preserve">a discussão sobre federalismo e capacidades locais (ABRUCIO, 2005; GOMIDE; PIRES, 2014; </w:t>
      </w:r>
      <w:r w:rsidRPr="00363917">
        <w:rPr>
          <w:rFonts w:cs="Times New Roman"/>
          <w:szCs w:val="24"/>
        </w:rPr>
        <w:br/>
        <w:t>PIRES; GOMIDE, 2016).</w:t>
      </w:r>
    </w:p>
    <w:p w14:paraId="76068E62" w14:textId="77777777" w:rsidR="00363917" w:rsidRDefault="00000000" w:rsidP="00363917">
      <w:pPr>
        <w:tabs>
          <w:tab w:val="left" w:pos="142"/>
        </w:tabs>
        <w:ind w:firstLine="851"/>
        <w:jc w:val="both"/>
        <w:rPr>
          <w:rFonts w:cs="Times New Roman"/>
          <w:szCs w:val="24"/>
        </w:rPr>
      </w:pPr>
      <w:r w:rsidRPr="00363917">
        <w:rPr>
          <w:rFonts w:cs="Times New Roman"/>
          <w:szCs w:val="24"/>
        </w:rPr>
        <w:t xml:space="preserve">Por fim, embora a ideia de avaliação de resultados esteja presente na literatura brasileira </w:t>
      </w:r>
      <w:r w:rsidRPr="00363917">
        <w:rPr>
          <w:rFonts w:cs="Times New Roman"/>
          <w:szCs w:val="24"/>
        </w:rPr>
        <w:br/>
        <w:t xml:space="preserve">de políticas públicas, há relativamente poucos estudos que apliquem explicitamente esse </w:t>
      </w:r>
      <w:r w:rsidRPr="00363917">
        <w:rPr>
          <w:rFonts w:cs="Times New Roman"/>
          <w:szCs w:val="24"/>
        </w:rPr>
        <w:br/>
        <w:t xml:space="preserve">referencial à política de acesso a mercados para MPEs via compras públicas, em chave ex post </w:t>
      </w:r>
      <w:r w:rsidRPr="00363917">
        <w:rPr>
          <w:rFonts w:cs="Times New Roman"/>
          <w:szCs w:val="24"/>
        </w:rPr>
        <w:br/>
        <w:t xml:space="preserve">e com procedimentos rigorosos de coleta, tratamento e análise de dados administrativos em </w:t>
      </w:r>
      <w:r w:rsidRPr="00363917">
        <w:rPr>
          <w:rFonts w:cs="Times New Roman"/>
          <w:szCs w:val="24"/>
        </w:rPr>
        <w:br/>
        <w:t xml:space="preserve">nível subnacional (RAMOS; SCHABBACH, 2012; BATISTA, 2017). </w:t>
      </w:r>
      <w:r w:rsidRPr="00363917">
        <w:rPr>
          <w:rFonts w:cs="Times New Roman"/>
          <w:szCs w:val="24"/>
        </w:rPr>
        <w:br/>
        <w:t xml:space="preserve">Diante dessas lacunas, a contribuição específica deste projeto pode ser sintetizada em </w:t>
      </w:r>
      <w:r w:rsidRPr="00363917">
        <w:rPr>
          <w:rFonts w:cs="Times New Roman"/>
          <w:szCs w:val="24"/>
        </w:rPr>
        <w:br/>
        <w:t xml:space="preserve">quatro movimentos articulados, descritos aqui em prosa para evitar qualquer </w:t>
      </w:r>
      <w:r w:rsidRPr="00363917">
        <w:rPr>
          <w:rFonts w:cs="Times New Roman"/>
          <w:szCs w:val="24"/>
        </w:rPr>
        <w:br/>
        <w:t xml:space="preserve">compartimentalização excessiva. Em termos de recorte empírico, propõe-se a análise de todos </w:t>
      </w:r>
      <w:r w:rsidRPr="00363917">
        <w:rPr>
          <w:rFonts w:cs="Times New Roman"/>
          <w:szCs w:val="24"/>
        </w:rPr>
        <w:br/>
        <w:t xml:space="preserve">os pregões eletrônicos de serviços do Sistema de Pregão Online Banrisul em dois momentos </w:t>
      </w:r>
      <w:r w:rsidRPr="00363917">
        <w:rPr>
          <w:rFonts w:cs="Times New Roman"/>
          <w:szCs w:val="24"/>
        </w:rPr>
        <w:br/>
        <w:t xml:space="preserve">críticos – o primeiro trimestre de 2015 e o primeiro trimestre de 2025 –, o que permite comparar </w:t>
      </w:r>
      <w:r w:rsidRPr="00363917">
        <w:rPr>
          <w:rFonts w:cs="Times New Roman"/>
          <w:szCs w:val="24"/>
        </w:rPr>
        <w:br/>
        <w:t xml:space="preserve">resultados sob arranjos normativos distintos, antes e depois da vigênci a obrigatória da Lei nº </w:t>
      </w:r>
      <w:r w:rsidRPr="00363917">
        <w:rPr>
          <w:rFonts w:cs="Times New Roman"/>
          <w:szCs w:val="24"/>
        </w:rPr>
        <w:br/>
        <w:t xml:space="preserve">14.133/2021. </w:t>
      </w:r>
    </w:p>
    <w:p w14:paraId="2E713CAD" w14:textId="77777777" w:rsidR="00072EF1" w:rsidRDefault="00000000" w:rsidP="00363917">
      <w:pPr>
        <w:tabs>
          <w:tab w:val="left" w:pos="142"/>
        </w:tabs>
        <w:ind w:firstLine="851"/>
        <w:jc w:val="both"/>
        <w:rPr>
          <w:rFonts w:cs="Times New Roman"/>
          <w:szCs w:val="24"/>
        </w:rPr>
      </w:pPr>
      <w:r w:rsidRPr="00363917">
        <w:rPr>
          <w:rFonts w:cs="Times New Roman"/>
          <w:szCs w:val="24"/>
        </w:rPr>
        <w:t xml:space="preserve">Do ponto de vista metodológico, o estudo combina informações de licitações, </w:t>
      </w:r>
      <w:r w:rsidRPr="00363917">
        <w:rPr>
          <w:rFonts w:cs="Times New Roman"/>
          <w:szCs w:val="24"/>
        </w:rPr>
        <w:br/>
        <w:t xml:space="preserve">participação, valores, vencedores, com dados cadastrais das empresas, porte, tempo de </w:t>
      </w:r>
      <w:r w:rsidRPr="00363917">
        <w:rPr>
          <w:rFonts w:cs="Times New Roman"/>
          <w:szCs w:val="24"/>
        </w:rPr>
        <w:br/>
        <w:t xml:space="preserve">constituição, CNAE e localização, possibilitando investigar de forma mais fina a associação </w:t>
      </w:r>
      <w:r w:rsidRPr="00363917">
        <w:rPr>
          <w:rFonts w:cs="Times New Roman"/>
          <w:szCs w:val="24"/>
        </w:rPr>
        <w:br/>
      </w:r>
      <w:r w:rsidRPr="00363917">
        <w:rPr>
          <w:rFonts w:cs="Times New Roman"/>
          <w:szCs w:val="24"/>
        </w:rPr>
        <w:lastRenderedPageBreak/>
        <w:t xml:space="preserve">entre formalização recente, participação e sucesso licitatório de MPEs (SILVA; REIS; MELLO, </w:t>
      </w:r>
      <w:r w:rsidRPr="00363917">
        <w:rPr>
          <w:rFonts w:cs="Times New Roman"/>
          <w:szCs w:val="24"/>
        </w:rPr>
        <w:br/>
        <w:t xml:space="preserve">2019; IPEA, 2023). Em termos substantivos, a pesquisa co ncentra-se nas contratações de </w:t>
      </w:r>
      <w:r w:rsidRPr="00363917">
        <w:rPr>
          <w:rFonts w:cs="Times New Roman"/>
          <w:szCs w:val="24"/>
        </w:rPr>
        <w:br/>
        <w:t xml:space="preserve">serviços, segmento estratégico para pequen os negócios e para as economias locais, mas ainda </w:t>
      </w:r>
      <w:r w:rsidRPr="00363917">
        <w:rPr>
          <w:rFonts w:cs="Times New Roman"/>
          <w:szCs w:val="24"/>
        </w:rPr>
        <w:br/>
        <w:t xml:space="preserve">subexplorado em muitas análises agregadas (SEBRAE, 2023). Finalmente, adota </w:t>
      </w:r>
      <w:r w:rsidRPr="00363917">
        <w:rPr>
          <w:rFonts w:cs="Times New Roman"/>
          <w:szCs w:val="24"/>
        </w:rPr>
        <w:br/>
        <w:t xml:space="preserve">explicitamente a perspectiva da avaliação de resultados, tal como sistematizada por Ramos e </w:t>
      </w:r>
      <w:r w:rsidRPr="00363917">
        <w:rPr>
          <w:rFonts w:cs="Times New Roman"/>
          <w:szCs w:val="24"/>
        </w:rPr>
        <w:br/>
        <w:t xml:space="preserve">Schabbach (2012), para examinar o grau de correspondência entre os objetivos declarados da </w:t>
      </w:r>
      <w:r w:rsidRPr="00363917">
        <w:rPr>
          <w:rFonts w:cs="Times New Roman"/>
          <w:szCs w:val="24"/>
        </w:rPr>
        <w:br/>
        <w:t xml:space="preserve">política de acesso a mercados, especialmente aqueles inscritos na LC nº 123/2006 e na Lei nº </w:t>
      </w:r>
      <w:r w:rsidRPr="00363917">
        <w:rPr>
          <w:rFonts w:cs="Times New Roman"/>
          <w:szCs w:val="24"/>
        </w:rPr>
        <w:br/>
        <w:t xml:space="preserve">14.133/2021, e os resultados observados em um contexto concreto de implementação, </w:t>
      </w:r>
      <w:r w:rsidRPr="00363917">
        <w:rPr>
          <w:rFonts w:cs="Times New Roman"/>
          <w:szCs w:val="24"/>
        </w:rPr>
        <w:br/>
        <w:t xml:space="preserve">contribuindo simultaneamente para o debate acadêmico e para o aperfeiçoamento da política </w:t>
      </w:r>
      <w:r w:rsidRPr="00363917">
        <w:rPr>
          <w:rFonts w:cs="Times New Roman"/>
          <w:szCs w:val="24"/>
        </w:rPr>
        <w:br/>
        <w:t>em nível subnacional (BATISTA, 2017; IPEA, 2023; FJP, 2023).</w:t>
      </w:r>
    </w:p>
    <w:p w14:paraId="7C453513" w14:textId="0CB2E8AD" w:rsidR="00C94DC6" w:rsidRPr="00363917" w:rsidRDefault="00000000" w:rsidP="00363917">
      <w:pPr>
        <w:tabs>
          <w:tab w:val="left" w:pos="142"/>
        </w:tabs>
        <w:ind w:firstLine="851"/>
        <w:jc w:val="both"/>
        <w:rPr>
          <w:rFonts w:cs="Times New Roman"/>
          <w:szCs w:val="24"/>
        </w:rPr>
      </w:pPr>
      <w:r w:rsidRPr="00363917">
        <w:rPr>
          <w:rFonts w:cs="Times New Roman"/>
          <w:szCs w:val="24"/>
        </w:rPr>
        <w:t xml:space="preserve">Em síntese, o estado da arte aponta um campo em expansão, com crescente produção </w:t>
      </w:r>
      <w:r w:rsidRPr="00363917">
        <w:rPr>
          <w:rFonts w:cs="Times New Roman"/>
          <w:szCs w:val="24"/>
        </w:rPr>
        <w:br/>
        <w:t xml:space="preserve">sobre MPEs e compras públicas, mas ainda carente de estudos detalhados sobre plataformas </w:t>
      </w:r>
      <w:r w:rsidRPr="00363917">
        <w:rPr>
          <w:rFonts w:cs="Times New Roman"/>
          <w:szCs w:val="24"/>
        </w:rPr>
        <w:br/>
        <w:t xml:space="preserve">regionais específicas, integração entre dados de licitações e dados cadastrais de empr esas e </w:t>
      </w:r>
      <w:r w:rsidRPr="00363917">
        <w:rPr>
          <w:rFonts w:cs="Times New Roman"/>
          <w:szCs w:val="24"/>
        </w:rPr>
        <w:br/>
        <w:t xml:space="preserve">análises ex post em janelas temporais mais longas (BATISTA, 2017; IPEA, 2023; FJP, 2023). </w:t>
      </w:r>
      <w:r w:rsidRPr="00363917">
        <w:rPr>
          <w:rFonts w:cs="Times New Roman"/>
          <w:szCs w:val="24"/>
        </w:rPr>
        <w:br/>
        <w:t xml:space="preserve">É nesse espaço que este projeto se insere, propondo-se a iluminar a experiência gaúcha a partir </w:t>
      </w:r>
      <w:r w:rsidRPr="00363917">
        <w:rPr>
          <w:rFonts w:cs="Times New Roman"/>
          <w:szCs w:val="24"/>
        </w:rPr>
        <w:br/>
        <w:t xml:space="preserve">do Sistema de Pregão Online Banrisul, em diálogo com o debate nacional e internacional sobre </w:t>
      </w:r>
      <w:r w:rsidRPr="00363917">
        <w:rPr>
          <w:rFonts w:cs="Times New Roman"/>
          <w:szCs w:val="24"/>
        </w:rPr>
        <w:br/>
        <w:t>políticas de acesso a mercados para micro e pequenas empresas.</w:t>
      </w:r>
    </w:p>
    <w:p w14:paraId="06120D5F" w14:textId="729F1037"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3.7 </w:t>
      </w:r>
      <w:r w:rsidR="00000000" w:rsidRPr="00363917">
        <w:rPr>
          <w:rFonts w:ascii="Times New Roman" w:eastAsia="Times New Roman" w:hAnsi="Times New Roman" w:cs="Times New Roman"/>
          <w:color w:val="auto"/>
          <w:szCs w:val="24"/>
        </w:rPr>
        <w:t>Políticas públicas, ciclo e instrumentos</w:t>
      </w:r>
    </w:p>
    <w:p w14:paraId="776C4B0A"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A literatura de políticas públicas parte, em geral, de uma definição mínima que associa </w:t>
      </w:r>
      <w:r w:rsidRPr="00363917">
        <w:rPr>
          <w:rFonts w:cs="Times New Roman"/>
          <w:szCs w:val="24"/>
        </w:rPr>
        <w:br/>
        <w:t xml:space="preserve">política pública às ações e omissões do Estado, dotadas de intencionalidade, que buscam </w:t>
      </w:r>
      <w:r w:rsidRPr="00363917">
        <w:rPr>
          <w:rFonts w:cs="Times New Roman"/>
          <w:szCs w:val="24"/>
        </w:rPr>
        <w:br/>
        <w:t xml:space="preserve">enfrentar problemas coletivos reconhecidos como tais (BATISTA, 2017). Em vez de reduzir </w:t>
      </w:r>
      <w:r w:rsidRPr="00363917">
        <w:rPr>
          <w:rFonts w:cs="Times New Roman"/>
          <w:szCs w:val="24"/>
        </w:rPr>
        <w:br/>
        <w:t xml:space="preserve">política pública a um simples somatório de programas, a abordagem contemporânea enfatiza </w:t>
      </w:r>
      <w:r w:rsidRPr="00363917">
        <w:rPr>
          <w:rFonts w:cs="Times New Roman"/>
          <w:szCs w:val="24"/>
        </w:rPr>
        <w:br/>
        <w:t xml:space="preserve">que ela envolve processos dinâmicos de formação de agenda, formulação, decisão, </w:t>
      </w:r>
      <w:r w:rsidRPr="00363917">
        <w:rPr>
          <w:rFonts w:cs="Times New Roman"/>
          <w:szCs w:val="24"/>
        </w:rPr>
        <w:br/>
        <w:t xml:space="preserve">implementação e avaliação, sempre atravessados por conflitos de interesse, recursos escassos e </w:t>
      </w:r>
      <w:r w:rsidRPr="00363917">
        <w:rPr>
          <w:rFonts w:cs="Times New Roman"/>
          <w:szCs w:val="24"/>
        </w:rPr>
        <w:br/>
        <w:t xml:space="preserve">assimetrias de poder (ABRUCIO, 2005; PIRES; GOMIDE, 2016). </w:t>
      </w:r>
    </w:p>
    <w:p w14:paraId="146AB2DB"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Nesse contexto, o modelo do ciclo da política ( policy cycle), embora frequentemente </w:t>
      </w:r>
      <w:r w:rsidRPr="00363917">
        <w:rPr>
          <w:rFonts w:cs="Times New Roman"/>
          <w:szCs w:val="24"/>
        </w:rPr>
        <w:br/>
        <w:t xml:space="preserve">criticado pela sua aparência linear, ainda é útil como esquema heurístico. Ele não é tomado aqui </w:t>
      </w:r>
      <w:r w:rsidRPr="00363917">
        <w:rPr>
          <w:rFonts w:cs="Times New Roman"/>
          <w:szCs w:val="24"/>
        </w:rPr>
        <w:br/>
        <w:t xml:space="preserve">como roteiro normativo rígido, mas como mapa analítico que permite localizar a política de </w:t>
      </w:r>
      <w:r w:rsidRPr="00363917">
        <w:rPr>
          <w:rFonts w:cs="Times New Roman"/>
          <w:szCs w:val="24"/>
        </w:rPr>
        <w:br/>
        <w:t xml:space="preserve">acesso a mercados em diferentes planos (BATISTA, 2017). No plano normativo, a formulação </w:t>
      </w:r>
      <w:r w:rsidRPr="00363917">
        <w:rPr>
          <w:rFonts w:cs="Times New Roman"/>
          <w:szCs w:val="24"/>
        </w:rPr>
        <w:br/>
        <w:t xml:space="preserve">se expressa em marcos legais como a Lei Complementar nº 123/2006 e a Lei nº 14.133/2021 </w:t>
      </w:r>
      <w:r w:rsidRPr="00363917">
        <w:rPr>
          <w:rFonts w:cs="Times New Roman"/>
          <w:szCs w:val="24"/>
        </w:rPr>
        <w:br/>
      </w:r>
      <w:r w:rsidRPr="00363917">
        <w:rPr>
          <w:rFonts w:cs="Times New Roman"/>
          <w:szCs w:val="24"/>
        </w:rPr>
        <w:lastRenderedPageBreak/>
        <w:t xml:space="preserve">(NOGUEIRA, 2010; BARRETO, 2011). No plano organizacional, a implementação se </w:t>
      </w:r>
      <w:r w:rsidRPr="00363917">
        <w:rPr>
          <w:rFonts w:cs="Times New Roman"/>
          <w:szCs w:val="24"/>
        </w:rPr>
        <w:br/>
        <w:t xml:space="preserve">concretiza em sistemas, rotinas e procediment os de compras públicas, incluindo plataformas </w:t>
      </w:r>
      <w:r w:rsidRPr="00363917">
        <w:rPr>
          <w:rFonts w:cs="Times New Roman"/>
          <w:szCs w:val="24"/>
        </w:rPr>
        <w:br/>
        <w:t xml:space="preserve">eletrônicas e estruturas administrativas de contratação (MCCRUDDEN, 2004; </w:t>
      </w:r>
      <w:r w:rsidRPr="00363917">
        <w:rPr>
          <w:rFonts w:cs="Times New Roman"/>
          <w:szCs w:val="24"/>
        </w:rPr>
        <w:br/>
        <w:t xml:space="preserve">ARROWSMITH; CRAVEN, 2016). No plano analítico, a avaliação de resultados permite </w:t>
      </w:r>
      <w:r w:rsidRPr="00363917">
        <w:rPr>
          <w:rFonts w:cs="Times New Roman"/>
          <w:szCs w:val="24"/>
        </w:rPr>
        <w:br/>
        <w:t xml:space="preserve">interrogar em que medida os efeitos observados correspondem aos objetivos declarados </w:t>
      </w:r>
      <w:r w:rsidRPr="00363917">
        <w:rPr>
          <w:rFonts w:cs="Times New Roman"/>
          <w:szCs w:val="24"/>
        </w:rPr>
        <w:br/>
        <w:t xml:space="preserve">(RAMOS; SCHABBACH, 2012; BATISTA, 2017). </w:t>
      </w:r>
    </w:p>
    <w:p w14:paraId="6B572ED9"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Dentro desse marco, ganha relevância a noção de instrumentos de política pública. Em </w:t>
      </w:r>
      <w:r w:rsidRPr="00363917">
        <w:rPr>
          <w:rFonts w:cs="Times New Roman"/>
          <w:szCs w:val="24"/>
        </w:rPr>
        <w:br/>
        <w:t xml:space="preserve">vez de compreender a política apenas como vontade geral do Estado, autores da chamada </w:t>
      </w:r>
      <w:r w:rsidRPr="00363917">
        <w:rPr>
          <w:rFonts w:cs="Times New Roman"/>
          <w:szCs w:val="24"/>
        </w:rPr>
        <w:br/>
        <w:t xml:space="preserve">“abordagem por instrumentos” insistem que são justamente os dispositivos, normas, incentivos, </w:t>
      </w:r>
      <w:r w:rsidRPr="00363917">
        <w:rPr>
          <w:rFonts w:cs="Times New Roman"/>
          <w:szCs w:val="24"/>
        </w:rPr>
        <w:br/>
        <w:t xml:space="preserve">contratos e tecnologias de gestão que conectam intenções e resultados (BATISTA, 2017). No </w:t>
      </w:r>
      <w:r w:rsidRPr="00363917">
        <w:rPr>
          <w:rFonts w:cs="Times New Roman"/>
          <w:szCs w:val="24"/>
        </w:rPr>
        <w:br/>
        <w:t xml:space="preserve">caso da política de acesso a mercados para MPEs, isso se traduz, por exemplo, na existência de </w:t>
      </w:r>
      <w:r w:rsidRPr="00363917">
        <w:rPr>
          <w:rFonts w:cs="Times New Roman"/>
          <w:szCs w:val="24"/>
        </w:rPr>
        <w:br/>
        <w:t xml:space="preserve">instrumentos normativos, como a LC nº 123/2006 e a Lei nº 14.1 33/2021, que definem </w:t>
      </w:r>
      <w:r w:rsidRPr="00363917">
        <w:rPr>
          <w:rFonts w:cs="Times New Roman"/>
          <w:szCs w:val="24"/>
        </w:rPr>
        <w:br/>
        <w:t xml:space="preserve">princípios, objetivos e mecanismos de favorecimento; na presença de instrumentos </w:t>
      </w:r>
      <w:r w:rsidRPr="00363917">
        <w:rPr>
          <w:rFonts w:cs="Times New Roman"/>
          <w:szCs w:val="24"/>
        </w:rPr>
        <w:br/>
        <w:t xml:space="preserve">organizacionais, como sistemas de compras eletrônicas, a exemplo do Sistema de Pregão Online </w:t>
      </w:r>
      <w:r w:rsidRPr="00363917">
        <w:rPr>
          <w:rFonts w:cs="Times New Roman"/>
          <w:szCs w:val="24"/>
        </w:rPr>
        <w:br/>
        <w:t xml:space="preserve">Banrisul –, manuais, modelos de edital e rotinas de julgamento (MCCRUDDEN, 2004; OCDE, </w:t>
      </w:r>
      <w:r w:rsidRPr="00363917">
        <w:rPr>
          <w:rFonts w:cs="Times New Roman"/>
          <w:szCs w:val="24"/>
        </w:rPr>
        <w:br/>
        <w:t xml:space="preserve">2023); em instrumentos de apoio, como programas de capacitação, consultorias e ações de </w:t>
      </w:r>
      <w:r w:rsidRPr="00363917">
        <w:rPr>
          <w:rFonts w:cs="Times New Roman"/>
          <w:szCs w:val="24"/>
        </w:rPr>
        <w:br/>
        <w:t xml:space="preserve">suporte conduzidas por SEBRAE, bancos públicos e órgãos de controle (SEBRAE, 2023; IPEA, </w:t>
      </w:r>
      <w:r w:rsidRPr="00363917">
        <w:rPr>
          <w:rFonts w:cs="Times New Roman"/>
          <w:szCs w:val="24"/>
        </w:rPr>
        <w:br/>
        <w:t xml:space="preserve">2023); e em instrumentos de monitoramento e avaliação, como bases de dados administrativas </w:t>
      </w:r>
      <w:r w:rsidRPr="00363917">
        <w:rPr>
          <w:rFonts w:cs="Times New Roman"/>
          <w:szCs w:val="24"/>
        </w:rPr>
        <w:br/>
        <w:t xml:space="preserve">e relatórios de participação e resultados (IPEA, 2023; FJP, 2023). </w:t>
      </w:r>
    </w:p>
    <w:p w14:paraId="7D97A58A" w14:textId="4C90D564" w:rsidR="00C94DC6" w:rsidRPr="00363917" w:rsidRDefault="00000000" w:rsidP="00072EF1">
      <w:pPr>
        <w:tabs>
          <w:tab w:val="left" w:pos="142"/>
        </w:tabs>
        <w:ind w:firstLine="851"/>
        <w:jc w:val="both"/>
        <w:rPr>
          <w:rFonts w:cs="Times New Roman"/>
          <w:szCs w:val="24"/>
        </w:rPr>
      </w:pPr>
      <w:r w:rsidRPr="00363917">
        <w:rPr>
          <w:rFonts w:cs="Times New Roman"/>
          <w:szCs w:val="24"/>
        </w:rPr>
        <w:t xml:space="preserve">O olhar voltado aos instrumentos afasta uma visão estritamente legalista e desloca a </w:t>
      </w:r>
      <w:r w:rsidRPr="00363917">
        <w:rPr>
          <w:rFonts w:cs="Times New Roman"/>
          <w:szCs w:val="24"/>
        </w:rPr>
        <w:br/>
        <w:t xml:space="preserve">análise para o modo como esses dispositivos são, de fato, apropriados, reinterpretados e </w:t>
      </w:r>
      <w:r w:rsidRPr="00363917">
        <w:rPr>
          <w:rFonts w:cs="Times New Roman"/>
          <w:szCs w:val="24"/>
        </w:rPr>
        <w:br/>
        <w:t xml:space="preserve">operacionalizados por burocracias concretas, em contextos federativos específicos (GOMIDE; </w:t>
      </w:r>
      <w:r w:rsidRPr="00363917">
        <w:rPr>
          <w:rFonts w:cs="Times New Roman"/>
          <w:szCs w:val="24"/>
        </w:rPr>
        <w:br/>
        <w:t xml:space="preserve">PIRES, 2014; PIRES; GOMIDE, 2016). É exatamente esse deslocamento que orienta a leitura </w:t>
      </w:r>
      <w:r w:rsidRPr="00363917">
        <w:rPr>
          <w:rFonts w:cs="Times New Roman"/>
          <w:szCs w:val="24"/>
        </w:rPr>
        <w:br/>
        <w:t>dos pregões de serviços via Banrisul proposta nesta pesquisa.</w:t>
      </w:r>
    </w:p>
    <w:p w14:paraId="3DB68988" w14:textId="672373F8"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3.8 </w:t>
      </w:r>
      <w:r w:rsidR="00000000" w:rsidRPr="00363917">
        <w:rPr>
          <w:rFonts w:ascii="Times New Roman" w:eastAsia="Times New Roman" w:hAnsi="Times New Roman" w:cs="Times New Roman"/>
          <w:color w:val="auto"/>
          <w:szCs w:val="24"/>
        </w:rPr>
        <w:t>Avaliação de políticas públicas: conceitos, funções e tipos</w:t>
      </w:r>
    </w:p>
    <w:p w14:paraId="55899206"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A avaliação de políticas públicas é compreendida, neste trabalho, como um processo </w:t>
      </w:r>
      <w:r w:rsidRPr="00363917">
        <w:rPr>
          <w:rFonts w:cs="Times New Roman"/>
          <w:szCs w:val="24"/>
        </w:rPr>
        <w:br/>
        <w:t xml:space="preserve">sistemático de formulação de juízos de valor sobre uma intervenção estatal – programa, política </w:t>
      </w:r>
      <w:r w:rsidRPr="00363917">
        <w:rPr>
          <w:rFonts w:cs="Times New Roman"/>
          <w:szCs w:val="24"/>
        </w:rPr>
        <w:br/>
        <w:t xml:space="preserve">ou conjunto de normas –, à luz de critérios explícitos, articulando informações sobre contexto, </w:t>
      </w:r>
      <w:r w:rsidRPr="00363917">
        <w:rPr>
          <w:rFonts w:cs="Times New Roman"/>
          <w:szCs w:val="24"/>
        </w:rPr>
        <w:br/>
        <w:t xml:space="preserve">desenho, implementação e resultados (RAMOS; SCHABBACH, 2012; BATISTA, 2017). </w:t>
      </w:r>
      <w:r w:rsidRPr="00363917">
        <w:rPr>
          <w:rFonts w:cs="Times New Roman"/>
          <w:szCs w:val="24"/>
        </w:rPr>
        <w:br/>
        <w:t xml:space="preserve">Trata-se de ir além da mera mensuração de indicadores, buscando interpretar as relações entre </w:t>
      </w:r>
      <w:r w:rsidRPr="00363917">
        <w:rPr>
          <w:rFonts w:cs="Times New Roman"/>
          <w:szCs w:val="24"/>
        </w:rPr>
        <w:br/>
      </w:r>
      <w:r w:rsidRPr="00363917">
        <w:rPr>
          <w:rFonts w:cs="Times New Roman"/>
          <w:szCs w:val="24"/>
        </w:rPr>
        <w:lastRenderedPageBreak/>
        <w:t xml:space="preserve">objetivos, meios e efeitos, em diálogo com diferentes atores e dimensões da política. </w:t>
      </w:r>
      <w:r w:rsidRPr="00363917">
        <w:rPr>
          <w:rFonts w:cs="Times New Roman"/>
          <w:szCs w:val="24"/>
        </w:rPr>
        <w:br/>
        <w:t xml:space="preserve">A literatura distingue, de modo clássico, entre avaliação ex ante (formativa) e ex post </w:t>
      </w:r>
      <w:r w:rsidRPr="00363917">
        <w:rPr>
          <w:rFonts w:cs="Times New Roman"/>
          <w:szCs w:val="24"/>
        </w:rPr>
        <w:br/>
        <w:t xml:space="preserve">(BATISTA, 2017). A avaliação ex ante ocorre antes da implementação e pergunta se a </w:t>
      </w:r>
      <w:r w:rsidRPr="00363917">
        <w:rPr>
          <w:rFonts w:cs="Times New Roman"/>
          <w:szCs w:val="24"/>
        </w:rPr>
        <w:br/>
        <w:t xml:space="preserve">intervenção é adequada, se há alternativas possíveis e se existe coerência entre objetivos, </w:t>
      </w:r>
      <w:r w:rsidRPr="00363917">
        <w:rPr>
          <w:rFonts w:cs="Times New Roman"/>
          <w:szCs w:val="24"/>
        </w:rPr>
        <w:br/>
        <w:t xml:space="preserve">instrumentos e contexto. A avaliação formativa acompanha a implementação e busca produzir </w:t>
      </w:r>
      <w:r w:rsidRPr="00363917">
        <w:rPr>
          <w:rFonts w:cs="Times New Roman"/>
          <w:szCs w:val="24"/>
        </w:rPr>
        <w:br/>
        <w:t xml:space="preserve">feedback contínuo para ajuste de rotas, correção de problemas e mudanças incrementais. Já a </w:t>
      </w:r>
      <w:r w:rsidRPr="00363917">
        <w:rPr>
          <w:rFonts w:cs="Times New Roman"/>
          <w:szCs w:val="24"/>
        </w:rPr>
        <w:br/>
        <w:t xml:space="preserve">avaliação ex post ou somativa ocorre após um ciclo de implementação e procura confrontar, de </w:t>
      </w:r>
      <w:r w:rsidRPr="00363917">
        <w:rPr>
          <w:rFonts w:cs="Times New Roman"/>
          <w:szCs w:val="24"/>
        </w:rPr>
        <w:br/>
        <w:t xml:space="preserve">maneira mais sistemática, resultados observados e objetivos declarados (RAMOS; </w:t>
      </w:r>
      <w:r w:rsidRPr="00363917">
        <w:rPr>
          <w:rFonts w:cs="Times New Roman"/>
          <w:szCs w:val="24"/>
        </w:rPr>
        <w:br/>
        <w:t xml:space="preserve">SCHABBACH, 2012). </w:t>
      </w:r>
    </w:p>
    <w:p w14:paraId="30400482"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Nesse processo, diferentes estratégias metodológicas podem ser combinadas, </w:t>
      </w:r>
      <w:r w:rsidRPr="00363917">
        <w:rPr>
          <w:rFonts w:cs="Times New Roman"/>
          <w:szCs w:val="24"/>
        </w:rPr>
        <w:br/>
        <w:t xml:space="preserve">articulando dados quantitativos e qualitativos, bem como diversas fontes de informação – movimento próximo do que a literatura de métodos denomina triangulação (DENZIN, 1978; </w:t>
      </w:r>
      <w:r w:rsidRPr="00363917">
        <w:rPr>
          <w:rFonts w:cs="Times New Roman"/>
          <w:szCs w:val="24"/>
        </w:rPr>
        <w:br/>
        <w:t xml:space="preserve">BARDIN, 2011). Essa perspectiva é particularmente importante em políticas complexas como </w:t>
      </w:r>
      <w:r w:rsidRPr="00363917">
        <w:rPr>
          <w:rFonts w:cs="Times New Roman"/>
          <w:szCs w:val="24"/>
        </w:rPr>
        <w:br/>
        <w:t xml:space="preserve">as compras públicas, nas quais indicadores administrativos precisam ser interpretados à luz de </w:t>
      </w:r>
      <w:r w:rsidRPr="00363917">
        <w:rPr>
          <w:rFonts w:cs="Times New Roman"/>
          <w:szCs w:val="24"/>
        </w:rPr>
        <w:br/>
        <w:t xml:space="preserve">contextos institucionais e normativos. </w:t>
      </w:r>
    </w:p>
    <w:p w14:paraId="1EC6FD8D" w14:textId="22F9B6EF" w:rsidR="00C94DC6" w:rsidRPr="00363917" w:rsidRDefault="00000000" w:rsidP="00072EF1">
      <w:pPr>
        <w:tabs>
          <w:tab w:val="left" w:pos="142"/>
        </w:tabs>
        <w:ind w:firstLine="851"/>
        <w:jc w:val="both"/>
        <w:rPr>
          <w:rFonts w:cs="Times New Roman"/>
          <w:szCs w:val="24"/>
        </w:rPr>
      </w:pPr>
      <w:r w:rsidRPr="00363917">
        <w:rPr>
          <w:rFonts w:cs="Times New Roman"/>
          <w:szCs w:val="24"/>
        </w:rPr>
        <w:t xml:space="preserve">A avaliação cumpre, nesse sentido, ao menos três funções. Em primeiro lugar, </w:t>
      </w:r>
      <w:r w:rsidRPr="00363917">
        <w:rPr>
          <w:rFonts w:cs="Times New Roman"/>
          <w:szCs w:val="24"/>
        </w:rPr>
        <w:br/>
        <w:t xml:space="preserve">desempenha uma função cognitiva, ao produzir conhecimento sobre o funcionamento e os </w:t>
      </w:r>
      <w:r w:rsidRPr="00363917">
        <w:rPr>
          <w:rFonts w:cs="Times New Roman"/>
          <w:szCs w:val="24"/>
        </w:rPr>
        <w:br/>
        <w:t xml:space="preserve">efeitos da política, ampliando a compreensão de formuladores, implementadores e beneficiários </w:t>
      </w:r>
      <w:r w:rsidRPr="00363917">
        <w:rPr>
          <w:rFonts w:cs="Times New Roman"/>
          <w:szCs w:val="24"/>
        </w:rPr>
        <w:br/>
        <w:t xml:space="preserve">(BATISTA, 2017). Em segundo lugar, exerce uma função de accountability, ao fornecer </w:t>
      </w:r>
      <w:r w:rsidRPr="00363917">
        <w:rPr>
          <w:rFonts w:cs="Times New Roman"/>
          <w:szCs w:val="24"/>
        </w:rPr>
        <w:br/>
        <w:t xml:space="preserve">informações que permitam responsabilizar governantes e burocracias pelo uso de recursos </w:t>
      </w:r>
      <w:r w:rsidRPr="00363917">
        <w:rPr>
          <w:rFonts w:cs="Times New Roman"/>
          <w:szCs w:val="24"/>
        </w:rPr>
        <w:br/>
        <w:t xml:space="preserve">públicos e pelos resultados entregues (RAMOS; SCHABBACH, 2012). Em terceiro lugar, </w:t>
      </w:r>
      <w:r w:rsidRPr="00363917">
        <w:rPr>
          <w:rFonts w:cs="Times New Roman"/>
          <w:szCs w:val="24"/>
        </w:rPr>
        <w:br/>
        <w:t xml:space="preserve">cumpre uma função de aprendizado e aprimoramento, ao alimentar processos de ajuste, </w:t>
      </w:r>
      <w:r w:rsidRPr="00363917">
        <w:rPr>
          <w:rFonts w:cs="Times New Roman"/>
          <w:szCs w:val="24"/>
        </w:rPr>
        <w:br/>
        <w:t xml:space="preserve">redesenho e, eventualmente, redirecionamento ou descontinuidade de políticas, dimensão que </w:t>
      </w:r>
      <w:r w:rsidRPr="00363917">
        <w:rPr>
          <w:rFonts w:cs="Times New Roman"/>
          <w:szCs w:val="24"/>
        </w:rPr>
        <w:br/>
        <w:t xml:space="preserve">se conecta diretamente ao debate sobre policy learning (ROPER, 2018; ROPER; HART, 2020; </w:t>
      </w:r>
      <w:r w:rsidRPr="00363917">
        <w:rPr>
          <w:rFonts w:cs="Times New Roman"/>
          <w:szCs w:val="24"/>
        </w:rPr>
        <w:br/>
        <w:t>OCDE, 2023).</w:t>
      </w:r>
    </w:p>
    <w:p w14:paraId="52F9C737" w14:textId="6BE59D4F"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3.9 </w:t>
      </w:r>
      <w:r w:rsidR="00000000" w:rsidRPr="00363917">
        <w:rPr>
          <w:rFonts w:ascii="Times New Roman" w:eastAsia="Times New Roman" w:hAnsi="Times New Roman" w:cs="Times New Roman"/>
          <w:color w:val="auto"/>
          <w:szCs w:val="24"/>
        </w:rPr>
        <w:t>Avaliação de resultados: conceitos operacionais e limites</w:t>
      </w:r>
    </w:p>
    <w:p w14:paraId="03423475"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Tomando como ponto de partida a formulação de Ramos e Schabbach, a avaliação de </w:t>
      </w:r>
      <w:r w:rsidRPr="00363917">
        <w:rPr>
          <w:rFonts w:cs="Times New Roman"/>
          <w:szCs w:val="24"/>
        </w:rPr>
        <w:br/>
        <w:t xml:space="preserve">resultados é concebida, neste estudo, como um exercício voltado a verificar em que medida os </w:t>
      </w:r>
      <w:r w:rsidRPr="00363917">
        <w:rPr>
          <w:rFonts w:cs="Times New Roman"/>
          <w:szCs w:val="24"/>
        </w:rPr>
        <w:br/>
        <w:t xml:space="preserve">resultados observados se aproximam dos objetivos declarados da política de acesso a mercados </w:t>
      </w:r>
      <w:r w:rsidRPr="00363917">
        <w:rPr>
          <w:rFonts w:cs="Times New Roman"/>
          <w:szCs w:val="24"/>
        </w:rPr>
        <w:br/>
        <w:t xml:space="preserve">para MPEs (RAMOS; SCHABBACH, 2012). Alguns desses objetivos podem ser sintetizados </w:t>
      </w:r>
      <w:r w:rsidRPr="00363917">
        <w:rPr>
          <w:rFonts w:cs="Times New Roman"/>
          <w:szCs w:val="24"/>
        </w:rPr>
        <w:br/>
      </w:r>
      <w:r w:rsidRPr="00363917">
        <w:rPr>
          <w:rFonts w:cs="Times New Roman"/>
          <w:szCs w:val="24"/>
        </w:rPr>
        <w:lastRenderedPageBreak/>
        <w:t xml:space="preserve">na ampliação da participação de micro e pequenas empresas nas compras governamentais, no </w:t>
      </w:r>
      <w:r w:rsidRPr="00363917">
        <w:rPr>
          <w:rFonts w:cs="Times New Roman"/>
          <w:szCs w:val="24"/>
        </w:rPr>
        <w:br/>
        <w:t xml:space="preserve">aumento da competitividade desse segmento em condições mais equitativas, no favorecimento </w:t>
      </w:r>
      <w:r w:rsidRPr="00363917">
        <w:rPr>
          <w:rFonts w:cs="Times New Roman"/>
          <w:szCs w:val="24"/>
        </w:rPr>
        <w:br/>
        <w:t xml:space="preserve">da inclusão de novos negócios no mercado público – especialmente por meio do estímulo à </w:t>
      </w:r>
      <w:r w:rsidRPr="00363917">
        <w:rPr>
          <w:rFonts w:cs="Times New Roman"/>
          <w:szCs w:val="24"/>
        </w:rPr>
        <w:br/>
        <w:t xml:space="preserve">formalização, e na contribuição para o desenvolvimento local e regional por meio da </w:t>
      </w:r>
      <w:r w:rsidRPr="00363917">
        <w:rPr>
          <w:rFonts w:cs="Times New Roman"/>
          <w:szCs w:val="24"/>
        </w:rPr>
        <w:br/>
        <w:t xml:space="preserve">desconcentração territorial dos contratos (BARRETO, 2011; SEBRAE, 2023; IPEA, 2023). </w:t>
      </w:r>
      <w:r w:rsidRPr="00363917">
        <w:rPr>
          <w:rFonts w:cs="Times New Roman"/>
          <w:szCs w:val="24"/>
        </w:rPr>
        <w:br/>
        <w:t xml:space="preserve">Do ponto de vista operacional, esse tipo de avaliação exige a construção de indicadores </w:t>
      </w:r>
      <w:r w:rsidRPr="00363917">
        <w:rPr>
          <w:rFonts w:cs="Times New Roman"/>
          <w:szCs w:val="24"/>
        </w:rPr>
        <w:br/>
        <w:t xml:space="preserve">que expressem essas dimensões de maneira observável. Nesta pesquisa, isso se traduz na </w:t>
      </w:r>
      <w:r w:rsidRPr="00363917">
        <w:rPr>
          <w:rFonts w:cs="Times New Roman"/>
          <w:szCs w:val="24"/>
        </w:rPr>
        <w:br/>
        <w:t xml:space="preserve">definição de indicadores de participação, medidos, por exemplo, pelo número de pr opostas </w:t>
      </w:r>
      <w:r w:rsidRPr="00363917">
        <w:rPr>
          <w:rFonts w:cs="Times New Roman"/>
          <w:szCs w:val="24"/>
        </w:rPr>
        <w:br/>
        <w:t xml:space="preserve">apresentadas por microempresas, empresas de pequeno porte e demais empresas e pela </w:t>
      </w:r>
      <w:r w:rsidRPr="00363917">
        <w:rPr>
          <w:rFonts w:cs="Times New Roman"/>
          <w:szCs w:val="24"/>
        </w:rPr>
        <w:br/>
        <w:t xml:space="preserve">participação relativa desses grupos na fase de propostas; na definição de indicadores de sucesso </w:t>
      </w:r>
      <w:r w:rsidRPr="00363917">
        <w:rPr>
          <w:rFonts w:cs="Times New Roman"/>
          <w:szCs w:val="24"/>
        </w:rPr>
        <w:br/>
        <w:t xml:space="preserve">licitatório, como taxas de vitória por porte e distribuição de contratos por porte e faixas de valor; </w:t>
      </w:r>
      <w:r w:rsidRPr="00363917">
        <w:rPr>
          <w:rFonts w:cs="Times New Roman"/>
          <w:szCs w:val="24"/>
        </w:rPr>
        <w:br/>
        <w:t xml:space="preserve">na construção de indicadores de perfil das empresas, considerando porte, CNAE e localização </w:t>
      </w:r>
      <w:r w:rsidRPr="00363917">
        <w:rPr>
          <w:rFonts w:cs="Times New Roman"/>
          <w:szCs w:val="24"/>
        </w:rPr>
        <w:br/>
        <w:t xml:space="preserve">territorial; na elaboração de indicadores de formalização recente, como o tempo de constituição </w:t>
      </w:r>
      <w:r w:rsidRPr="00363917">
        <w:rPr>
          <w:rFonts w:cs="Times New Roman"/>
          <w:szCs w:val="24"/>
        </w:rPr>
        <w:br/>
        <w:t xml:space="preserve">em meses na data do certame; e na identificação de indicadores de aderência normativa, que </w:t>
      </w:r>
      <w:r w:rsidRPr="00363917">
        <w:rPr>
          <w:rFonts w:cs="Times New Roman"/>
          <w:szCs w:val="24"/>
        </w:rPr>
        <w:br/>
        <w:t xml:space="preserve">expressem o grau de incorporação dos instrumentos pró -MPE nos editais (SILVA; REIS; </w:t>
      </w:r>
      <w:r w:rsidRPr="00363917">
        <w:rPr>
          <w:rFonts w:cs="Times New Roman"/>
          <w:szCs w:val="24"/>
        </w:rPr>
        <w:br/>
        <w:t>MELLO, 2019; IPEA, 2023).</w:t>
      </w:r>
    </w:p>
    <w:p w14:paraId="535C5D46" w14:textId="2DDE6B65" w:rsidR="00C94DC6" w:rsidRPr="00363917" w:rsidRDefault="00000000" w:rsidP="00072EF1">
      <w:pPr>
        <w:tabs>
          <w:tab w:val="left" w:pos="142"/>
        </w:tabs>
        <w:ind w:firstLine="851"/>
        <w:jc w:val="both"/>
        <w:rPr>
          <w:rFonts w:cs="Times New Roman"/>
          <w:szCs w:val="24"/>
        </w:rPr>
      </w:pPr>
      <w:r w:rsidRPr="00363917">
        <w:rPr>
          <w:rFonts w:cs="Times New Roman"/>
          <w:szCs w:val="24"/>
        </w:rPr>
        <w:t xml:space="preserve">Ao adotar essa perspectiva, o estudo reconhece limites claros da avaliação de resultados. </w:t>
      </w:r>
      <w:r w:rsidRPr="00363917">
        <w:rPr>
          <w:rFonts w:cs="Times New Roman"/>
          <w:szCs w:val="24"/>
        </w:rPr>
        <w:br/>
        <w:t xml:space="preserve">Não se pretende demonstrar que qualquer variação observada decorre exclusivamente da </w:t>
      </w:r>
      <w:r w:rsidRPr="00363917">
        <w:rPr>
          <w:rFonts w:cs="Times New Roman"/>
          <w:szCs w:val="24"/>
        </w:rPr>
        <w:br/>
        <w:t xml:space="preserve">política de acesso a mercados, uma vez que mudanças no número de certames, na participação </w:t>
      </w:r>
      <w:r w:rsidRPr="00363917">
        <w:rPr>
          <w:rFonts w:cs="Times New Roman"/>
          <w:szCs w:val="24"/>
        </w:rPr>
        <w:br/>
        <w:t xml:space="preserve">ou no sucesso de MPEs podem resultar de combinações entre conjuntura macroeconômica, </w:t>
      </w:r>
      <w:r w:rsidRPr="00363917">
        <w:rPr>
          <w:rFonts w:cs="Times New Roman"/>
          <w:szCs w:val="24"/>
        </w:rPr>
        <w:br/>
        <w:t xml:space="preserve">dinâmica setorial, capacidades institucionais e arranjos políticos locais (GOMIDE; PIRES, </w:t>
      </w:r>
      <w:r w:rsidRPr="00363917">
        <w:rPr>
          <w:rFonts w:cs="Times New Roman"/>
          <w:szCs w:val="24"/>
        </w:rPr>
        <w:br/>
        <w:t xml:space="preserve">2014; PIRES; GOMIDE, 2016; BATISTA, 2017). A própria disponibilidade e qualidade dos </w:t>
      </w:r>
      <w:r w:rsidRPr="00363917">
        <w:rPr>
          <w:rFonts w:cs="Times New Roman"/>
          <w:szCs w:val="24"/>
        </w:rPr>
        <w:br/>
        <w:t xml:space="preserve">dados administrativos, em termos de completude, padronização e consistência, condiciona o </w:t>
      </w:r>
      <w:r w:rsidRPr="00363917">
        <w:rPr>
          <w:rFonts w:cs="Times New Roman"/>
          <w:szCs w:val="24"/>
        </w:rPr>
        <w:br/>
        <w:t xml:space="preserve">escopo das análises que podem ser realizadas (IPEA, 2023; FJP, 2023; OCDE, 2023). </w:t>
      </w:r>
      <w:r w:rsidRPr="00363917">
        <w:rPr>
          <w:rFonts w:cs="Times New Roman"/>
          <w:szCs w:val="24"/>
        </w:rPr>
        <w:br/>
        <w:t xml:space="preserve">Apesar desses limites, o referencial de avaliação de resultados é valioso por, pelo menos, </w:t>
      </w:r>
      <w:r w:rsidRPr="00363917">
        <w:rPr>
          <w:rFonts w:cs="Times New Roman"/>
          <w:szCs w:val="24"/>
        </w:rPr>
        <w:br/>
        <w:t xml:space="preserve">duas razões. Em primeiro lugar, porque explicita a relação entre objetivos normativamente </w:t>
      </w:r>
      <w:r w:rsidRPr="00363917">
        <w:rPr>
          <w:rFonts w:cs="Times New Roman"/>
          <w:szCs w:val="24"/>
        </w:rPr>
        <w:br/>
        <w:t xml:space="preserve">definidos – tratamento favorecido, inclusão produtiva, desenvolvimento regional – e resultados </w:t>
      </w:r>
      <w:r w:rsidRPr="00363917">
        <w:rPr>
          <w:rFonts w:cs="Times New Roman"/>
          <w:szCs w:val="24"/>
        </w:rPr>
        <w:br/>
        <w:t xml:space="preserve">empíricos concretos, expressos na participação, no perfil e no desempenho das MPEs em </w:t>
      </w:r>
      <w:r w:rsidRPr="00363917">
        <w:rPr>
          <w:rFonts w:cs="Times New Roman"/>
          <w:szCs w:val="24"/>
        </w:rPr>
        <w:br/>
        <w:t xml:space="preserve">licitações (RAMOS; SCHABBACH, 2012; BATISTA, 2017). Em segundo lugar, porque </w:t>
      </w:r>
      <w:r w:rsidRPr="00363917">
        <w:rPr>
          <w:rFonts w:cs="Times New Roman"/>
          <w:szCs w:val="24"/>
        </w:rPr>
        <w:br/>
        <w:t xml:space="preserve">permite articular diretrizes abstratas com indicadores operacionais, abri ndo espaço para um </w:t>
      </w:r>
      <w:r w:rsidRPr="00363917">
        <w:rPr>
          <w:rFonts w:cs="Times New Roman"/>
          <w:szCs w:val="24"/>
        </w:rPr>
        <w:br/>
        <w:t xml:space="preserve">diálogo mais qualificado entre a academia, as burocracias responsáveis pela implementação e </w:t>
      </w:r>
      <w:r w:rsidRPr="00363917">
        <w:rPr>
          <w:rFonts w:cs="Times New Roman"/>
          <w:szCs w:val="24"/>
        </w:rPr>
        <w:br/>
      </w:r>
      <w:r w:rsidRPr="00363917">
        <w:rPr>
          <w:rFonts w:cs="Times New Roman"/>
          <w:szCs w:val="24"/>
        </w:rPr>
        <w:lastRenderedPageBreak/>
        <w:t xml:space="preserve">atores de apoio, como SEBRAE, bancos públicos e órgãos de controle (SEBRAE, 2023; IPEA, </w:t>
      </w:r>
      <w:r w:rsidRPr="00363917">
        <w:rPr>
          <w:rFonts w:cs="Times New Roman"/>
          <w:szCs w:val="24"/>
        </w:rPr>
        <w:br/>
        <w:t>2023; FJP, 2023).</w:t>
      </w:r>
    </w:p>
    <w:p w14:paraId="19732D89" w14:textId="188EE3DA"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3.10 </w:t>
      </w:r>
      <w:r w:rsidR="00000000" w:rsidRPr="00363917">
        <w:rPr>
          <w:rFonts w:ascii="Times New Roman" w:eastAsia="Times New Roman" w:hAnsi="Times New Roman" w:cs="Times New Roman"/>
          <w:color w:val="auto"/>
          <w:szCs w:val="24"/>
        </w:rPr>
        <w:t>Poder de compra do Estado, compras públicas e política de acesso a mercados</w:t>
      </w:r>
    </w:p>
    <w:p w14:paraId="24D415F1"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O segundo eixo do referencial teórico diz respeito ao poder de compra do Estado e ao </w:t>
      </w:r>
      <w:r w:rsidRPr="00363917">
        <w:rPr>
          <w:rFonts w:cs="Times New Roman"/>
          <w:szCs w:val="24"/>
        </w:rPr>
        <w:br/>
        <w:t xml:space="preserve">uso das compras públicas como instrumento de política. Tradicionalmente, as compras </w:t>
      </w:r>
      <w:r w:rsidRPr="00363917">
        <w:rPr>
          <w:rFonts w:cs="Times New Roman"/>
          <w:szCs w:val="24"/>
        </w:rPr>
        <w:br/>
        <w:t xml:space="preserve">governamentais foram vistas como função estritamente administrativa, voltada à aquisição de </w:t>
      </w:r>
      <w:r w:rsidRPr="00363917">
        <w:rPr>
          <w:rFonts w:cs="Times New Roman"/>
          <w:szCs w:val="24"/>
        </w:rPr>
        <w:br/>
        <w:t xml:space="preserve">insumos para o funcionamento da máquina pública. A literatura mais recente, contudo, tem </w:t>
      </w:r>
      <w:r w:rsidRPr="00363917">
        <w:rPr>
          <w:rFonts w:cs="Times New Roman"/>
          <w:szCs w:val="24"/>
        </w:rPr>
        <w:br/>
        <w:t xml:space="preserve">sublinhado que, ao adquirir bens e serviços em grande escala, o Estado oper a como um ator </w:t>
      </w:r>
      <w:r w:rsidRPr="00363917">
        <w:rPr>
          <w:rFonts w:cs="Times New Roman"/>
          <w:szCs w:val="24"/>
        </w:rPr>
        <w:br/>
        <w:t xml:space="preserve">econômico capaz de orientar padrões de produção, inovação e inclusão (MCCRUDDEN, 2004; </w:t>
      </w:r>
      <w:r w:rsidRPr="00363917">
        <w:rPr>
          <w:rFonts w:cs="Times New Roman"/>
          <w:szCs w:val="24"/>
        </w:rPr>
        <w:br/>
        <w:t>OCDE, 2023).</w:t>
      </w:r>
    </w:p>
    <w:p w14:paraId="5EDE6DDE"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Nesse cenário, as compras públicas passam a ser lidas como instrumento de políticas </w:t>
      </w:r>
      <w:r w:rsidRPr="00363917">
        <w:rPr>
          <w:rFonts w:cs="Times New Roman"/>
          <w:szCs w:val="24"/>
        </w:rPr>
        <w:br/>
        <w:t xml:space="preserve">industriais, tecnológicas, de inovação e de desenvolvimento de pequenas empresas </w:t>
      </w:r>
      <w:r w:rsidRPr="00363917">
        <w:rPr>
          <w:rFonts w:cs="Times New Roman"/>
          <w:szCs w:val="24"/>
        </w:rPr>
        <w:br/>
        <w:t xml:space="preserve">(MCCRUDDEN, 2004; ARROWSMITH; CRAVEN, 2016). No campo das MPEs, o poder de </w:t>
      </w:r>
      <w:r w:rsidRPr="00363917">
        <w:rPr>
          <w:rFonts w:cs="Times New Roman"/>
          <w:szCs w:val="24"/>
        </w:rPr>
        <w:br/>
        <w:t xml:space="preserve">compra estatal s e materializa, em especial, em dispositivos normativos como licitações </w:t>
      </w:r>
      <w:r w:rsidRPr="00363917">
        <w:rPr>
          <w:rFonts w:cs="Times New Roman"/>
          <w:szCs w:val="24"/>
        </w:rPr>
        <w:br/>
        <w:t xml:space="preserve">exclusivas para micro e pequenas empresas até determinado valor, cotas reservadas em itens </w:t>
      </w:r>
      <w:r w:rsidRPr="00363917">
        <w:rPr>
          <w:rFonts w:cs="Times New Roman"/>
          <w:szCs w:val="24"/>
        </w:rPr>
        <w:br/>
        <w:t xml:space="preserve">divisíveis, subcontratação obrigatória de MPEs em grandes contratos, critérios de desempate </w:t>
      </w:r>
      <w:r w:rsidRPr="00363917">
        <w:rPr>
          <w:rFonts w:cs="Times New Roman"/>
          <w:szCs w:val="24"/>
        </w:rPr>
        <w:br/>
        <w:t xml:space="preserve">favoráveis, como o empate ficto, e flexibilização da comprovação de regularidade fiscal </w:t>
      </w:r>
      <w:r w:rsidRPr="00363917">
        <w:rPr>
          <w:rFonts w:cs="Times New Roman"/>
          <w:szCs w:val="24"/>
        </w:rPr>
        <w:br/>
        <w:t xml:space="preserve">(BARRETO, 2011; NOGUEIRA, 2010; IPEA, 2023). </w:t>
      </w:r>
    </w:p>
    <w:p w14:paraId="44CA23CA" w14:textId="57771CC2" w:rsidR="00072EF1" w:rsidRDefault="00000000" w:rsidP="00072EF1">
      <w:pPr>
        <w:tabs>
          <w:tab w:val="left" w:pos="142"/>
        </w:tabs>
        <w:ind w:firstLine="851"/>
        <w:jc w:val="both"/>
        <w:rPr>
          <w:rFonts w:cs="Times New Roman"/>
          <w:szCs w:val="24"/>
        </w:rPr>
      </w:pPr>
      <w:r w:rsidRPr="00363917">
        <w:rPr>
          <w:rFonts w:cs="Times New Roman"/>
          <w:szCs w:val="24"/>
        </w:rPr>
        <w:t>Esses mecanismos são interpretados</w:t>
      </w:r>
      <w:r w:rsidR="00072EF1">
        <w:rPr>
          <w:rFonts w:cs="Times New Roman"/>
          <w:szCs w:val="24"/>
        </w:rPr>
        <w:t xml:space="preserve"> </w:t>
      </w:r>
      <w:r w:rsidRPr="00363917">
        <w:rPr>
          <w:rFonts w:cs="Times New Roman"/>
          <w:szCs w:val="24"/>
        </w:rPr>
        <w:t>como formas de correção de falhas de mercado e de coordenação que dificultam a inserção de</w:t>
      </w:r>
      <w:r w:rsidR="00072EF1">
        <w:rPr>
          <w:rFonts w:cs="Times New Roman"/>
          <w:szCs w:val="24"/>
        </w:rPr>
        <w:t xml:space="preserve"> </w:t>
      </w:r>
      <w:r w:rsidRPr="00363917">
        <w:rPr>
          <w:rFonts w:cs="Times New Roman"/>
          <w:szCs w:val="24"/>
        </w:rPr>
        <w:t>MPEs em certames competitivos, como assimetrias de informação, custos fixos elevados para</w:t>
      </w:r>
      <w:r w:rsidR="00072EF1">
        <w:rPr>
          <w:rFonts w:cs="Times New Roman"/>
          <w:szCs w:val="24"/>
        </w:rPr>
        <w:t xml:space="preserve"> </w:t>
      </w:r>
      <w:r w:rsidRPr="00363917">
        <w:rPr>
          <w:rFonts w:cs="Times New Roman"/>
          <w:szCs w:val="24"/>
        </w:rPr>
        <w:t>preparar propostas, exigências desproporcionais em relação ao porte da empresa e barreiras de</w:t>
      </w:r>
      <w:r w:rsidR="00072EF1">
        <w:rPr>
          <w:rFonts w:cs="Times New Roman"/>
          <w:szCs w:val="24"/>
        </w:rPr>
        <w:t xml:space="preserve"> </w:t>
      </w:r>
      <w:r w:rsidRPr="00363917">
        <w:rPr>
          <w:rFonts w:cs="Times New Roman"/>
          <w:szCs w:val="24"/>
        </w:rPr>
        <w:t xml:space="preserve">acesso a garantias e histórico de contratos (PERRY et al., 2007; SEBRAE, 2023). </w:t>
      </w:r>
    </w:p>
    <w:p w14:paraId="5E592F91" w14:textId="357E0C02" w:rsidR="00072EF1" w:rsidRDefault="00000000" w:rsidP="00072EF1">
      <w:pPr>
        <w:tabs>
          <w:tab w:val="left" w:pos="142"/>
        </w:tabs>
        <w:ind w:firstLine="851"/>
        <w:jc w:val="both"/>
        <w:rPr>
          <w:rFonts w:cs="Times New Roman"/>
          <w:szCs w:val="24"/>
        </w:rPr>
      </w:pPr>
      <w:r w:rsidRPr="00363917">
        <w:rPr>
          <w:rFonts w:cs="Times New Roman"/>
          <w:szCs w:val="24"/>
        </w:rPr>
        <w:t>Ao modular</w:t>
      </w:r>
      <w:r w:rsidR="00072EF1">
        <w:rPr>
          <w:rFonts w:cs="Times New Roman"/>
          <w:szCs w:val="24"/>
        </w:rPr>
        <w:t xml:space="preserve"> </w:t>
      </w:r>
      <w:r w:rsidRPr="00363917">
        <w:rPr>
          <w:rFonts w:cs="Times New Roman"/>
          <w:szCs w:val="24"/>
        </w:rPr>
        <w:t>requisitos e oferecer margens de preferência, a política de acesso a mercados busca colocar as</w:t>
      </w:r>
      <w:r w:rsidR="00072EF1">
        <w:rPr>
          <w:rFonts w:cs="Times New Roman"/>
          <w:szCs w:val="24"/>
        </w:rPr>
        <w:t xml:space="preserve"> </w:t>
      </w:r>
      <w:r w:rsidRPr="00363917">
        <w:rPr>
          <w:rFonts w:cs="Times New Roman"/>
          <w:szCs w:val="24"/>
        </w:rPr>
        <w:t>MPEs em posição menos desfavorável na disputa por contratos públicos.</w:t>
      </w:r>
    </w:p>
    <w:p w14:paraId="72A691D8" w14:textId="15A361A7" w:rsidR="00C94DC6" w:rsidRPr="00363917" w:rsidRDefault="00000000" w:rsidP="00072EF1">
      <w:pPr>
        <w:tabs>
          <w:tab w:val="left" w:pos="142"/>
        </w:tabs>
        <w:ind w:firstLine="851"/>
        <w:jc w:val="both"/>
        <w:rPr>
          <w:rFonts w:cs="Times New Roman"/>
          <w:szCs w:val="24"/>
        </w:rPr>
      </w:pPr>
      <w:r w:rsidRPr="00363917">
        <w:rPr>
          <w:rFonts w:cs="Times New Roman"/>
          <w:szCs w:val="24"/>
        </w:rPr>
        <w:t xml:space="preserve">É importante destacar que essa política opera simultaneamente em dois planos. No plano </w:t>
      </w:r>
      <w:r w:rsidRPr="00363917">
        <w:rPr>
          <w:rFonts w:cs="Times New Roman"/>
          <w:szCs w:val="24"/>
        </w:rPr>
        <w:br/>
        <w:t xml:space="preserve">normativo-legal, o tratamento diferenciado e favorecido é definido e detalhado em leis e </w:t>
      </w:r>
      <w:r w:rsidRPr="00363917">
        <w:rPr>
          <w:rFonts w:cs="Times New Roman"/>
          <w:szCs w:val="24"/>
        </w:rPr>
        <w:br/>
        <w:t xml:space="preserve">regulamentos, como a LC nº 123/2006 e a Lei nº 14.133/2021 (NOGUEIRA, 2010; BARRETO, </w:t>
      </w:r>
      <w:r w:rsidRPr="00363917">
        <w:rPr>
          <w:rFonts w:cs="Times New Roman"/>
          <w:szCs w:val="24"/>
        </w:rPr>
        <w:br/>
        <w:t xml:space="preserve">2011). No plano operacional, são os sistemas de compras, os editais, as comissões de licitação </w:t>
      </w:r>
      <w:r w:rsidRPr="00363917">
        <w:rPr>
          <w:rFonts w:cs="Times New Roman"/>
          <w:szCs w:val="24"/>
        </w:rPr>
        <w:br/>
      </w:r>
      <w:r w:rsidRPr="00363917">
        <w:rPr>
          <w:rFonts w:cs="Times New Roman"/>
          <w:szCs w:val="24"/>
        </w:rPr>
        <w:lastRenderedPageBreak/>
        <w:t xml:space="preserve">e os próprios fornecedores que interagem para dar vida, ou não, a tais dispositivos </w:t>
      </w:r>
      <w:r w:rsidRPr="00363917">
        <w:rPr>
          <w:rFonts w:cs="Times New Roman"/>
          <w:szCs w:val="24"/>
        </w:rPr>
        <w:br/>
        <w:t xml:space="preserve">(MCCRUDDEN, 2004; ARROWSMITH; CRAVEN, 2016; OCDE, 2023). A política de acesso </w:t>
      </w:r>
      <w:r w:rsidRPr="00363917">
        <w:rPr>
          <w:rFonts w:cs="Times New Roman"/>
          <w:szCs w:val="24"/>
        </w:rPr>
        <w:br/>
        <w:t xml:space="preserve">a mercados via compras públicas é, portanto, profundamente mediada por instituições: é no </w:t>
      </w:r>
      <w:r w:rsidRPr="00363917">
        <w:rPr>
          <w:rFonts w:cs="Times New Roman"/>
          <w:szCs w:val="24"/>
        </w:rPr>
        <w:br/>
        <w:t xml:space="preserve">cruzamento entre regras formais e práticas informais que se decide, em última instância, se os </w:t>
      </w:r>
      <w:r w:rsidRPr="00363917">
        <w:rPr>
          <w:rFonts w:cs="Times New Roman"/>
          <w:szCs w:val="24"/>
        </w:rPr>
        <w:br/>
        <w:t xml:space="preserve">instrumentos pró -MPE são aplicados de modo consistente ou se perm anecem no plano da </w:t>
      </w:r>
      <w:r w:rsidRPr="00363917">
        <w:rPr>
          <w:rFonts w:cs="Times New Roman"/>
          <w:szCs w:val="24"/>
        </w:rPr>
        <w:br/>
        <w:t xml:space="preserve">“norma não implementada” (GOMIDE; PIRES, 2014; PIRES; GOMIDE, 2016). A análise dos </w:t>
      </w:r>
      <w:r w:rsidRPr="00363917">
        <w:rPr>
          <w:rFonts w:cs="Times New Roman"/>
          <w:szCs w:val="24"/>
        </w:rPr>
        <w:br/>
        <w:t xml:space="preserve">pregões eletrônicos de serviços via Banrisul pretende justamente capturar esses descompassos </w:t>
      </w:r>
      <w:r w:rsidRPr="00363917">
        <w:rPr>
          <w:rFonts w:cs="Times New Roman"/>
          <w:szCs w:val="24"/>
        </w:rPr>
        <w:br/>
        <w:t>entre desenho e uso efetivo dos instrumentos.</w:t>
      </w:r>
    </w:p>
    <w:p w14:paraId="7B360AB2" w14:textId="36FDCB3E"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3.11 </w:t>
      </w:r>
      <w:r w:rsidR="00000000" w:rsidRPr="00363917">
        <w:rPr>
          <w:rFonts w:ascii="Times New Roman" w:eastAsia="Times New Roman" w:hAnsi="Times New Roman" w:cs="Times New Roman"/>
          <w:color w:val="auto"/>
          <w:szCs w:val="24"/>
        </w:rPr>
        <w:t>Federalismo, capacidades estatais e variação de resultados</w:t>
      </w:r>
    </w:p>
    <w:p w14:paraId="46B499F3"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Por se tratar de um Estado federativo, o Brasil distribui competências de formulação e </w:t>
      </w:r>
      <w:r w:rsidRPr="00363917">
        <w:rPr>
          <w:rFonts w:cs="Times New Roman"/>
          <w:szCs w:val="24"/>
        </w:rPr>
        <w:br/>
        <w:t xml:space="preserve">implementação de políticas entre União, estados e municípios. A literatura sobre federalismo e </w:t>
      </w:r>
      <w:r w:rsidRPr="00363917">
        <w:rPr>
          <w:rFonts w:cs="Times New Roman"/>
          <w:szCs w:val="24"/>
        </w:rPr>
        <w:br/>
        <w:t xml:space="preserve">políticas públicas lembra que essa descentralização pode ser tanto fonte d e inovação e </w:t>
      </w:r>
      <w:r w:rsidRPr="00363917">
        <w:rPr>
          <w:rFonts w:cs="Times New Roman"/>
          <w:szCs w:val="24"/>
        </w:rPr>
        <w:br/>
        <w:t xml:space="preserve">experimentação quanto vetor de desigualdades, a depender das capacidades estatais de cada </w:t>
      </w:r>
      <w:r w:rsidRPr="00363917">
        <w:rPr>
          <w:rFonts w:cs="Times New Roman"/>
          <w:szCs w:val="24"/>
        </w:rPr>
        <w:br/>
        <w:t xml:space="preserve">ente (ABRUCIO, 2005; GOMIDE; PIRES, 2014). Em termos gerais, capacidade estatal remete </w:t>
      </w:r>
      <w:r w:rsidRPr="00363917">
        <w:rPr>
          <w:rFonts w:cs="Times New Roman"/>
          <w:szCs w:val="24"/>
        </w:rPr>
        <w:br/>
        <w:t xml:space="preserve">à combinação de recursos, competências, rotinas e legitimidade que permite ao Estado </w:t>
      </w:r>
      <w:r w:rsidRPr="00363917">
        <w:rPr>
          <w:rFonts w:cs="Times New Roman"/>
          <w:szCs w:val="24"/>
        </w:rPr>
        <w:br/>
        <w:t xml:space="preserve">formular, implementar e sustentar políticas ao longo do tempo (PIRES; GOMIDE, 2016; FJP, </w:t>
      </w:r>
      <w:r w:rsidRPr="00363917">
        <w:rPr>
          <w:rFonts w:cs="Times New Roman"/>
          <w:szCs w:val="24"/>
        </w:rPr>
        <w:br/>
        <w:t xml:space="preserve">2023). </w:t>
      </w:r>
    </w:p>
    <w:p w14:paraId="1B6E34CC"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Inspirando-se na literatura recente sobre capacidades estatais no Brasil, em especial nas </w:t>
      </w:r>
      <w:r w:rsidRPr="00363917">
        <w:rPr>
          <w:rFonts w:cs="Times New Roman"/>
          <w:szCs w:val="24"/>
        </w:rPr>
        <w:br/>
        <w:t xml:space="preserve">contribuições de Gomide e Pires e de estudos organizados pela Fundação João Pinheiro, é </w:t>
      </w:r>
      <w:r w:rsidRPr="00363917">
        <w:rPr>
          <w:rFonts w:cs="Times New Roman"/>
          <w:szCs w:val="24"/>
        </w:rPr>
        <w:br/>
        <w:t xml:space="preserve">possível desdobrar essa noção em dimensões burocráticas, políticas, fiscais e relacionais </w:t>
      </w:r>
      <w:r w:rsidRPr="00363917">
        <w:rPr>
          <w:rFonts w:cs="Times New Roman"/>
          <w:szCs w:val="24"/>
        </w:rPr>
        <w:br/>
        <w:t xml:space="preserve">(GOMIDE; PIRES, 2014; PIRES; GOMIDE, 2016; FJP, 2023). Em linguagem próxima à </w:t>
      </w:r>
      <w:r w:rsidRPr="00363917">
        <w:rPr>
          <w:rFonts w:cs="Times New Roman"/>
          <w:szCs w:val="24"/>
        </w:rPr>
        <w:br/>
        <w:t xml:space="preserve">adotada por esses autores, as capacidades burocráticas dizem respeito à qualificação técnica do </w:t>
      </w:r>
      <w:r w:rsidRPr="00363917">
        <w:rPr>
          <w:rFonts w:cs="Times New Roman"/>
          <w:szCs w:val="24"/>
        </w:rPr>
        <w:br/>
        <w:t xml:space="preserve">corpo administrativo, à estabilidade das equipes, às rotinas de trabal ho e aos sistemas de </w:t>
      </w:r>
      <w:r w:rsidRPr="00363917">
        <w:rPr>
          <w:rFonts w:cs="Times New Roman"/>
          <w:szCs w:val="24"/>
        </w:rPr>
        <w:br/>
        <w:t xml:space="preserve">informação; as capacidades políticas relacionam-se à habilidade de construir coalizões, mediar </w:t>
      </w:r>
      <w:r w:rsidRPr="00363917">
        <w:rPr>
          <w:rFonts w:cs="Times New Roman"/>
          <w:szCs w:val="24"/>
        </w:rPr>
        <w:br/>
        <w:t xml:space="preserve">conflitos e assegurar apoio às políticas; as capacidades fiscais envolvem a disponibilidade e a </w:t>
      </w:r>
      <w:r w:rsidRPr="00363917">
        <w:rPr>
          <w:rFonts w:cs="Times New Roman"/>
          <w:szCs w:val="24"/>
        </w:rPr>
        <w:br/>
        <w:t xml:space="preserve">previsibilidade de recursos para financiar e struturas e ações; e as capacidades relacionais </w:t>
      </w:r>
      <w:r w:rsidRPr="00363917">
        <w:rPr>
          <w:rFonts w:cs="Times New Roman"/>
          <w:szCs w:val="24"/>
        </w:rPr>
        <w:br/>
        <w:t xml:space="preserve">referem-se à aptidão do Estado para coordenar atores, articular redes e promover cooperação </w:t>
      </w:r>
      <w:r w:rsidRPr="00363917">
        <w:rPr>
          <w:rFonts w:cs="Times New Roman"/>
          <w:szCs w:val="24"/>
        </w:rPr>
        <w:br/>
        <w:t xml:space="preserve">interorganizacional em torno da implementação de políticas (ABRUCIO, 2005; FJP, 2023). </w:t>
      </w:r>
    </w:p>
    <w:p w14:paraId="634538FC" w14:textId="49354393" w:rsidR="00C94DC6" w:rsidRPr="00363917" w:rsidRDefault="00000000" w:rsidP="00072EF1">
      <w:pPr>
        <w:tabs>
          <w:tab w:val="left" w:pos="142"/>
        </w:tabs>
        <w:ind w:firstLine="851"/>
        <w:jc w:val="both"/>
        <w:rPr>
          <w:rFonts w:cs="Times New Roman"/>
          <w:szCs w:val="24"/>
        </w:rPr>
      </w:pPr>
      <w:r w:rsidRPr="00363917">
        <w:rPr>
          <w:rFonts w:cs="Times New Roman"/>
          <w:szCs w:val="24"/>
        </w:rPr>
        <w:t xml:space="preserve">No caso da política de acesso a mercados para MPEs, a capacidade estatal manifesta-se </w:t>
      </w:r>
      <w:r w:rsidRPr="00363917">
        <w:rPr>
          <w:rFonts w:cs="Times New Roman"/>
          <w:szCs w:val="24"/>
        </w:rPr>
        <w:br/>
        <w:t xml:space="preserve">na habilidade de compreender e internalizar os instrumentos da LC nº 123/2006 e da Lei nº </w:t>
      </w:r>
      <w:r w:rsidRPr="00363917">
        <w:rPr>
          <w:rFonts w:cs="Times New Roman"/>
          <w:szCs w:val="24"/>
        </w:rPr>
        <w:br/>
      </w:r>
      <w:r w:rsidRPr="00363917">
        <w:rPr>
          <w:rFonts w:cs="Times New Roman"/>
          <w:szCs w:val="24"/>
        </w:rPr>
        <w:lastRenderedPageBreak/>
        <w:t xml:space="preserve">14.133/2021, de elaborar editais aderentes a essas normas e sensíveis à realidade das MPEs, de </w:t>
      </w:r>
      <w:r w:rsidRPr="00363917">
        <w:rPr>
          <w:rFonts w:cs="Times New Roman"/>
          <w:szCs w:val="24"/>
        </w:rPr>
        <w:br/>
        <w:t xml:space="preserve">operar sistemas eletrônicos de compras com transparência e padronização, de monitorar </w:t>
      </w:r>
      <w:r w:rsidRPr="00363917">
        <w:rPr>
          <w:rFonts w:cs="Times New Roman"/>
          <w:szCs w:val="24"/>
        </w:rPr>
        <w:br/>
        <w:t xml:space="preserve">indicadores de participação e de sucesso e de dialogar com atores de apoio, como SEBRAE, </w:t>
      </w:r>
      <w:r w:rsidRPr="00363917">
        <w:rPr>
          <w:rFonts w:cs="Times New Roman"/>
          <w:szCs w:val="24"/>
        </w:rPr>
        <w:br/>
        <w:t xml:space="preserve">bancos públicos e órgãos de controle, para aperfeiçoar rotinas (SE BRAE, 2023; IPEA, 2023). </w:t>
      </w:r>
      <w:r w:rsidRPr="00363917">
        <w:rPr>
          <w:rFonts w:cs="Times New Roman"/>
          <w:szCs w:val="24"/>
        </w:rPr>
        <w:br/>
        <w:t xml:space="preserve">A heterogeneidade dessas capacidades, combinada a diferentes trajetórias organizacionais, </w:t>
      </w:r>
      <w:r w:rsidRPr="00363917">
        <w:rPr>
          <w:rFonts w:cs="Times New Roman"/>
          <w:szCs w:val="24"/>
        </w:rPr>
        <w:br/>
        <w:t xml:space="preserve">contribui para explicar por que, mesmo sob um mesmo marco normativo nacional, os resultados </w:t>
      </w:r>
      <w:r w:rsidRPr="00363917">
        <w:rPr>
          <w:rFonts w:cs="Times New Roman"/>
          <w:szCs w:val="24"/>
        </w:rPr>
        <w:br/>
        <w:t xml:space="preserve">em termos de participação e sucesso de MPEs variam entre períodos, territóri os e tipos de </w:t>
      </w:r>
      <w:r w:rsidRPr="00363917">
        <w:rPr>
          <w:rFonts w:cs="Times New Roman"/>
          <w:szCs w:val="24"/>
        </w:rPr>
        <w:br/>
        <w:t>certame (GOMIDE; PIRES, 2014; PIRES; GOMIDE, 2016; FJP, 2023).</w:t>
      </w:r>
    </w:p>
    <w:p w14:paraId="71A81228" w14:textId="0EB84430" w:rsidR="00C94DC6" w:rsidRPr="00363917" w:rsidRDefault="009A4A48" w:rsidP="00363917">
      <w:pPr>
        <w:pStyle w:val="Ttulo2"/>
        <w:tabs>
          <w:tab w:val="left" w:pos="142"/>
        </w:tabs>
        <w:rPr>
          <w:rFonts w:ascii="Times New Roman" w:hAnsi="Times New Roman" w:cs="Times New Roman"/>
          <w:color w:val="auto"/>
          <w:szCs w:val="24"/>
        </w:rPr>
      </w:pPr>
      <w:r>
        <w:rPr>
          <w:rFonts w:ascii="Times New Roman" w:eastAsia="Times New Roman" w:hAnsi="Times New Roman" w:cs="Times New Roman"/>
          <w:color w:val="auto"/>
          <w:szCs w:val="24"/>
        </w:rPr>
        <w:t xml:space="preserve">3.12 </w:t>
      </w:r>
      <w:r w:rsidR="00000000" w:rsidRPr="00363917">
        <w:rPr>
          <w:rFonts w:ascii="Times New Roman" w:eastAsia="Times New Roman" w:hAnsi="Times New Roman" w:cs="Times New Roman"/>
          <w:color w:val="auto"/>
          <w:szCs w:val="24"/>
        </w:rPr>
        <w:t>Aprendizagem institucional e policy learning</w:t>
      </w:r>
    </w:p>
    <w:p w14:paraId="3425B166"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O quarto eixo do referencial teórico relaciona avaliação de resultados e aprendizagem </w:t>
      </w:r>
      <w:r w:rsidRPr="00363917">
        <w:rPr>
          <w:rFonts w:cs="Times New Roman"/>
          <w:szCs w:val="24"/>
        </w:rPr>
        <w:br/>
        <w:t xml:space="preserve">institucional, usualmente tratada pelo termo policy learning. A ideia central é que políticas </w:t>
      </w:r>
      <w:r w:rsidRPr="00363917">
        <w:rPr>
          <w:rFonts w:cs="Times New Roman"/>
          <w:szCs w:val="24"/>
        </w:rPr>
        <w:br/>
        <w:t xml:space="preserve">públicas não são estáticas, mas evoluem ao longo do tempo, incorporando, ou não, lições </w:t>
      </w:r>
      <w:r w:rsidRPr="00363917">
        <w:rPr>
          <w:rFonts w:cs="Times New Roman"/>
          <w:szCs w:val="24"/>
        </w:rPr>
        <w:br/>
        <w:t xml:space="preserve">derivadas da experiência, de avaliações e de mudanças de contexto (BATISTA, 2017; OCDE, </w:t>
      </w:r>
      <w:r w:rsidRPr="00363917">
        <w:rPr>
          <w:rFonts w:cs="Times New Roman"/>
          <w:szCs w:val="24"/>
        </w:rPr>
        <w:br/>
        <w:t xml:space="preserve">2023). Nessa perspectiva, o aprendizado em políticas públicas envolve tanto ajustes </w:t>
      </w:r>
      <w:r w:rsidRPr="00363917">
        <w:rPr>
          <w:rFonts w:cs="Times New Roman"/>
          <w:szCs w:val="24"/>
        </w:rPr>
        <w:br/>
        <w:t xml:space="preserve">incrementais em instrumentos quanto revisões mais profundas em diagnósti cos, objetivos e </w:t>
      </w:r>
      <w:r w:rsidRPr="00363917">
        <w:rPr>
          <w:rFonts w:cs="Times New Roman"/>
          <w:szCs w:val="24"/>
        </w:rPr>
        <w:br/>
        <w:t>estratégias (ROPER, 2018; ROPER; HART, 2020).</w:t>
      </w:r>
    </w:p>
    <w:p w14:paraId="66D6723A"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A literatura costuma distinguir entre aprendizado instrumental, conceitual e político. No </w:t>
      </w:r>
      <w:r w:rsidRPr="00363917">
        <w:rPr>
          <w:rFonts w:cs="Times New Roman"/>
          <w:szCs w:val="24"/>
        </w:rPr>
        <w:br/>
        <w:t xml:space="preserve">primeiro caso, trata-se de ajustes em instrumentos e procedimentos para alcançar objetivos já </w:t>
      </w:r>
      <w:r w:rsidRPr="00363917">
        <w:rPr>
          <w:rFonts w:cs="Times New Roman"/>
          <w:szCs w:val="24"/>
        </w:rPr>
        <w:br/>
        <w:t xml:space="preserve">estabelecidos. No segundo, há questionamento dos próprios enquadramentos cognitivos que </w:t>
      </w:r>
      <w:r w:rsidRPr="00363917">
        <w:rPr>
          <w:rFonts w:cs="Times New Roman"/>
          <w:szCs w:val="24"/>
        </w:rPr>
        <w:br/>
        <w:t xml:space="preserve">orientam a política, isto é, do modo como o problema é definido e das soluções consideradas </w:t>
      </w:r>
      <w:r w:rsidRPr="00363917">
        <w:rPr>
          <w:rFonts w:cs="Times New Roman"/>
          <w:szCs w:val="24"/>
        </w:rPr>
        <w:br/>
        <w:t xml:space="preserve">legítimas. No terceiro, o foco recai sobre estratégias de construção de coalizões, manejo de </w:t>
      </w:r>
      <w:r w:rsidRPr="00363917">
        <w:rPr>
          <w:rFonts w:cs="Times New Roman"/>
          <w:szCs w:val="24"/>
        </w:rPr>
        <w:br/>
        <w:t xml:space="preserve">conflitos e sustentação política da intervenção (BATISTA, 2017; ABRUCIO, 2005). </w:t>
      </w:r>
      <w:r w:rsidRPr="00363917">
        <w:rPr>
          <w:rFonts w:cs="Times New Roman"/>
          <w:szCs w:val="24"/>
        </w:rPr>
        <w:br/>
        <w:t xml:space="preserve">Quando se observa o campo das políticas voltadas às MPEs, especialmente em contextos </w:t>
      </w:r>
      <w:r w:rsidRPr="00363917">
        <w:rPr>
          <w:rFonts w:cs="Times New Roman"/>
          <w:szCs w:val="24"/>
        </w:rPr>
        <w:br/>
        <w:t xml:space="preserve">de inovação e desenvolvimento, estudos internacionais têm destacado a importância de ciclos </w:t>
      </w:r>
      <w:r w:rsidRPr="00363917">
        <w:rPr>
          <w:rFonts w:cs="Times New Roman"/>
          <w:szCs w:val="24"/>
        </w:rPr>
        <w:br/>
        <w:t xml:space="preserve">curtos de mensuração, interpretação e ajuste – os chamados loops de feedback (ROPER, 2018; </w:t>
      </w:r>
      <w:r w:rsidRPr="00363917">
        <w:rPr>
          <w:rFonts w:cs="Times New Roman"/>
          <w:szCs w:val="24"/>
        </w:rPr>
        <w:br/>
        <w:t xml:space="preserve">ROPER; HART, 2020; OCDE, 2023). </w:t>
      </w:r>
    </w:p>
    <w:p w14:paraId="440834CE"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A cada ciclo de contratação pública, gestores podem </w:t>
      </w:r>
      <w:r w:rsidRPr="00363917">
        <w:rPr>
          <w:rFonts w:cs="Times New Roman"/>
          <w:szCs w:val="24"/>
        </w:rPr>
        <w:br/>
        <w:t xml:space="preserve">comparar metas e resultados, identificar gargalos, reconfigurar instrumentos, por exemplo </w:t>
      </w:r>
      <w:r w:rsidRPr="00363917">
        <w:rPr>
          <w:rFonts w:cs="Times New Roman"/>
          <w:szCs w:val="24"/>
        </w:rPr>
        <w:br/>
        <w:t xml:space="preserve">critérios de habilitação e formatos de favorecimento às MPEs, e redefi nir prioridades. Esses </w:t>
      </w:r>
      <w:r w:rsidRPr="00363917">
        <w:rPr>
          <w:rFonts w:cs="Times New Roman"/>
          <w:szCs w:val="24"/>
        </w:rPr>
        <w:br/>
        <w:t xml:space="preserve">processos, contudo, dependem da existência de dados confiáveis, de rotinas organizacionais </w:t>
      </w:r>
      <w:r w:rsidRPr="00363917">
        <w:rPr>
          <w:rFonts w:cs="Times New Roman"/>
          <w:szCs w:val="24"/>
        </w:rPr>
        <w:br/>
      </w:r>
      <w:r w:rsidRPr="00363917">
        <w:rPr>
          <w:rFonts w:cs="Times New Roman"/>
          <w:szCs w:val="24"/>
        </w:rPr>
        <w:lastRenderedPageBreak/>
        <w:t xml:space="preserve">que incorporem a análise de resultados às decisões e de capacidade técnica para interpretar </w:t>
      </w:r>
      <w:r w:rsidRPr="00363917">
        <w:rPr>
          <w:rFonts w:cs="Times New Roman"/>
          <w:szCs w:val="24"/>
        </w:rPr>
        <w:br/>
        <w:t xml:space="preserve">informações complexas (BATISTA, 2017; IPEA, 2023; FJP, 2023). </w:t>
      </w:r>
      <w:r w:rsidRPr="00363917">
        <w:rPr>
          <w:rFonts w:cs="Times New Roman"/>
          <w:szCs w:val="24"/>
        </w:rPr>
        <w:br/>
        <w:t xml:space="preserve">No contexto brasileiro, o debate sobre policy learning é atravessado pela tensão entre </w:t>
      </w:r>
      <w:r w:rsidRPr="00363917">
        <w:rPr>
          <w:rFonts w:cs="Times New Roman"/>
          <w:szCs w:val="24"/>
        </w:rPr>
        <w:br/>
        <w:t xml:space="preserve">um marco normativo relativamente avançado e práticas administrativas nem sempre reflexivas. </w:t>
      </w:r>
      <w:r w:rsidRPr="00363917">
        <w:rPr>
          <w:rFonts w:cs="Times New Roman"/>
          <w:szCs w:val="24"/>
        </w:rPr>
        <w:br/>
        <w:t xml:space="preserve">Relatórios e diagnósticos são muitas vezes produzidos por exigência externa, por exemplo de </w:t>
      </w:r>
      <w:r w:rsidRPr="00363917">
        <w:rPr>
          <w:rFonts w:cs="Times New Roman"/>
          <w:szCs w:val="24"/>
        </w:rPr>
        <w:br/>
        <w:t xml:space="preserve">órgãos de controle, sem necessariamente alimentarem ciclos internos de revisão de normas, </w:t>
      </w:r>
      <w:r w:rsidRPr="00363917">
        <w:rPr>
          <w:rFonts w:cs="Times New Roman"/>
          <w:szCs w:val="24"/>
        </w:rPr>
        <w:br/>
        <w:t xml:space="preserve">procedimentos e estratégias (BATISTA, 2017; OCDE, 2023). </w:t>
      </w:r>
    </w:p>
    <w:p w14:paraId="57CD76F9" w14:textId="1092A784" w:rsidR="00C94DC6" w:rsidRPr="00363917" w:rsidRDefault="00000000" w:rsidP="00072EF1">
      <w:pPr>
        <w:tabs>
          <w:tab w:val="left" w:pos="142"/>
        </w:tabs>
        <w:ind w:firstLine="851"/>
        <w:jc w:val="both"/>
        <w:rPr>
          <w:rFonts w:cs="Times New Roman"/>
          <w:szCs w:val="24"/>
        </w:rPr>
      </w:pPr>
      <w:r w:rsidRPr="00363917">
        <w:rPr>
          <w:rFonts w:cs="Times New Roman"/>
          <w:szCs w:val="24"/>
        </w:rPr>
        <w:t xml:space="preserve">Ao dialogar com essa literatura, este estudo não pretende mensurar diretamente o grau de aprendizado institucional no Banrisul </w:t>
      </w:r>
      <w:r w:rsidR="00072EF1">
        <w:rPr>
          <w:rFonts w:cs="Times New Roman"/>
          <w:szCs w:val="24"/>
        </w:rPr>
        <w:t xml:space="preserve"> </w:t>
      </w:r>
      <w:r w:rsidRPr="00363917">
        <w:rPr>
          <w:rFonts w:cs="Times New Roman"/>
          <w:szCs w:val="24"/>
        </w:rPr>
        <w:t>ou nos entes contratantes, mas propõe um quadro interpretativo para discutir se os padrões</w:t>
      </w:r>
      <w:r w:rsidR="00072EF1">
        <w:rPr>
          <w:rFonts w:cs="Times New Roman"/>
          <w:szCs w:val="24"/>
        </w:rPr>
        <w:t xml:space="preserve"> </w:t>
      </w:r>
      <w:r w:rsidRPr="00363917">
        <w:rPr>
          <w:rFonts w:cs="Times New Roman"/>
          <w:szCs w:val="24"/>
        </w:rPr>
        <w:t>observados em termos de participação, sucesso de MPEs e aderência normativa dos editais sugerem processos de ajuste e aperfeiçoamento ao longo da década de 2015 a 2025.</w:t>
      </w:r>
    </w:p>
    <w:p w14:paraId="005A24C6" w14:textId="77777777" w:rsidR="00C94DC6" w:rsidRPr="00363917" w:rsidRDefault="00000000" w:rsidP="00363917">
      <w:pPr>
        <w:pStyle w:val="Ttulo1"/>
        <w:tabs>
          <w:tab w:val="left" w:pos="142"/>
        </w:tabs>
        <w:rPr>
          <w:rFonts w:ascii="Times New Roman" w:hAnsi="Times New Roman" w:cs="Times New Roman"/>
          <w:color w:val="auto"/>
          <w:sz w:val="24"/>
          <w:szCs w:val="24"/>
        </w:rPr>
      </w:pPr>
      <w:r w:rsidRPr="00363917">
        <w:rPr>
          <w:rFonts w:ascii="Times New Roman" w:eastAsia="Times New Roman" w:hAnsi="Times New Roman" w:cs="Times New Roman"/>
          <w:color w:val="auto"/>
          <w:sz w:val="24"/>
          <w:szCs w:val="24"/>
        </w:rPr>
        <w:t>4 DESENVOLVIMENTO: RESULTADOS PARCIAIS, ACHADOS DE PESQUISA E DISCUSSÃO</w:t>
      </w:r>
    </w:p>
    <w:p w14:paraId="1D416C24" w14:textId="0CDE5ADC" w:rsidR="00C94DC6" w:rsidRPr="00363917" w:rsidRDefault="004041D9"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4.1 expansão do uso da plataforma e pertinência da comparação 2015-2025</w:t>
      </w:r>
    </w:p>
    <w:p w14:paraId="018BFEA7"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O primeiro resultado parcial da pesquisa decorre do próprio comportamento do Sistema de Pregão Online Banrisul no período analisado. Os dados preliminares já levantados indicam que o número de licitações eletrônicas de serviços passou de 185 certames, no primeiro trimestre de 2015, para mais de 300 certames homologados no primeiro trimestre de 2025, sinalizando expansão importante do uso da plataforma como infraestrutura regional de contratação pública. Ainda que esse crescimento, por si só, não permita atribuir causalidade específica à Lei nº 14.133/2021, ele revela que o sistema se tornou locus cada vez mais relevante para observar a política pública de acesso a mercados em operação. </w:t>
      </w:r>
    </w:p>
    <w:p w14:paraId="71DE5AFF" w14:textId="7447CCE2" w:rsidR="00C94DC6" w:rsidRPr="00363917" w:rsidRDefault="00000000" w:rsidP="00072EF1">
      <w:pPr>
        <w:tabs>
          <w:tab w:val="left" w:pos="142"/>
        </w:tabs>
        <w:ind w:firstLine="851"/>
        <w:jc w:val="both"/>
        <w:rPr>
          <w:rFonts w:cs="Times New Roman"/>
          <w:szCs w:val="24"/>
        </w:rPr>
      </w:pPr>
      <w:r w:rsidRPr="00363917">
        <w:rPr>
          <w:rFonts w:cs="Times New Roman"/>
          <w:szCs w:val="24"/>
        </w:rPr>
        <w:t>Em termos analíticos, isso reforça a pertinência da comparação temporal, pois permite confrontar dois momentos institucionais distintos: um ambiente normativo fragmentado, ainda marcado pela convivência entre a Lei nº 8.666/1993, a Lei do Pregão e o RDC, e um segundo momento já situado no primeiro ciclo completo após a vigência obrigatória da Lei nº 14.133/2021. A comparação, portanto, não envolve apenas dois anos diferentes; envolve duas arquiteturas regulatórias e organizacionais diferentes, com implicações potenciais para a forma como os instrumentos pró-MPE são compreendidos e aplicados pelos órgãos contratantes.</w:t>
      </w:r>
    </w:p>
    <w:p w14:paraId="7A55E085" w14:textId="180FB63A" w:rsidR="00C94DC6" w:rsidRPr="00363917" w:rsidRDefault="004041D9"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lastRenderedPageBreak/>
        <w:t>4.2 recorte em serviços, perfil empresarial e potencial analítico</w:t>
      </w:r>
    </w:p>
    <w:p w14:paraId="68626F9A"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Outro achado preliminar relevante diz respeito à adequação do recorte substantivo em serviços. A literatura revisada mostra que muitos diagnósticos sobre compras públicas e MPEs concentram-se em bens, sobretudo itens padronizados, enquanto as contratações de serviços aparecem de maneira mais agregada. No entanto, o segmento de serviços é particularmente importante para pequenos negócios intensivos em trabalho, conhecimento e especialização, além de expor com mais nitidez os efeitos de exigências de habilitação técnica, experiência prévia e organização empresarial. </w:t>
      </w:r>
    </w:p>
    <w:p w14:paraId="4B934022" w14:textId="6C96986D" w:rsidR="00C94DC6" w:rsidRPr="00363917" w:rsidRDefault="00000000" w:rsidP="00072EF1">
      <w:pPr>
        <w:tabs>
          <w:tab w:val="left" w:pos="142"/>
        </w:tabs>
        <w:ind w:firstLine="851"/>
        <w:jc w:val="both"/>
        <w:rPr>
          <w:rFonts w:cs="Times New Roman"/>
          <w:szCs w:val="24"/>
        </w:rPr>
      </w:pPr>
      <w:r w:rsidRPr="00363917">
        <w:rPr>
          <w:rFonts w:cs="Times New Roman"/>
          <w:szCs w:val="24"/>
        </w:rPr>
        <w:t>Desse modo, o recorte adotado não representa mera restrição operacional; ele qualifica a comparabilidade dos certames e torna mais visível a relação entre formalização, estrutura empresarial e acesso a mercados. Ao mesmo tempo, o banco em construção permite identificar porte, CNAE, município-sede e tempo de constituição das firmas participantes e vencedoras, o que amplia significativamente o poder explicativo do estudo. Em vez de limitar a análise ao número de contratos ou aos valores adjudicados, a pesquisa poderá distinguir quem são as empresas que participam, em quais setores atuam, onde se localizam e há quanto tempo estão formalmente constituídas.</w:t>
      </w:r>
    </w:p>
    <w:p w14:paraId="6B102EE4" w14:textId="72A82EE6" w:rsidR="00C94DC6" w:rsidRPr="00363917" w:rsidRDefault="004041D9"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4.3 viabilidade do pareamento entre dados licitatórios e dados cadastrais</w:t>
      </w:r>
    </w:p>
    <w:p w14:paraId="39935C39"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A etapa já concluída de levantamento preliminar também confirma a viabilidade do pareamento entre os dados das licitações e os dados cadastrais das empresas, especialmente CNPJ, data de constituição, enquadramento de porte, CNAE e município-sede. Esse ponto é central para a originalidade do trabalho. Grande parte dos estudos disponíveis sobre MPEs e compras públicas utiliza bases agregadas de contratos e fornecedores, mas não integra, de forma sistemática, as variáveis de formalização, localização e setor com os resultados dos certames. </w:t>
      </w:r>
    </w:p>
    <w:p w14:paraId="66E3D929" w14:textId="0905AB90" w:rsidR="00C94DC6" w:rsidRPr="00363917" w:rsidRDefault="00000000" w:rsidP="00072EF1">
      <w:pPr>
        <w:tabs>
          <w:tab w:val="left" w:pos="142"/>
        </w:tabs>
        <w:ind w:firstLine="851"/>
        <w:jc w:val="both"/>
        <w:rPr>
          <w:rFonts w:cs="Times New Roman"/>
          <w:szCs w:val="24"/>
        </w:rPr>
      </w:pPr>
      <w:r w:rsidRPr="00363917">
        <w:rPr>
          <w:rFonts w:cs="Times New Roman"/>
          <w:szCs w:val="24"/>
        </w:rPr>
        <w:t>Ao estabelecer essa ponte, a pesquisa avança para um terreno analítico mais fino, capaz de examinar se há presença relevante de empresas recentemente formalizadas entre participantes e vencedoras, se determinados segmentos setoriais concentram maior sucesso licitatório e se padrões territoriais refletem diferenças de capacidade econômica ou administrativa. Trata-se, portanto, de um ganho metodológico e substantivo ao mesmo tempo.</w:t>
      </w:r>
    </w:p>
    <w:p w14:paraId="4E0EEF4E" w14:textId="04D88E0F" w:rsidR="00C94DC6" w:rsidRPr="00363917" w:rsidRDefault="004041D9"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lastRenderedPageBreak/>
        <w:t>4.4 implementação, capacidades estatais e aprendizagem institucional</w:t>
      </w:r>
    </w:p>
    <w:p w14:paraId="17474F4D"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Do ponto de vista interpretativo, o estudo já indica que a questão da implementação será decisiva para a leitura dos resultados finais. A própria experiência prática que deu origem à pesquisa, associada à literatura sobre federalismo e capacidades estatais, sugere que o desempenho da política não depende apenas da qualidade do texto normativo. Ele depende, também, da capacidade burocrática dos órgãos contratantes, do conhecimento técnico dos agentes, da padronização dos procedimentos, da estabilidade institucional das equipes e da articulação com atores de apoio, como SEBRAE, bancos públicos e órgãos de controle. </w:t>
      </w:r>
    </w:p>
    <w:p w14:paraId="2DFF7561" w14:textId="7AB1EFBE" w:rsidR="00C94DC6" w:rsidRPr="00363917" w:rsidRDefault="00000000" w:rsidP="00072EF1">
      <w:pPr>
        <w:tabs>
          <w:tab w:val="left" w:pos="142"/>
        </w:tabs>
        <w:ind w:firstLine="851"/>
        <w:jc w:val="both"/>
        <w:rPr>
          <w:rFonts w:cs="Times New Roman"/>
          <w:szCs w:val="24"/>
        </w:rPr>
      </w:pPr>
      <w:r w:rsidRPr="00363917">
        <w:rPr>
          <w:rFonts w:cs="Times New Roman"/>
          <w:szCs w:val="24"/>
        </w:rPr>
        <w:t>Em outras palavras, nem toda política que funciona pouco é uma política mal desenhada; frequentemente, ela é uma política implementada de forma desigual, incompleta ou insuficiente. Esse ponto é especialmente importante para o caso analisado, porque a plataforma do Banrisul serve a entes com capacidades muito diferentes. Ao final, eventuais variações entre municípios, tipos de serviço ou padrões de edital deverão ser interpretadas à luz dessa heterogeneidade de capacidades e dos processos de policy learning que possam ter se acumulado ao longo da década.</w:t>
      </w:r>
    </w:p>
    <w:p w14:paraId="3C46CF3F" w14:textId="478A67BA" w:rsidR="00C94DC6" w:rsidRPr="00363917" w:rsidRDefault="004041D9" w:rsidP="00363917">
      <w:pPr>
        <w:pStyle w:val="Ttulo2"/>
        <w:tabs>
          <w:tab w:val="left" w:pos="142"/>
        </w:tabs>
        <w:rPr>
          <w:rFonts w:ascii="Times New Roman" w:hAnsi="Times New Roman" w:cs="Times New Roman"/>
          <w:color w:val="auto"/>
          <w:szCs w:val="24"/>
        </w:rPr>
      </w:pPr>
      <w:r w:rsidRPr="00363917">
        <w:rPr>
          <w:rFonts w:ascii="Times New Roman" w:eastAsia="Times New Roman" w:hAnsi="Times New Roman" w:cs="Times New Roman"/>
          <w:color w:val="auto"/>
          <w:szCs w:val="24"/>
        </w:rPr>
        <w:t>4.5 contribuições preliminares do estudo</w:t>
      </w:r>
    </w:p>
    <w:p w14:paraId="038988E5" w14:textId="77777777" w:rsidR="00C94DC6" w:rsidRPr="00363917" w:rsidRDefault="00000000" w:rsidP="00072EF1">
      <w:pPr>
        <w:tabs>
          <w:tab w:val="left" w:pos="142"/>
        </w:tabs>
        <w:ind w:firstLine="851"/>
        <w:jc w:val="both"/>
        <w:rPr>
          <w:rFonts w:cs="Times New Roman"/>
          <w:szCs w:val="24"/>
        </w:rPr>
      </w:pPr>
      <w:r w:rsidRPr="00363917">
        <w:rPr>
          <w:rFonts w:cs="Times New Roman"/>
          <w:szCs w:val="24"/>
        </w:rPr>
        <w:t>Os resultados já disponíveis permitem apontar, ao menos, quatro contribuições preliminares. A primeira é empírica: a pesquisa ilumina uma plataforma regional relevante, mas ainda pouco explorada na literatura nacional. A segunda é metodológica: a integração entre dados de licitações e dados cadastrais empresariais oferece um modelo de análise mais refinado do que o normalmente encontrado em estudos agregados. A terceira é substantiva: ao privilegiar serviços, o estudo contribui para preencher uma lacuna importante da literatura sobre compras públicas pró-MPE. A quarta é teórico-analítica: ao articular desenho normativo, implementação, capacidades estatais e resultados observáveis, o trabalho desloca o debate para além da oposição simplista entre boa lei e má execução. Assim, mesmo antes da consolidação estatística final, a pesquisa já demonstra pertinência empírica, coerência metodológica e relevância para o debate em direito e políticas públicas.</w:t>
      </w:r>
    </w:p>
    <w:p w14:paraId="4E5566F9" w14:textId="23BA2E61" w:rsidR="00C94DC6" w:rsidRPr="00363917" w:rsidRDefault="00000000" w:rsidP="00363917">
      <w:pPr>
        <w:pStyle w:val="Ttulo1"/>
        <w:tabs>
          <w:tab w:val="left" w:pos="142"/>
        </w:tabs>
        <w:rPr>
          <w:rFonts w:ascii="Times New Roman" w:hAnsi="Times New Roman" w:cs="Times New Roman"/>
          <w:color w:val="auto"/>
          <w:sz w:val="24"/>
          <w:szCs w:val="24"/>
        </w:rPr>
      </w:pPr>
      <w:r w:rsidRPr="00363917">
        <w:rPr>
          <w:rFonts w:ascii="Times New Roman" w:eastAsia="Times New Roman" w:hAnsi="Times New Roman" w:cs="Times New Roman"/>
          <w:color w:val="auto"/>
          <w:sz w:val="24"/>
          <w:szCs w:val="24"/>
        </w:rPr>
        <w:t>5 CONSIDERAÇÕES FINAIS</w:t>
      </w:r>
    </w:p>
    <w:p w14:paraId="73685DF4" w14:textId="77777777" w:rsidR="00072EF1" w:rsidRDefault="00000000" w:rsidP="00072EF1">
      <w:pPr>
        <w:tabs>
          <w:tab w:val="left" w:pos="142"/>
        </w:tabs>
        <w:ind w:firstLine="851"/>
        <w:jc w:val="both"/>
        <w:rPr>
          <w:rFonts w:cs="Times New Roman"/>
          <w:szCs w:val="24"/>
        </w:rPr>
      </w:pPr>
      <w:r w:rsidRPr="00363917">
        <w:rPr>
          <w:rFonts w:cs="Times New Roman"/>
          <w:szCs w:val="24"/>
        </w:rPr>
        <w:t xml:space="preserve">Os elementos reunidos neste relato de pesquisa permitem afirmar que o estudo é empiricamente viável, teoricamente consistente e institucionalmente relevante. O crescimento do </w:t>
      </w:r>
      <w:r w:rsidRPr="00363917">
        <w:rPr>
          <w:rFonts w:cs="Times New Roman"/>
          <w:szCs w:val="24"/>
        </w:rPr>
        <w:lastRenderedPageBreak/>
        <w:t xml:space="preserve">número de certames de serviços no Sistema de Pregão Online Banrisul, a possibilidade de integrar dados licitatórios e dados cadastrais empresariais e o recorte comparativo entre 2015 e 2025 oferecem base sólida para examinar a política pública de acesso a mercados para micro e pequenas empresas em um contexto subnacional específico. </w:t>
      </w:r>
    </w:p>
    <w:p w14:paraId="4130AEF8" w14:textId="77777777" w:rsidR="00072EF1" w:rsidRDefault="00000000" w:rsidP="00072EF1">
      <w:pPr>
        <w:tabs>
          <w:tab w:val="left" w:pos="142"/>
        </w:tabs>
        <w:ind w:firstLine="851"/>
        <w:jc w:val="both"/>
        <w:rPr>
          <w:rFonts w:cs="Times New Roman"/>
          <w:szCs w:val="24"/>
        </w:rPr>
      </w:pPr>
      <w:r w:rsidRPr="00363917">
        <w:rPr>
          <w:rFonts w:cs="Times New Roman"/>
          <w:szCs w:val="24"/>
        </w:rPr>
        <w:t>Ao mesmo tempo, o percurso analítico reforça que a avaliação dessa política não pode se limitar à verificação da existência formal de dispositivos legais. Entre a norma e o resultado existe um espaço institucional povoado por burocracias, sistemas, rotinas, incentivos, capacidades e redes de apoio. É nesse espaço que a política se realiza — ou deixa de se realizar.</w:t>
      </w:r>
    </w:p>
    <w:p w14:paraId="3D5C379F" w14:textId="604E917F" w:rsidR="00C94DC6" w:rsidRPr="00363917" w:rsidRDefault="00000000" w:rsidP="00072EF1">
      <w:pPr>
        <w:tabs>
          <w:tab w:val="left" w:pos="142"/>
        </w:tabs>
        <w:ind w:firstLine="851"/>
        <w:jc w:val="both"/>
        <w:rPr>
          <w:rFonts w:cs="Times New Roman"/>
          <w:szCs w:val="24"/>
        </w:rPr>
      </w:pPr>
      <w:r w:rsidRPr="00363917">
        <w:rPr>
          <w:rFonts w:cs="Times New Roman"/>
          <w:szCs w:val="24"/>
        </w:rPr>
        <w:t>Nas próximas etapas, a pesquisa avançará na consolidação do banco, na classificação dos editais e na mensuração das associações entre aderência normativa, participação, sucesso licitatório e formalização recente, com o objetivo de responder com maior precisão se, e em que medida, a política pública de acesso a mercados, tal como operacionalizada nas licitações eletrônicas de serviços do Sistema de Pregão Online Banrisul, tem contribuído para ampliar a inclusão produtiva de micro e pequenas empresas no mercado público gaúcho.</w:t>
      </w:r>
    </w:p>
    <w:p w14:paraId="15CEAE73" w14:textId="77777777" w:rsidR="00C94DC6" w:rsidRPr="00363917" w:rsidRDefault="00000000" w:rsidP="00363917">
      <w:pPr>
        <w:pStyle w:val="Ttulo1"/>
        <w:tabs>
          <w:tab w:val="left" w:pos="142"/>
        </w:tabs>
        <w:rPr>
          <w:rFonts w:ascii="Times New Roman" w:hAnsi="Times New Roman" w:cs="Times New Roman"/>
          <w:color w:val="auto"/>
          <w:sz w:val="24"/>
          <w:szCs w:val="24"/>
        </w:rPr>
      </w:pPr>
      <w:r w:rsidRPr="00363917">
        <w:rPr>
          <w:rFonts w:ascii="Times New Roman" w:eastAsia="Times New Roman" w:hAnsi="Times New Roman" w:cs="Times New Roman"/>
          <w:color w:val="auto"/>
          <w:sz w:val="24"/>
          <w:szCs w:val="24"/>
        </w:rPr>
        <w:t>6 REFERÊNCIAS</w:t>
      </w:r>
    </w:p>
    <w:p w14:paraId="35072388" w14:textId="77777777" w:rsidR="00C94DC6" w:rsidRPr="00363917" w:rsidRDefault="00000000" w:rsidP="00072EF1">
      <w:pPr>
        <w:tabs>
          <w:tab w:val="left" w:pos="142"/>
        </w:tabs>
        <w:jc w:val="both"/>
        <w:rPr>
          <w:rFonts w:cs="Times New Roman"/>
          <w:szCs w:val="24"/>
        </w:rPr>
      </w:pPr>
      <w:r w:rsidRPr="00363917">
        <w:rPr>
          <w:rFonts w:cs="Times New Roman"/>
          <w:szCs w:val="24"/>
        </w:rPr>
        <w:t>ABRUCIO, Fernando Luiz. Coordenação federativa no Brasil: a experiência do período FHC e os desafios do governo Lula. Revista de Sociologia e Política, Curitiba, n. 24, p. 41–67, 2005.</w:t>
      </w:r>
    </w:p>
    <w:p w14:paraId="6DEAE342" w14:textId="77777777" w:rsidR="00C94DC6" w:rsidRPr="00363917" w:rsidRDefault="00000000" w:rsidP="00072EF1">
      <w:pPr>
        <w:tabs>
          <w:tab w:val="left" w:pos="142"/>
        </w:tabs>
        <w:jc w:val="both"/>
        <w:rPr>
          <w:rFonts w:cs="Times New Roman"/>
          <w:szCs w:val="24"/>
        </w:rPr>
      </w:pPr>
      <w:r w:rsidRPr="00363917">
        <w:rPr>
          <w:rFonts w:cs="Times New Roman"/>
          <w:szCs w:val="24"/>
        </w:rPr>
        <w:t>ARROWSMITH, Sue; CRAVEN, Richard. Public Procurement and Access to Justice: A Legal and Empirical Study. Cheltenham: Edward Elgar, 2016.</w:t>
      </w:r>
    </w:p>
    <w:p w14:paraId="671D466C" w14:textId="77777777" w:rsidR="00C94DC6" w:rsidRPr="00363917" w:rsidRDefault="00000000" w:rsidP="00072EF1">
      <w:pPr>
        <w:tabs>
          <w:tab w:val="left" w:pos="142"/>
        </w:tabs>
        <w:jc w:val="both"/>
        <w:rPr>
          <w:rFonts w:cs="Times New Roman"/>
          <w:szCs w:val="24"/>
        </w:rPr>
      </w:pPr>
      <w:r w:rsidRPr="00363917">
        <w:rPr>
          <w:rFonts w:cs="Times New Roman"/>
          <w:szCs w:val="24"/>
        </w:rPr>
        <w:t>BARRETO, Fabrício. Políticas públicas de apoio às MPEs: uma análise da atuação do Estado brasileiro. Revista do Serviço Público, Brasília, v. 62, n. 3, p. 303–324, jul./set. 2011.</w:t>
      </w:r>
    </w:p>
    <w:p w14:paraId="6923895B" w14:textId="77777777" w:rsidR="00C94DC6" w:rsidRPr="00363917" w:rsidRDefault="00000000" w:rsidP="00072EF1">
      <w:pPr>
        <w:tabs>
          <w:tab w:val="left" w:pos="142"/>
        </w:tabs>
        <w:jc w:val="both"/>
        <w:rPr>
          <w:rFonts w:cs="Times New Roman"/>
          <w:szCs w:val="24"/>
        </w:rPr>
      </w:pPr>
      <w:r w:rsidRPr="00363917">
        <w:rPr>
          <w:rFonts w:cs="Times New Roman"/>
          <w:szCs w:val="24"/>
        </w:rPr>
        <w:t>BARDIN, Laurence. Análise de conteúdo. Lisboa: Edições 70, 2011.</w:t>
      </w:r>
    </w:p>
    <w:p w14:paraId="13594606" w14:textId="77777777" w:rsidR="00C94DC6" w:rsidRPr="00363917" w:rsidRDefault="00000000" w:rsidP="00072EF1">
      <w:pPr>
        <w:tabs>
          <w:tab w:val="left" w:pos="142"/>
        </w:tabs>
        <w:jc w:val="both"/>
        <w:rPr>
          <w:rFonts w:cs="Times New Roman"/>
          <w:szCs w:val="24"/>
        </w:rPr>
      </w:pPr>
      <w:r w:rsidRPr="00363917">
        <w:rPr>
          <w:rFonts w:cs="Times New Roman"/>
          <w:szCs w:val="24"/>
        </w:rPr>
        <w:t>BATISTA, Mariana. Avaliação de políticas públicas e instituições no Brasil: limites e desafios. Brasília: Ipea, 2017.</w:t>
      </w:r>
    </w:p>
    <w:p w14:paraId="62DFFF1D" w14:textId="77777777" w:rsidR="00C94DC6" w:rsidRPr="00363917" w:rsidRDefault="00000000" w:rsidP="00072EF1">
      <w:pPr>
        <w:tabs>
          <w:tab w:val="left" w:pos="142"/>
        </w:tabs>
        <w:jc w:val="both"/>
        <w:rPr>
          <w:rFonts w:cs="Times New Roman"/>
          <w:szCs w:val="24"/>
        </w:rPr>
      </w:pPr>
      <w:r w:rsidRPr="00363917">
        <w:rPr>
          <w:rFonts w:cs="Times New Roman"/>
          <w:szCs w:val="24"/>
        </w:rPr>
        <w:t>BRASIL. Lei nº 7.256, de 27 de novembro de 1984. Dispõe sobre o Estatuto da Microempresa. Diário Oficial da União, Brasília, DF, 28 nov. 1984.</w:t>
      </w:r>
    </w:p>
    <w:p w14:paraId="464AD872" w14:textId="77777777" w:rsidR="00C94DC6" w:rsidRPr="00363917" w:rsidRDefault="00000000" w:rsidP="00072EF1">
      <w:pPr>
        <w:tabs>
          <w:tab w:val="left" w:pos="142"/>
        </w:tabs>
        <w:jc w:val="both"/>
        <w:rPr>
          <w:rFonts w:cs="Times New Roman"/>
          <w:szCs w:val="24"/>
        </w:rPr>
      </w:pPr>
      <w:r w:rsidRPr="00363917">
        <w:rPr>
          <w:rFonts w:cs="Times New Roman"/>
          <w:szCs w:val="24"/>
        </w:rPr>
        <w:t>BRASIL. Constituição (1988). Constituição da República Federativa do Brasil. Brasília, DF: Senado Federal, 1988.</w:t>
      </w:r>
    </w:p>
    <w:p w14:paraId="405E703F" w14:textId="77777777" w:rsidR="00C94DC6" w:rsidRPr="00363917" w:rsidRDefault="00000000" w:rsidP="00072EF1">
      <w:pPr>
        <w:tabs>
          <w:tab w:val="left" w:pos="142"/>
        </w:tabs>
        <w:jc w:val="both"/>
        <w:rPr>
          <w:rFonts w:cs="Times New Roman"/>
          <w:szCs w:val="24"/>
        </w:rPr>
      </w:pPr>
      <w:r w:rsidRPr="00363917">
        <w:rPr>
          <w:rFonts w:cs="Times New Roman"/>
          <w:szCs w:val="24"/>
        </w:rPr>
        <w:lastRenderedPageBreak/>
        <w:t>BRASIL. Lei nº 8.666, de 21 de junho de 1993. Regulamenta o art. 37, inciso XXI, da Constituição Federal, institui normas para licitações e contratos da Administração Pública. Diário Oficial da União, Brasília, DF, 22 jun. 1993.</w:t>
      </w:r>
    </w:p>
    <w:p w14:paraId="0204EAC5" w14:textId="77777777" w:rsidR="00C94DC6" w:rsidRPr="00363917" w:rsidRDefault="00000000" w:rsidP="00072EF1">
      <w:pPr>
        <w:tabs>
          <w:tab w:val="left" w:pos="142"/>
        </w:tabs>
        <w:jc w:val="both"/>
        <w:rPr>
          <w:rFonts w:cs="Times New Roman"/>
          <w:szCs w:val="24"/>
        </w:rPr>
      </w:pPr>
      <w:r w:rsidRPr="00363917">
        <w:rPr>
          <w:rFonts w:cs="Times New Roman"/>
          <w:szCs w:val="24"/>
        </w:rPr>
        <w:t>BRASIL. Emenda Constitucional nº 6, de 15 de agosto de 1995. Altera dispositivos da Constituição Federal. Diário Oficial da União, Brasília, DF, 16 ago. 1995.</w:t>
      </w:r>
    </w:p>
    <w:p w14:paraId="11AF3ECB" w14:textId="77777777" w:rsidR="00C94DC6" w:rsidRPr="00363917" w:rsidRDefault="00000000" w:rsidP="00072EF1">
      <w:pPr>
        <w:tabs>
          <w:tab w:val="left" w:pos="142"/>
        </w:tabs>
        <w:jc w:val="both"/>
        <w:rPr>
          <w:rFonts w:cs="Times New Roman"/>
          <w:szCs w:val="24"/>
        </w:rPr>
      </w:pPr>
      <w:r w:rsidRPr="00363917">
        <w:rPr>
          <w:rFonts w:cs="Times New Roman"/>
          <w:szCs w:val="24"/>
        </w:rPr>
        <w:t>BRASIL. Lei nº 9.317, de 5 de dezembro de 1996. Institui o regime tributário das microempresas e das empresas de pequeno porte (Simples). Diário Oficial da União, Brasília, DF, 6 dez. 1996.</w:t>
      </w:r>
    </w:p>
    <w:p w14:paraId="0B08A035" w14:textId="77777777" w:rsidR="00C94DC6" w:rsidRPr="00363917" w:rsidRDefault="00000000" w:rsidP="00072EF1">
      <w:pPr>
        <w:tabs>
          <w:tab w:val="left" w:pos="142"/>
        </w:tabs>
        <w:jc w:val="both"/>
        <w:rPr>
          <w:rFonts w:cs="Times New Roman"/>
          <w:szCs w:val="24"/>
        </w:rPr>
      </w:pPr>
      <w:r w:rsidRPr="00363917">
        <w:rPr>
          <w:rFonts w:cs="Times New Roman"/>
          <w:szCs w:val="24"/>
        </w:rPr>
        <w:t>BRASIL. Lei nº 9.841, de 5 de outubro de 1999. Institui o Estatuto da Microempresa e da Empresa de Pequeno Porte. Diário Oficial da União, Brasília, DF, 6 out. 1999.</w:t>
      </w:r>
    </w:p>
    <w:p w14:paraId="64F6CD0B" w14:textId="77777777" w:rsidR="00C94DC6" w:rsidRPr="00363917" w:rsidRDefault="00000000" w:rsidP="00072EF1">
      <w:pPr>
        <w:tabs>
          <w:tab w:val="left" w:pos="142"/>
        </w:tabs>
        <w:jc w:val="both"/>
        <w:rPr>
          <w:rFonts w:cs="Times New Roman"/>
          <w:szCs w:val="24"/>
        </w:rPr>
      </w:pPr>
      <w:r w:rsidRPr="00363917">
        <w:rPr>
          <w:rFonts w:cs="Times New Roman"/>
          <w:szCs w:val="24"/>
        </w:rPr>
        <w:t>BRASIL. Lei nº 10.520, de 17 de julho de 2002. Institui, no âmbito da União, Estados, Distrito Federal e Municípios, a modalidade de licitação denominada pregão. Diário Oficial da União, Brasília, DF, 18 jul. 2002.</w:t>
      </w:r>
    </w:p>
    <w:p w14:paraId="6B251D3F" w14:textId="77777777" w:rsidR="00C94DC6" w:rsidRPr="00363917" w:rsidRDefault="00000000" w:rsidP="00072EF1">
      <w:pPr>
        <w:tabs>
          <w:tab w:val="left" w:pos="142"/>
        </w:tabs>
        <w:jc w:val="both"/>
        <w:rPr>
          <w:rFonts w:cs="Times New Roman"/>
          <w:szCs w:val="24"/>
        </w:rPr>
      </w:pPr>
      <w:r w:rsidRPr="00363917">
        <w:rPr>
          <w:rFonts w:cs="Times New Roman"/>
          <w:szCs w:val="24"/>
        </w:rPr>
        <w:t>BRASIL. Lei Complementar nº 123, de 14 de dezembro de 2006. Institui o Estatuto Nacional da Microempresa e da Empresa de Pequeno Porte. Diário Oficial da União, Brasília, DF, 15 dez. 2006.</w:t>
      </w:r>
    </w:p>
    <w:p w14:paraId="09DFFC91" w14:textId="77777777" w:rsidR="00C94DC6" w:rsidRPr="00363917" w:rsidRDefault="00000000" w:rsidP="00072EF1">
      <w:pPr>
        <w:tabs>
          <w:tab w:val="left" w:pos="142"/>
        </w:tabs>
        <w:jc w:val="both"/>
        <w:rPr>
          <w:rFonts w:cs="Times New Roman"/>
          <w:szCs w:val="24"/>
        </w:rPr>
      </w:pPr>
      <w:r w:rsidRPr="00363917">
        <w:rPr>
          <w:rFonts w:cs="Times New Roman"/>
          <w:szCs w:val="24"/>
        </w:rPr>
        <w:t>BRASIL. Lei nº 12.462, de 4 de agosto de 2011. Institui o Regime Diferenciado de Contratações Públicas – RDC. Diário Oficial da União, Brasília, DF, 5 ago. 2011.</w:t>
      </w:r>
    </w:p>
    <w:p w14:paraId="70E8F1C2" w14:textId="77777777" w:rsidR="00C94DC6" w:rsidRPr="00363917" w:rsidRDefault="00000000" w:rsidP="00072EF1">
      <w:pPr>
        <w:tabs>
          <w:tab w:val="left" w:pos="142"/>
        </w:tabs>
        <w:jc w:val="both"/>
        <w:rPr>
          <w:rFonts w:cs="Times New Roman"/>
          <w:szCs w:val="24"/>
        </w:rPr>
      </w:pPr>
      <w:r w:rsidRPr="00363917">
        <w:rPr>
          <w:rFonts w:cs="Times New Roman"/>
          <w:szCs w:val="24"/>
        </w:rPr>
        <w:t>BRASIL. Lei nº 14.133, de 1º de abril de 2021. Lei de Licitações e Contratos Administrativos. Diário Oficial da União, Brasília, DF, 1º abr. 2021.</w:t>
      </w:r>
    </w:p>
    <w:p w14:paraId="338F8A53" w14:textId="77777777" w:rsidR="00C94DC6" w:rsidRPr="00363917" w:rsidRDefault="00000000" w:rsidP="00072EF1">
      <w:pPr>
        <w:tabs>
          <w:tab w:val="left" w:pos="142"/>
        </w:tabs>
        <w:jc w:val="both"/>
        <w:rPr>
          <w:rFonts w:cs="Times New Roman"/>
          <w:szCs w:val="24"/>
        </w:rPr>
      </w:pPr>
      <w:r w:rsidRPr="00363917">
        <w:rPr>
          <w:rFonts w:cs="Times New Roman"/>
          <w:szCs w:val="24"/>
        </w:rPr>
        <w:t>BRASIL. TRIBUNAL DE CONTAS DA UNIÃO. Acórdão nº 1.214/2013 – Plenário. Brasília, DF, 2013.</w:t>
      </w:r>
    </w:p>
    <w:p w14:paraId="24BA6CE4" w14:textId="77777777" w:rsidR="00C94DC6" w:rsidRPr="00363917" w:rsidRDefault="00000000" w:rsidP="00072EF1">
      <w:pPr>
        <w:tabs>
          <w:tab w:val="left" w:pos="142"/>
        </w:tabs>
        <w:jc w:val="both"/>
        <w:rPr>
          <w:rFonts w:cs="Times New Roman"/>
          <w:szCs w:val="24"/>
        </w:rPr>
      </w:pPr>
      <w:r w:rsidRPr="00363917">
        <w:rPr>
          <w:rFonts w:cs="Times New Roman"/>
          <w:szCs w:val="24"/>
        </w:rPr>
        <w:t>BRASIL. TRIBUNAL DE CONTAS DA UNIÃO. Acórdão nº 2.731/2015 – Plenário. Brasília, DF, 2015.</w:t>
      </w:r>
    </w:p>
    <w:p w14:paraId="1EF03F65" w14:textId="77777777" w:rsidR="00C94DC6" w:rsidRPr="00363917" w:rsidRDefault="00000000" w:rsidP="00072EF1">
      <w:pPr>
        <w:tabs>
          <w:tab w:val="left" w:pos="142"/>
        </w:tabs>
        <w:jc w:val="both"/>
        <w:rPr>
          <w:rFonts w:cs="Times New Roman"/>
          <w:szCs w:val="24"/>
        </w:rPr>
      </w:pPr>
      <w:r w:rsidRPr="00363917">
        <w:rPr>
          <w:rFonts w:cs="Times New Roman"/>
          <w:szCs w:val="24"/>
        </w:rPr>
        <w:t>CASSIOLATO, José Eduardo; LASTRES, Helena M. M. Pequena empresa: cooperação e desenvolvimento local. Rio de Janeiro: Relume Dumará, 2003.</w:t>
      </w:r>
    </w:p>
    <w:p w14:paraId="01BCD3FF" w14:textId="77777777" w:rsidR="00C94DC6" w:rsidRPr="00363917" w:rsidRDefault="00000000" w:rsidP="00072EF1">
      <w:pPr>
        <w:tabs>
          <w:tab w:val="left" w:pos="142"/>
        </w:tabs>
        <w:jc w:val="both"/>
        <w:rPr>
          <w:rFonts w:cs="Times New Roman"/>
          <w:szCs w:val="24"/>
        </w:rPr>
      </w:pPr>
      <w:r w:rsidRPr="00363917">
        <w:rPr>
          <w:rFonts w:cs="Times New Roman"/>
          <w:szCs w:val="24"/>
        </w:rPr>
        <w:t>DENZIN, Norman K. The Research Act: A Theoretical Introduction to Sociological Methods. New York: McGraw-Hill, 1978.</w:t>
      </w:r>
    </w:p>
    <w:p w14:paraId="441D89FF" w14:textId="77777777" w:rsidR="00C94DC6" w:rsidRPr="00363917" w:rsidRDefault="00000000" w:rsidP="00072EF1">
      <w:pPr>
        <w:tabs>
          <w:tab w:val="left" w:pos="142"/>
        </w:tabs>
        <w:jc w:val="both"/>
        <w:rPr>
          <w:rFonts w:cs="Times New Roman"/>
          <w:szCs w:val="24"/>
        </w:rPr>
      </w:pPr>
      <w:r w:rsidRPr="00363917">
        <w:rPr>
          <w:rFonts w:cs="Times New Roman"/>
          <w:szCs w:val="24"/>
        </w:rPr>
        <w:t>FJP – FUNDAÇÃO JOÃO PINHEIRO. Avaliação de políticas públicas de desenvolvimento regional e MPEs. Belo Horizonte: FJP, 2023.</w:t>
      </w:r>
    </w:p>
    <w:p w14:paraId="3C43C37F" w14:textId="77777777" w:rsidR="00C94DC6" w:rsidRPr="00363917" w:rsidRDefault="00000000" w:rsidP="00072EF1">
      <w:pPr>
        <w:tabs>
          <w:tab w:val="left" w:pos="142"/>
        </w:tabs>
        <w:jc w:val="both"/>
        <w:rPr>
          <w:rFonts w:cs="Times New Roman"/>
          <w:szCs w:val="24"/>
        </w:rPr>
      </w:pPr>
      <w:r w:rsidRPr="00363917">
        <w:rPr>
          <w:rFonts w:cs="Times New Roman"/>
          <w:szCs w:val="24"/>
        </w:rPr>
        <w:t>GOMIDE, Alexandre; PIRES, Roberto Rocha C. (orgs.). Capacidades estatais e burocracias no Brasil. Brasília: ENAP, 2014.</w:t>
      </w:r>
    </w:p>
    <w:p w14:paraId="0EAFB109" w14:textId="77777777" w:rsidR="00C94DC6" w:rsidRPr="00363917" w:rsidRDefault="00000000" w:rsidP="00072EF1">
      <w:pPr>
        <w:tabs>
          <w:tab w:val="left" w:pos="142"/>
        </w:tabs>
        <w:jc w:val="both"/>
        <w:rPr>
          <w:rFonts w:cs="Times New Roman"/>
          <w:szCs w:val="24"/>
        </w:rPr>
      </w:pPr>
      <w:r w:rsidRPr="00363917">
        <w:rPr>
          <w:rFonts w:cs="Times New Roman"/>
          <w:szCs w:val="24"/>
        </w:rPr>
        <w:lastRenderedPageBreak/>
        <w:t>IPEA – INSTITUTO DE PESQUISA ECONÔMICA APLICADA. Participação das MPEs nas compras públicas brasileiras: avanços e desafios. Brasília: Ipea, 2023.</w:t>
      </w:r>
    </w:p>
    <w:p w14:paraId="05276E34" w14:textId="77777777" w:rsidR="00C94DC6" w:rsidRPr="00363917" w:rsidRDefault="00000000" w:rsidP="00072EF1">
      <w:pPr>
        <w:tabs>
          <w:tab w:val="left" w:pos="142"/>
        </w:tabs>
        <w:jc w:val="both"/>
        <w:rPr>
          <w:rFonts w:cs="Times New Roman"/>
          <w:szCs w:val="24"/>
        </w:rPr>
      </w:pPr>
      <w:r w:rsidRPr="00363917">
        <w:rPr>
          <w:rFonts w:cs="Times New Roman"/>
          <w:szCs w:val="24"/>
        </w:rPr>
        <w:t>MCCRUDDEN, Christopher. Using public procurement to achieve social outcomes. Natural Resources Forum, v. 28, p. 257–267, 2004.</w:t>
      </w:r>
    </w:p>
    <w:p w14:paraId="54BB82C0" w14:textId="77777777" w:rsidR="00C94DC6" w:rsidRPr="00363917" w:rsidRDefault="00000000" w:rsidP="00072EF1">
      <w:pPr>
        <w:tabs>
          <w:tab w:val="left" w:pos="142"/>
        </w:tabs>
        <w:jc w:val="both"/>
        <w:rPr>
          <w:rFonts w:cs="Times New Roman"/>
          <w:szCs w:val="24"/>
        </w:rPr>
      </w:pPr>
      <w:r w:rsidRPr="00363917">
        <w:rPr>
          <w:rFonts w:cs="Times New Roman"/>
          <w:szCs w:val="24"/>
        </w:rPr>
        <w:t>NOGUEIRA, Marcos. A construção do Estatuto da Micro e Pequena Empresa no Congresso Nacional. Brasília: Câmara dos Deputados, 2010.</w:t>
      </w:r>
    </w:p>
    <w:p w14:paraId="3893F2FE" w14:textId="77777777" w:rsidR="00C94DC6" w:rsidRPr="00363917" w:rsidRDefault="00000000" w:rsidP="00072EF1">
      <w:pPr>
        <w:tabs>
          <w:tab w:val="left" w:pos="142"/>
        </w:tabs>
        <w:jc w:val="both"/>
        <w:rPr>
          <w:rFonts w:cs="Times New Roman"/>
          <w:szCs w:val="24"/>
        </w:rPr>
      </w:pPr>
      <w:r w:rsidRPr="00363917">
        <w:rPr>
          <w:rFonts w:cs="Times New Roman"/>
          <w:szCs w:val="24"/>
        </w:rPr>
        <w:t>OCDE – ORGANIZAÇÃO PARA A COOPERAÇÃO E DESENVOLVIMENTO ECONÔMICO. Government at a Glance 2023. Paris: OECD Publishing, 2023.</w:t>
      </w:r>
    </w:p>
    <w:p w14:paraId="1EDDBBB0" w14:textId="77777777" w:rsidR="00C94DC6" w:rsidRPr="00363917" w:rsidRDefault="00000000" w:rsidP="00072EF1">
      <w:pPr>
        <w:tabs>
          <w:tab w:val="left" w:pos="142"/>
        </w:tabs>
        <w:jc w:val="both"/>
        <w:rPr>
          <w:rFonts w:cs="Times New Roman"/>
          <w:szCs w:val="24"/>
        </w:rPr>
      </w:pPr>
      <w:r w:rsidRPr="00363917">
        <w:rPr>
          <w:rFonts w:cs="Times New Roman"/>
          <w:szCs w:val="24"/>
        </w:rPr>
        <w:t>PERRY, Guillermo et al. Informality: Exit and Exclusion. Washington, DC: World Bank, 2007.</w:t>
      </w:r>
    </w:p>
    <w:p w14:paraId="3B76185E" w14:textId="77777777" w:rsidR="00C94DC6" w:rsidRPr="00363917" w:rsidRDefault="00000000" w:rsidP="00072EF1">
      <w:pPr>
        <w:tabs>
          <w:tab w:val="left" w:pos="142"/>
        </w:tabs>
        <w:jc w:val="both"/>
        <w:rPr>
          <w:rFonts w:cs="Times New Roman"/>
          <w:szCs w:val="24"/>
        </w:rPr>
      </w:pPr>
      <w:r w:rsidRPr="00363917">
        <w:rPr>
          <w:rFonts w:cs="Times New Roman"/>
          <w:szCs w:val="24"/>
        </w:rPr>
        <w:t>PIRES, Roberto; GOMIDE, Alexandre. Capacidades estatais e democracia: a abordagem da coalizão de implementação. Revista de Sociologia e Política, Curitiba, v. 24, n. 58, p. 121–143, 2016.</w:t>
      </w:r>
    </w:p>
    <w:p w14:paraId="3C91A84A" w14:textId="77777777" w:rsidR="00C94DC6" w:rsidRPr="00363917" w:rsidRDefault="00000000" w:rsidP="00072EF1">
      <w:pPr>
        <w:tabs>
          <w:tab w:val="left" w:pos="142"/>
        </w:tabs>
        <w:jc w:val="both"/>
        <w:rPr>
          <w:rFonts w:cs="Times New Roman"/>
          <w:szCs w:val="24"/>
        </w:rPr>
      </w:pPr>
      <w:r w:rsidRPr="00363917">
        <w:rPr>
          <w:rFonts w:cs="Times New Roman"/>
          <w:szCs w:val="24"/>
        </w:rPr>
        <w:t>RAMOS, Marília Patta; SCHABBACH, Letícia Maria. O estado da arte da avaliação de políticas públicas: conceituação e exemplos de avaliação no Brasil. Revista de Administração Pública, v. 46, n. 5, p. 1271–1294, 2012.</w:t>
      </w:r>
    </w:p>
    <w:p w14:paraId="3AF1E611" w14:textId="77777777" w:rsidR="00C94DC6" w:rsidRPr="00363917" w:rsidRDefault="00000000" w:rsidP="00072EF1">
      <w:pPr>
        <w:tabs>
          <w:tab w:val="left" w:pos="142"/>
        </w:tabs>
        <w:jc w:val="both"/>
        <w:rPr>
          <w:rFonts w:cs="Times New Roman"/>
          <w:szCs w:val="24"/>
        </w:rPr>
      </w:pPr>
      <w:r w:rsidRPr="00363917">
        <w:rPr>
          <w:rFonts w:cs="Times New Roman"/>
          <w:szCs w:val="24"/>
        </w:rPr>
        <w:t>ROPER, Stephen. Evaluating SME Policies and Programmes: Lessons for Policy Learning. Coventry: Enterprise Research Centre, 2018. (ERC Research Paper, 66).</w:t>
      </w:r>
    </w:p>
    <w:p w14:paraId="6D13E314" w14:textId="77777777" w:rsidR="00C94DC6" w:rsidRPr="00363917" w:rsidRDefault="00000000" w:rsidP="00072EF1">
      <w:pPr>
        <w:tabs>
          <w:tab w:val="left" w:pos="142"/>
        </w:tabs>
        <w:jc w:val="both"/>
        <w:rPr>
          <w:rFonts w:cs="Times New Roman"/>
          <w:szCs w:val="24"/>
        </w:rPr>
      </w:pPr>
      <w:r w:rsidRPr="00363917">
        <w:rPr>
          <w:rFonts w:cs="Times New Roman"/>
          <w:szCs w:val="24"/>
        </w:rPr>
        <w:t>ROPER, Stephen; HART, Mark. Small Firms and Policy Learning: Evaluation and Evidence in the UK. Coventry: Enterprise Research Centre, 2020. (Working Paper).</w:t>
      </w:r>
    </w:p>
    <w:p w14:paraId="2EFB6C5B" w14:textId="77777777" w:rsidR="00C94DC6" w:rsidRPr="00363917" w:rsidRDefault="00000000" w:rsidP="00072EF1">
      <w:pPr>
        <w:tabs>
          <w:tab w:val="left" w:pos="142"/>
        </w:tabs>
        <w:jc w:val="both"/>
        <w:rPr>
          <w:rFonts w:cs="Times New Roman"/>
          <w:szCs w:val="24"/>
        </w:rPr>
      </w:pPr>
      <w:r w:rsidRPr="00363917">
        <w:rPr>
          <w:rFonts w:cs="Times New Roman"/>
          <w:szCs w:val="24"/>
        </w:rPr>
        <w:t>SEBRAE. Pequenos negócios e desenvolvimento local. Brasília: Sebrae, 2023.</w:t>
      </w:r>
    </w:p>
    <w:p w14:paraId="7E789CB9" w14:textId="77777777" w:rsidR="00C94DC6" w:rsidRPr="00363917" w:rsidRDefault="00000000" w:rsidP="00072EF1">
      <w:pPr>
        <w:tabs>
          <w:tab w:val="left" w:pos="142"/>
        </w:tabs>
        <w:jc w:val="both"/>
        <w:rPr>
          <w:rFonts w:cs="Times New Roman"/>
          <w:szCs w:val="24"/>
        </w:rPr>
      </w:pPr>
      <w:r w:rsidRPr="00363917">
        <w:rPr>
          <w:rFonts w:cs="Times New Roman"/>
          <w:szCs w:val="24"/>
        </w:rPr>
        <w:t>SILVA, André; REIS, Pedro R. C.; MELLO, Bruno. Licitações e formalização de prestadores de serviços: evidências recentes. Revista do Serviço Público, Brasília, 2019.</w:t>
      </w:r>
    </w:p>
    <w:sectPr w:rsidR="00C94DC6" w:rsidRPr="00363917" w:rsidSect="00034616">
      <w:footerReference w:type="default" r:id="rId8"/>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9A6BF" w14:textId="77777777" w:rsidR="00874938" w:rsidRDefault="00874938">
      <w:pPr>
        <w:spacing w:line="240" w:lineRule="auto"/>
      </w:pPr>
      <w:r>
        <w:separator/>
      </w:r>
    </w:p>
  </w:endnote>
  <w:endnote w:type="continuationSeparator" w:id="0">
    <w:p w14:paraId="003761DD" w14:textId="77777777" w:rsidR="00874938" w:rsidRDefault="008749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B744" w14:textId="77777777" w:rsidR="00C94DC6" w:rsidRDefault="00000000">
    <w:pPr>
      <w:pStyle w:val="Rodap"/>
      <w:jc w:val="center"/>
    </w:pPr>
    <w:r>
      <w:fldChar w:fldCharType="begin"/>
    </w:r>
    <w:r>
      <w:instrText>PAGE</w:instrText>
    </w:r>
    <w:r w:rsidR="00363917">
      <w:fldChar w:fldCharType="separate"/>
    </w:r>
    <w:r w:rsidR="0036391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91BD8" w14:textId="77777777" w:rsidR="00874938" w:rsidRDefault="00874938">
      <w:pPr>
        <w:spacing w:line="240" w:lineRule="auto"/>
      </w:pPr>
      <w:r>
        <w:separator/>
      </w:r>
    </w:p>
  </w:footnote>
  <w:footnote w:type="continuationSeparator" w:id="0">
    <w:p w14:paraId="777DD2EC" w14:textId="77777777" w:rsidR="00874938" w:rsidRDefault="008749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1D1C60E7"/>
    <w:multiLevelType w:val="hybridMultilevel"/>
    <w:tmpl w:val="6CB4A628"/>
    <w:lvl w:ilvl="0" w:tplc="2878F61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554707384">
    <w:abstractNumId w:val="8"/>
  </w:num>
  <w:num w:numId="2" w16cid:durableId="1882745416">
    <w:abstractNumId w:val="6"/>
  </w:num>
  <w:num w:numId="3" w16cid:durableId="865871737">
    <w:abstractNumId w:val="5"/>
  </w:num>
  <w:num w:numId="4" w16cid:durableId="450251984">
    <w:abstractNumId w:val="4"/>
  </w:num>
  <w:num w:numId="5" w16cid:durableId="365763485">
    <w:abstractNumId w:val="7"/>
  </w:num>
  <w:num w:numId="6" w16cid:durableId="319582101">
    <w:abstractNumId w:val="3"/>
  </w:num>
  <w:num w:numId="7" w16cid:durableId="152766039">
    <w:abstractNumId w:val="2"/>
  </w:num>
  <w:num w:numId="8" w16cid:durableId="256866074">
    <w:abstractNumId w:val="1"/>
  </w:num>
  <w:num w:numId="9" w16cid:durableId="1200052905">
    <w:abstractNumId w:val="0"/>
  </w:num>
  <w:num w:numId="10" w16cid:durableId="14767508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EF1"/>
    <w:rsid w:val="0015074B"/>
    <w:rsid w:val="0029639D"/>
    <w:rsid w:val="00326F90"/>
    <w:rsid w:val="00363917"/>
    <w:rsid w:val="004041D9"/>
    <w:rsid w:val="00874938"/>
    <w:rsid w:val="009A4A48"/>
    <w:rsid w:val="00AA1D8D"/>
    <w:rsid w:val="00B47730"/>
    <w:rsid w:val="00C94DC6"/>
    <w:rsid w:val="00CB0664"/>
    <w:rsid w:val="00E047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B36133"/>
  <w14:defaultImageDpi w14:val="300"/>
  <w15:docId w15:val="{D5311DAB-24C0-4B01-97C4-DCF43A71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pPr>
    <w:rPr>
      <w:rFonts w:ascii="Times New Roman" w:eastAsia="Times New Roman" w:hAnsi="Times New Roman"/>
      <w:sz w:val="24"/>
    </w:rPr>
  </w:style>
  <w:style w:type="paragraph" w:styleId="Ttulo1">
    <w:name w:val="heading 1"/>
    <w:basedOn w:val="Normal"/>
    <w:next w:val="Normal"/>
    <w:link w:val="Ttulo1Char"/>
    <w:uiPriority w:val="9"/>
    <w:qFormat/>
    <w:rsid w:val="00FC693F"/>
    <w:pPr>
      <w:keepNext/>
      <w:keepLines/>
      <w:spacing w:before="240" w:after="12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40" w:after="120"/>
      <w:outlineLvl w:val="1"/>
    </w:pPr>
    <w:rPr>
      <w:rFonts w:asciiTheme="majorHAnsi" w:eastAsiaTheme="majorEastAsia" w:hAnsiTheme="majorHAnsi" w:cstheme="majorBidi"/>
      <w:b/>
      <w:bCs/>
      <w:color w:val="4F81BD" w:themeColor="accent1"/>
      <w:szCs w:val="26"/>
    </w:rPr>
  </w:style>
  <w:style w:type="paragraph" w:styleId="Ttulo3">
    <w:name w:val="heading 3"/>
    <w:basedOn w:val="Normal"/>
    <w:next w:val="Normal"/>
    <w:link w:val="Ttulo3Char"/>
    <w:uiPriority w:val="9"/>
    <w:unhideWhenUsed/>
    <w:qFormat/>
    <w:rsid w:val="00FC693F"/>
    <w:pPr>
      <w:keepNext/>
      <w:keepLines/>
      <w:spacing w:before="240" w:after="12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30</Pages>
  <Words>11200</Words>
  <Characters>60486</Characters>
  <Application>Microsoft Office Word</Application>
  <DocSecurity>0</DocSecurity>
  <Lines>504</Lines>
  <Paragraphs>143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Graziela Wakasugi</cp:lastModifiedBy>
  <cp:revision>3</cp:revision>
  <dcterms:created xsi:type="dcterms:W3CDTF">2013-12-23T23:15:00Z</dcterms:created>
  <dcterms:modified xsi:type="dcterms:W3CDTF">2026-03-30T23:31:00Z</dcterms:modified>
  <cp:category/>
</cp:coreProperties>
</file>