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968D8D" w14:textId="2C853AEE" w:rsidR="000C1E4F" w:rsidRPr="003C14F6" w:rsidRDefault="00FE4F34">
      <w:pPr>
        <w:spacing w:after="240" w:line="240" w:lineRule="auto"/>
        <w:jc w:val="center"/>
        <w:rPr>
          <w:lang w:val="pt-BR"/>
        </w:rPr>
      </w:pPr>
      <w:r w:rsidRPr="003C14F6">
        <w:rPr>
          <w:b/>
          <w:caps/>
          <w:sz w:val="26"/>
          <w:lang w:val="pt-BR"/>
        </w:rPr>
        <w:t>POLÍTICAS PÚBLICAS DE INTEGRIDADE ELEITORAL E INTELIGÊNCIA ARTIFICIAL:</w:t>
      </w:r>
      <w:r w:rsidR="00A221AD">
        <w:rPr>
          <w:b/>
          <w:caps/>
          <w:sz w:val="26"/>
          <w:lang w:val="pt-BR"/>
        </w:rPr>
        <w:t xml:space="preserve"> </w:t>
      </w:r>
      <w:r w:rsidRPr="003C14F6">
        <w:rPr>
          <w:b/>
          <w:caps/>
          <w:sz w:val="26"/>
          <w:lang w:val="pt-BR"/>
        </w:rPr>
        <w:t>ATUAÇÃO NORMATIVA DO TSE EM 2024</w:t>
      </w:r>
      <w:r w:rsidR="00135C4A">
        <w:rPr>
          <w:b/>
          <w:caps/>
          <w:sz w:val="26"/>
          <w:lang w:val="pt-BR"/>
        </w:rPr>
        <w:t xml:space="preserve"> e </w:t>
      </w:r>
      <w:r w:rsidRPr="003C14F6">
        <w:rPr>
          <w:b/>
          <w:caps/>
          <w:sz w:val="26"/>
          <w:lang w:val="pt-BR"/>
        </w:rPr>
        <w:t xml:space="preserve">RISCOS SISTÊMICOS </w:t>
      </w:r>
    </w:p>
    <w:tbl>
      <w:tblPr>
        <w:tblStyle w:val="Tabelacomgrade"/>
        <w:tblW w:w="0" w:type="auto"/>
        <w:jc w:val="center"/>
        <w:tblBorders>
          <w:top w:val="single" w:sz="6" w:space="0" w:color="A6A6A6"/>
          <w:left w:val="single" w:sz="6" w:space="0" w:color="A6A6A6"/>
          <w:bottom w:val="single" w:sz="6" w:space="0" w:color="A6A6A6"/>
          <w:right w:val="single" w:sz="6" w:space="0" w:color="A6A6A6"/>
          <w:insideH w:val="single" w:sz="6" w:space="0" w:color="A6A6A6"/>
          <w:insideV w:val="single" w:sz="6" w:space="0" w:color="A6A6A6"/>
        </w:tblBorders>
        <w:tblLayout w:type="fixed"/>
        <w:tblLook w:val="04A0" w:firstRow="1" w:lastRow="0" w:firstColumn="1" w:lastColumn="0" w:noHBand="0" w:noVBand="1"/>
      </w:tblPr>
      <w:tblGrid>
        <w:gridCol w:w="2041"/>
        <w:gridCol w:w="6917"/>
      </w:tblGrid>
      <w:tr w:rsidR="000C1E4F" w:rsidRPr="00135C4A" w14:paraId="2DA19AE3" w14:textId="77777777">
        <w:trPr>
          <w:jc w:val="center"/>
        </w:trPr>
        <w:tc>
          <w:tcPr>
            <w:tcW w:w="2041" w:type="dxa"/>
            <w:shd w:val="clear" w:color="auto" w:fill="EDEDED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2C15122" w14:textId="77777777" w:rsidR="000C1E4F" w:rsidRDefault="00FE4F34">
            <w:r>
              <w:rPr>
                <w:b/>
                <w:sz w:val="22"/>
              </w:rPr>
              <w:t>Proponente</w:t>
            </w:r>
          </w:p>
        </w:tc>
        <w:tc>
          <w:tcPr>
            <w:tcW w:w="6917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D526962" w14:textId="7D395351" w:rsidR="000C1E4F" w:rsidRPr="003C14F6" w:rsidRDefault="00FE4F34">
            <w:pPr>
              <w:rPr>
                <w:lang w:val="pt-BR"/>
              </w:rPr>
            </w:pPr>
            <w:r w:rsidRPr="003C14F6">
              <w:rPr>
                <w:sz w:val="22"/>
                <w:lang w:val="pt-BR"/>
              </w:rPr>
              <w:t>Oswaldo Pereira de Lima J</w:t>
            </w:r>
            <w:r w:rsidR="00A221AD">
              <w:rPr>
                <w:sz w:val="22"/>
                <w:lang w:val="pt-BR"/>
              </w:rPr>
              <w:t>u</w:t>
            </w:r>
            <w:r w:rsidRPr="003C14F6">
              <w:rPr>
                <w:sz w:val="22"/>
                <w:lang w:val="pt-BR"/>
              </w:rPr>
              <w:t>nior</w:t>
            </w:r>
            <w:r w:rsidR="007740F0">
              <w:rPr>
                <w:sz w:val="22"/>
                <w:lang w:val="pt-BR"/>
              </w:rPr>
              <w:t>/Edna Raquel Hogemann</w:t>
            </w:r>
            <w:r w:rsidRPr="003C14F6">
              <w:rPr>
                <w:sz w:val="22"/>
                <w:lang w:val="pt-BR"/>
              </w:rPr>
              <w:t xml:space="preserve"> (PPGD/UNIRIO)</w:t>
            </w:r>
          </w:p>
        </w:tc>
      </w:tr>
      <w:tr w:rsidR="000C1E4F" w:rsidRPr="00135C4A" w14:paraId="40F326E3" w14:textId="77777777">
        <w:trPr>
          <w:jc w:val="center"/>
        </w:trPr>
        <w:tc>
          <w:tcPr>
            <w:tcW w:w="2041" w:type="dxa"/>
            <w:shd w:val="clear" w:color="auto" w:fill="EDEDED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BBFB87A" w14:textId="77777777" w:rsidR="000C1E4F" w:rsidRDefault="00FE4F34">
            <w:r>
              <w:rPr>
                <w:b/>
                <w:sz w:val="22"/>
              </w:rPr>
              <w:t>Instituição</w:t>
            </w:r>
          </w:p>
        </w:tc>
        <w:tc>
          <w:tcPr>
            <w:tcW w:w="6917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514FB21" w14:textId="77777777" w:rsidR="000C1E4F" w:rsidRPr="003C14F6" w:rsidRDefault="00FE4F34">
            <w:pPr>
              <w:rPr>
                <w:lang w:val="pt-BR"/>
              </w:rPr>
            </w:pPr>
            <w:r w:rsidRPr="003C14F6">
              <w:rPr>
                <w:sz w:val="22"/>
                <w:lang w:val="pt-BR"/>
              </w:rPr>
              <w:t>Universidade Federal do Estado do Rio de Janeiro (UNIRIO) – Programa de Pós-Graduação em Direito e Políticas Públicas (PPGD/UNIRIO)</w:t>
            </w:r>
          </w:p>
        </w:tc>
      </w:tr>
      <w:tr w:rsidR="000C1E4F" w14:paraId="1D2C62DC" w14:textId="77777777">
        <w:trPr>
          <w:jc w:val="center"/>
        </w:trPr>
        <w:tc>
          <w:tcPr>
            <w:tcW w:w="2041" w:type="dxa"/>
            <w:shd w:val="clear" w:color="auto" w:fill="EDEDED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B279CB8" w14:textId="77777777" w:rsidR="000C1E4F" w:rsidRDefault="00FE4F34">
            <w:r>
              <w:rPr>
                <w:b/>
                <w:sz w:val="22"/>
              </w:rPr>
              <w:t>Eixo temático</w:t>
            </w:r>
          </w:p>
        </w:tc>
        <w:tc>
          <w:tcPr>
            <w:tcW w:w="6917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9B418E8" w14:textId="77777777" w:rsidR="000C1E4F" w:rsidRDefault="00FE4F34">
            <w:r>
              <w:rPr>
                <w:sz w:val="22"/>
              </w:rPr>
              <w:t>Tema 4 – Controle Jurídico de Políticas Públicas</w:t>
            </w:r>
          </w:p>
        </w:tc>
      </w:tr>
    </w:tbl>
    <w:p w14:paraId="4AD95EF3" w14:textId="77777777" w:rsidR="000C1E4F" w:rsidRDefault="000C1E4F"/>
    <w:p w14:paraId="101C5FA1" w14:textId="77777777" w:rsidR="000C1E4F" w:rsidRDefault="00FE4F34">
      <w:pPr>
        <w:pStyle w:val="SectionHeading"/>
        <w:spacing w:before="240" w:after="160" w:line="240" w:lineRule="auto"/>
        <w:jc w:val="center"/>
      </w:pPr>
      <w:r>
        <w:t>RESUMO</w:t>
      </w:r>
    </w:p>
    <w:p w14:paraId="2B8D64AD" w14:textId="0E08C308" w:rsidR="000C1E4F" w:rsidRPr="003C14F6" w:rsidRDefault="00FE4F34">
      <w:pPr>
        <w:spacing w:after="120"/>
        <w:ind w:firstLine="709"/>
        <w:jc w:val="both"/>
        <w:rPr>
          <w:lang w:val="pt-BR"/>
        </w:rPr>
      </w:pPr>
      <w:r w:rsidRPr="003C14F6">
        <w:rPr>
          <w:lang w:val="pt-BR"/>
        </w:rPr>
        <w:t xml:space="preserve">Este relato de pesquisa examina a atuação normativa do Tribunal Superior Eleitoral (TSE) no ciclo eleitoral de 2024 como resposta regulatória a riscos sistêmicos produzidos pela desinformação em plataformas digitais e pelo uso de inteligência artificial generativa na disputa política. O problema central consiste em definir se as Resoluções TSE n.º 23.732/2024 e n.º 23.735/2024 </w:t>
      </w:r>
      <w:r w:rsidR="003C14F6">
        <w:rPr>
          <w:lang w:val="pt-BR"/>
        </w:rPr>
        <w:t>–</w:t>
      </w:r>
      <w:r w:rsidRPr="003C14F6">
        <w:rPr>
          <w:lang w:val="pt-BR"/>
        </w:rPr>
        <w:t xml:space="preserve"> lidas em conjunto com a Resolução n.º 23.733/2024, no que toca ao tempo processual </w:t>
      </w:r>
      <w:r w:rsidR="003C14F6">
        <w:rPr>
          <w:lang w:val="pt-BR"/>
        </w:rPr>
        <w:t>–</w:t>
      </w:r>
      <w:r w:rsidRPr="003C14F6">
        <w:rPr>
          <w:lang w:val="pt-BR"/>
        </w:rPr>
        <w:t xml:space="preserve"> configuram mera execução de comandos legais preexistentes ou inovação normativa primária incompatível com a reserva de lei em matéria eleitoral. O desenho metodológico combina reconstrução jurídico-institucional da competência normativa do TSE, dogmática constitucional e eleitoral dos limites ao infralegal e análise documental qualitativa do corpus normativo, mediante mapeamento “dispositivo-fundamento”. Para operacionalizar o controle, propõe-se o Teste de Formalidade &amp; Materialidade (TFM), instrumento analítico estruturado em seis filtros: competência, vedação à inovação, anualidade, proporcionalidade, tipicidade sancionatória e legitimidade procedimental. Os achados indicam que a espinha dorsal das resoluções de 2024 se apoia em bases legais identificáveis e atua, em larga medida, como densificação executiva de comandos já presentes no Código Eleitoral, na Lei n.º 9.504/1997 e na LC n.º 64/1990. Os pontos de maior tensão concentram-se na rotulagem obrigatória de conteúdo sintético gerado por IA e na compressão do tempo processual para resposta a danos informacionais de rápida irreversibilidade. Conclui-se que a estratégia do TSE é funcional como arquitetura regulatória de emergência orientada à proteção da integridade eleitoral, mas sua permanência exige base legal mais densa, deveres de </w:t>
      </w:r>
      <w:r w:rsidRPr="00CC11D6">
        <w:rPr>
          <w:i/>
          <w:iCs/>
          <w:lang w:val="pt-BR"/>
        </w:rPr>
        <w:t>accountability</w:t>
      </w:r>
      <w:r w:rsidRPr="003C14F6">
        <w:rPr>
          <w:lang w:val="pt-BR"/>
        </w:rPr>
        <w:t xml:space="preserve"> </w:t>
      </w:r>
      <w:r w:rsidRPr="00CC11D6">
        <w:rPr>
          <w:i/>
          <w:iCs/>
          <w:lang w:val="pt-BR"/>
        </w:rPr>
        <w:t>ex ante</w:t>
      </w:r>
      <w:r w:rsidRPr="003C14F6">
        <w:rPr>
          <w:lang w:val="pt-BR"/>
        </w:rPr>
        <w:t xml:space="preserve">, métricas de avaliação </w:t>
      </w:r>
      <w:r w:rsidRPr="00CC11D6">
        <w:rPr>
          <w:i/>
          <w:iCs/>
          <w:lang w:val="pt-BR"/>
        </w:rPr>
        <w:t>ex post</w:t>
      </w:r>
      <w:r w:rsidRPr="003C14F6">
        <w:rPr>
          <w:lang w:val="pt-BR"/>
        </w:rPr>
        <w:t xml:space="preserve"> e salvaguardas procedimentais reforçadas.</w:t>
      </w:r>
    </w:p>
    <w:p w14:paraId="6A5C1BBC" w14:textId="77777777" w:rsidR="000C1E4F" w:rsidRPr="003C14F6" w:rsidRDefault="00FE4F34">
      <w:pPr>
        <w:pStyle w:val="SectionHeading"/>
        <w:spacing w:before="240" w:after="160" w:line="240" w:lineRule="auto"/>
        <w:jc w:val="center"/>
        <w:rPr>
          <w:lang w:val="pt-BR"/>
        </w:rPr>
      </w:pPr>
      <w:r w:rsidRPr="003C14F6">
        <w:rPr>
          <w:lang w:val="pt-BR"/>
        </w:rPr>
        <w:t>PALAVRAS-CHAVE</w:t>
      </w:r>
    </w:p>
    <w:p w14:paraId="6AA0E1CC" w14:textId="77777777" w:rsidR="000C1E4F" w:rsidRPr="003C14F6" w:rsidRDefault="00FE4F34">
      <w:pPr>
        <w:spacing w:after="160"/>
        <w:rPr>
          <w:lang w:val="pt-BR"/>
        </w:rPr>
      </w:pPr>
      <w:r w:rsidRPr="003C14F6">
        <w:rPr>
          <w:lang w:val="pt-BR"/>
        </w:rPr>
        <w:t>integridade eleitoral; direito e políticas públicas; Tribunal Superior Eleitoral; regulação digital; inteligência artificial.</w:t>
      </w:r>
    </w:p>
    <w:p w14:paraId="39033B88" w14:textId="77777777" w:rsidR="000C1E4F" w:rsidRPr="003C14F6" w:rsidRDefault="00FE4F34">
      <w:pPr>
        <w:pStyle w:val="SectionHeading"/>
        <w:spacing w:before="240" w:after="160" w:line="240" w:lineRule="auto"/>
        <w:jc w:val="center"/>
        <w:rPr>
          <w:lang w:val="pt-BR"/>
        </w:rPr>
      </w:pPr>
      <w:r w:rsidRPr="003C14F6">
        <w:rPr>
          <w:lang w:val="pt-BR"/>
        </w:rPr>
        <w:t>INTRODUÇÃO</w:t>
      </w:r>
    </w:p>
    <w:p w14:paraId="4C0FA3E0" w14:textId="66BEF086" w:rsidR="000C1E4F" w:rsidRPr="003C14F6" w:rsidRDefault="00FE4F34">
      <w:pPr>
        <w:spacing w:after="120"/>
        <w:ind w:firstLine="709"/>
        <w:jc w:val="both"/>
        <w:rPr>
          <w:lang w:val="pt-BR"/>
        </w:rPr>
      </w:pPr>
      <w:r w:rsidRPr="003C14F6">
        <w:rPr>
          <w:lang w:val="pt-BR"/>
        </w:rPr>
        <w:t xml:space="preserve">A integridade eleitoral deixou de ser um problema exclusivamente associado à logística do voto para converter-se, cada vez mais, em problema de governança informacional. A disputa </w:t>
      </w:r>
      <w:r w:rsidRPr="003C14F6">
        <w:rPr>
          <w:lang w:val="pt-BR"/>
        </w:rPr>
        <w:lastRenderedPageBreak/>
        <w:t>política não se realiza apenas no espaço institucionalizado da propaganda tradicional, do horário eleitoral ou do debate presencial; é mediada por ecossistemas de plataforma estruturados por mecanismos de recomendação pouco transparentes, por redes de mensageria de alta capilaridade, por automação de perfis e por mercados artificiais de engajamento. Nesse ambiente, a circulação de conteúdos politicamente relevantes já não depende apenas de sua veracidade, relevância pública ou densidade argumentativa, mas de dinâmicas assimétricas de atenção, enquadramento e velocidade (Simon, 1971; Gillespie, 2014). A opacidade desses circuitos algorítmicos, amplamente discutida na literatura contemporânea, produz efeitos concretos sobre a hierarquização da visibilidade e sobre as próprias estratégias de produção comunicativa (Burrell, 2016; Bucher, 2017; Pasquale, 2015; Walter; Friesike, 2025; Ananny; Crawford, 2018).</w:t>
      </w:r>
    </w:p>
    <w:p w14:paraId="0F0EAF8E" w14:textId="1A4DB925" w:rsidR="000C1E4F" w:rsidRPr="003C14F6" w:rsidRDefault="00FE4F34">
      <w:pPr>
        <w:spacing w:after="120"/>
        <w:ind w:firstLine="709"/>
        <w:jc w:val="both"/>
        <w:rPr>
          <w:lang w:val="pt-BR"/>
        </w:rPr>
      </w:pPr>
      <w:r w:rsidRPr="003C14F6">
        <w:rPr>
          <w:lang w:val="pt-BR"/>
        </w:rPr>
        <w:t xml:space="preserve">A inteligência artificial generativa agudiza esse quadro. Ao reduzir custos de produção, ampliar escala e elevar o realismo de peças sintéticas </w:t>
      </w:r>
      <w:r w:rsidR="00871BA2">
        <w:rPr>
          <w:lang w:val="pt-BR"/>
        </w:rPr>
        <w:t>–</w:t>
      </w:r>
      <w:r w:rsidRPr="003C14F6">
        <w:rPr>
          <w:lang w:val="pt-BR"/>
        </w:rPr>
        <w:t xml:space="preserve"> inclusive em formatos audiovisuais </w:t>
      </w:r>
      <w:r w:rsidR="00871BA2">
        <w:rPr>
          <w:lang w:val="pt-BR"/>
        </w:rPr>
        <w:t>–</w:t>
      </w:r>
      <w:r w:rsidRPr="003C14F6">
        <w:rPr>
          <w:lang w:val="pt-BR"/>
        </w:rPr>
        <w:t>,</w:t>
      </w:r>
      <w:r w:rsidR="00871BA2">
        <w:rPr>
          <w:lang w:val="pt-BR"/>
        </w:rPr>
        <w:t xml:space="preserve"> </w:t>
      </w:r>
      <w:r w:rsidRPr="003C14F6">
        <w:rPr>
          <w:lang w:val="pt-BR"/>
        </w:rPr>
        <w:t xml:space="preserve">torna mais barata e mais eficiente a fabricação de engano político. </w:t>
      </w:r>
      <w:r w:rsidRPr="00871BA2">
        <w:rPr>
          <w:i/>
          <w:iCs/>
          <w:lang w:val="pt-BR"/>
        </w:rPr>
        <w:t>Deepfakes</w:t>
      </w:r>
      <w:r w:rsidRPr="003C14F6">
        <w:rPr>
          <w:lang w:val="pt-BR"/>
        </w:rPr>
        <w:t xml:space="preserve">, dublagens sintéticas, montagens </w:t>
      </w:r>
      <w:r w:rsidR="00871BA2" w:rsidRPr="003C14F6">
        <w:rPr>
          <w:lang w:val="pt-BR"/>
        </w:rPr>
        <w:t>hiper-realistas</w:t>
      </w:r>
      <w:r w:rsidRPr="003C14F6">
        <w:rPr>
          <w:lang w:val="pt-BR"/>
        </w:rPr>
        <w:t xml:space="preserve"> e conteúdos textuais automatizados deslocam o problema eleitoral de uma gramática centrada em ilícitos episódicos para outra, mais exigente, voltada a riscos cumulativos de degradação do ambiente informacional. Trata-se menos de um universo composto por mensagens isoladas e mais de uma infraestrutura comunicacional capaz de erodir confiança, perturbar critérios públicos de verificação e reorganizar incentivos de campanhas, plataformas e eleitores.</w:t>
      </w:r>
    </w:p>
    <w:p w14:paraId="417192A2" w14:textId="5E6C67DD" w:rsidR="000C1E4F" w:rsidRPr="003C14F6" w:rsidRDefault="00FE4F34">
      <w:pPr>
        <w:spacing w:after="120"/>
        <w:ind w:firstLine="709"/>
        <w:jc w:val="both"/>
        <w:rPr>
          <w:lang w:val="pt-BR"/>
        </w:rPr>
      </w:pPr>
      <w:r w:rsidRPr="003C14F6">
        <w:rPr>
          <w:lang w:val="pt-BR"/>
        </w:rPr>
        <w:t xml:space="preserve">Na análise de políticas públicas, essa mudança de foco reencontra uma intuição clássica. Políticas não são respostas neutras a necessidades objetivas previamente dadas; são processos orientados por problemas, permeados por disputas em torno de valores, poder e conhecimento, que moldam simultaneamente a definição do que contará como “problema público” e a seleção dos instrumentos considerados legítimos para enfrentá-lo (Lasswell, 1951; Lasswell, 1971). A literatura do campo, em suas várias inflexões, converge em reconhecer políticas públicas como cursos de ação </w:t>
      </w:r>
      <w:r w:rsidR="006C1B6B">
        <w:rPr>
          <w:lang w:val="pt-BR"/>
        </w:rPr>
        <w:t>–</w:t>
      </w:r>
      <w:r w:rsidRPr="003C14F6">
        <w:rPr>
          <w:lang w:val="pt-BR"/>
        </w:rPr>
        <w:t xml:space="preserve"> e também de inação </w:t>
      </w:r>
      <w:r w:rsidR="006C1B6B">
        <w:rPr>
          <w:lang w:val="pt-BR"/>
        </w:rPr>
        <w:t>–</w:t>
      </w:r>
      <w:r w:rsidRPr="003C14F6">
        <w:rPr>
          <w:lang w:val="pt-BR"/>
        </w:rPr>
        <w:t xml:space="preserve"> estatal materializados por escolhas, instrumentos e arranjos institucionais (Dye, 2017; Souza, 2006; Secchi; Coelho; Pires, 2019). No âmbito do Direito e Políticas Públicas (DPP), porém, a questão ganha </w:t>
      </w:r>
      <w:r w:rsidR="006C1B6B">
        <w:rPr>
          <w:lang w:val="pt-BR"/>
        </w:rPr>
        <w:t>contornos</w:t>
      </w:r>
      <w:r w:rsidRPr="003C14F6">
        <w:rPr>
          <w:lang w:val="pt-BR"/>
        </w:rPr>
        <w:t xml:space="preserve"> </w:t>
      </w:r>
      <w:r w:rsidR="006C1B6B">
        <w:rPr>
          <w:lang w:val="pt-BR"/>
        </w:rPr>
        <w:t>adicionais</w:t>
      </w:r>
      <w:r w:rsidRPr="003C14F6">
        <w:rPr>
          <w:lang w:val="pt-BR"/>
        </w:rPr>
        <w:t xml:space="preserve"> de dificuldade: não basta perguntar quais respostas são funcionalmente adequadas; é </w:t>
      </w:r>
      <w:r w:rsidR="006C1B6B">
        <w:rPr>
          <w:lang w:val="pt-BR"/>
        </w:rPr>
        <w:t>necessário</w:t>
      </w:r>
      <w:r w:rsidRPr="003C14F6">
        <w:rPr>
          <w:lang w:val="pt-BR"/>
        </w:rPr>
        <w:t xml:space="preserve"> indagar quais delas são juridicamente admissíveis, por quais vias podem ser produzidas e sob quais limites democráticos podem operar (Bucci, 2021; Coutinho, 2013).</w:t>
      </w:r>
    </w:p>
    <w:p w14:paraId="3D132599" w14:textId="77777777" w:rsidR="000C1E4F" w:rsidRPr="003C14F6" w:rsidRDefault="00FE4F34">
      <w:pPr>
        <w:spacing w:after="120"/>
        <w:ind w:firstLine="709"/>
        <w:jc w:val="both"/>
        <w:rPr>
          <w:lang w:val="pt-BR"/>
        </w:rPr>
      </w:pPr>
      <w:r w:rsidRPr="003C14F6">
        <w:rPr>
          <w:lang w:val="pt-BR"/>
        </w:rPr>
        <w:t>Essa dificuldade se intensifica quando o problema exige rapidez institucional e, simultaneamente, toca o próprio desenho da competição eleitoral. Regular desinformação, IA e circulação de conteúdo político em período eleitoral significa, em larga medida, regular as condições do jogo democrático. Nesse contexto, urgência e autocontenção passam a conviver em tensão permanente. De um lado, o legislador enfrenta incentivos concretos para a inércia: a matéria é polarizada, tecnologicamente mutável e potencialmente onerosa para os próprios atores políticos. De outro, a ausência de resposta pode tornar o sistema incapaz de reagir a danos informacionais que se consumam antes mesmo de a tutela jurisdicional ordinária se completar.</w:t>
      </w:r>
    </w:p>
    <w:p w14:paraId="229622C5" w14:textId="1FDB0B14" w:rsidR="000C1E4F" w:rsidRPr="003C14F6" w:rsidRDefault="00FE4F34">
      <w:pPr>
        <w:spacing w:after="120"/>
        <w:ind w:firstLine="709"/>
        <w:jc w:val="both"/>
        <w:rPr>
          <w:lang w:val="pt-BR"/>
        </w:rPr>
      </w:pPr>
      <w:r w:rsidRPr="003C14F6">
        <w:rPr>
          <w:lang w:val="pt-BR"/>
        </w:rPr>
        <w:lastRenderedPageBreak/>
        <w:t xml:space="preserve">É justamente nessa zona de tensão que se insere o Tribunal Superior Eleitoral. Como órgão de cúpula de uma Justiça Eleitoral que acumula funções jurisdicionais, administrativas e </w:t>
      </w:r>
      <w:r w:rsidR="00766B22">
        <w:rPr>
          <w:lang w:val="pt-BR"/>
        </w:rPr>
        <w:t>organizacionais</w:t>
      </w:r>
      <w:r w:rsidRPr="003C14F6">
        <w:rPr>
          <w:lang w:val="pt-BR"/>
        </w:rPr>
        <w:t xml:space="preserve">, o TSE não apenas decide litígios; também estrutura, padroniza e operacionaliza o processo eleitoral. No ciclo normativo de 2024, a Corte editou a Resolução n.º 23.732/2024, que alterou a Resolução n.º 23.610/2019 para disciplinar propaganda eleitoral, inclusive no tocante a uso de inteligência artificial, rotulagem de conteúdo sintético e vedação de </w:t>
      </w:r>
      <w:r w:rsidRPr="00766B22">
        <w:rPr>
          <w:i/>
          <w:iCs/>
          <w:lang w:val="pt-BR"/>
        </w:rPr>
        <w:t>deepfakes</w:t>
      </w:r>
      <w:r w:rsidRPr="003C14F6">
        <w:rPr>
          <w:lang w:val="pt-BR"/>
        </w:rPr>
        <w:t>; editou, ainda, a Resolução n.º 23.735/2024, que dispõe sobre ilícitos eleitorais; e, em paralelo, a Resolução n.º 23.733/2024, que alterou o regime das representações, reclamações e pedidos de direito de resposta, com impacto sobre a celeridade processual. Em conjunto, tais atos compõem uma resposta regulatória de alta intensidade institucional a um problema percebido como estruturalmente ameaçador à integridade do pleito.</w:t>
      </w:r>
    </w:p>
    <w:p w14:paraId="74C09E47" w14:textId="13117033" w:rsidR="000C1E4F" w:rsidRPr="003C14F6" w:rsidRDefault="00FE4F34">
      <w:pPr>
        <w:spacing w:after="120"/>
        <w:ind w:firstLine="709"/>
        <w:jc w:val="both"/>
        <w:rPr>
          <w:lang w:val="pt-BR"/>
        </w:rPr>
      </w:pPr>
      <w:r w:rsidRPr="003C14F6">
        <w:rPr>
          <w:lang w:val="pt-BR"/>
        </w:rPr>
        <w:t>O ponto controvertido, entretanto, não reside apenas no conteúdo material das medidas, mas no estatuto jurídico de sua produção. Em que medida tais resoluções representam mera densificação e execução de comandos já presentes em lei, tornando operacionais cláusulas abertas do direito eleitoral, e em que medida ultrapassam esse limite para criar obrigações, restrições ou efeitos primários que dependeriam de lei formal? A pergunta não é periférica. Envolve legalidade, anualidade eleitoral, liberdade de expressão, tipicidade sancionatória, devido processo e legitimidade procedimental do regulador.</w:t>
      </w:r>
    </w:p>
    <w:p w14:paraId="1C850B46" w14:textId="77777777" w:rsidR="000C1E4F" w:rsidRPr="003C14F6" w:rsidRDefault="00FE4F34">
      <w:pPr>
        <w:spacing w:after="120"/>
        <w:ind w:firstLine="709"/>
        <w:jc w:val="both"/>
        <w:rPr>
          <w:lang w:val="pt-BR"/>
        </w:rPr>
      </w:pPr>
      <w:r w:rsidRPr="003C14F6">
        <w:rPr>
          <w:lang w:val="pt-BR"/>
        </w:rPr>
        <w:t>O problema de pesquisa pode ser formulado, assim, nos seguintes termos: as resoluções do TSE sobre propaganda, ilícitos eleitorais e resposta processual célere no ciclo de 2024 constituem atos normativos infralegais de execução compatíveis com a ordem constitucional-eleitoral, ou traduzem inovação normativa primária em matéria sujeita à reserva legal? A hipótese de trabalho sustentada neste relato é dupla. Em sua espinha dorsal, as resoluções operam predominantemente como regulação infralegal de execução, sobretudo porque densificam comandos legais já existentes e se apoiam em bases habilitadoras identificáveis. Não obstante, alguns núcleos normativos funcionam como casos-limite e exigem interpretação estrita, fundamentação reforçada e desenho procedimental particularmente cuidadoso.</w:t>
      </w:r>
    </w:p>
    <w:p w14:paraId="370E2B1C" w14:textId="77777777" w:rsidR="000C1E4F" w:rsidRPr="003C14F6" w:rsidRDefault="00FE4F34">
      <w:pPr>
        <w:spacing w:after="120"/>
        <w:ind w:firstLine="709"/>
        <w:jc w:val="both"/>
        <w:rPr>
          <w:lang w:val="pt-BR"/>
        </w:rPr>
      </w:pPr>
      <w:r w:rsidRPr="003C14F6">
        <w:rPr>
          <w:lang w:val="pt-BR"/>
        </w:rPr>
        <w:t>Com base nisso, o objetivo do estudo é triplo: reconstruir o arranjo jurídico-institucional que habilita e limita a competência normativa do TSE; propor um instrumento analítico capaz de distinguir, de modo controlável, execução legítima de inovação vedada; e, por fim, oferecer parâmetros institucionais para uma política pública de integridade eleitoral que preserve a capacidade de resposta sem deteriorar a legalidade democrática. O instrumento analítico proposto recebe o nome de Teste de Formalidade &amp; Materialidade (TFM).</w:t>
      </w:r>
    </w:p>
    <w:p w14:paraId="3598B13B" w14:textId="77777777" w:rsidR="000C1E4F" w:rsidRPr="003C14F6" w:rsidRDefault="00FE4F34">
      <w:pPr>
        <w:pStyle w:val="SectionHeading"/>
        <w:spacing w:before="240" w:after="160" w:line="240" w:lineRule="auto"/>
        <w:jc w:val="center"/>
        <w:rPr>
          <w:lang w:val="pt-BR"/>
        </w:rPr>
      </w:pPr>
      <w:r w:rsidRPr="003C14F6">
        <w:rPr>
          <w:lang w:val="pt-BR"/>
        </w:rPr>
        <w:t>MÉTODO</w:t>
      </w:r>
    </w:p>
    <w:p w14:paraId="3DD3F907" w14:textId="77777777" w:rsidR="000C1E4F" w:rsidRPr="003C14F6" w:rsidRDefault="00FE4F34">
      <w:pPr>
        <w:spacing w:after="120"/>
        <w:ind w:firstLine="709"/>
        <w:jc w:val="both"/>
        <w:rPr>
          <w:lang w:val="pt-BR"/>
        </w:rPr>
      </w:pPr>
      <w:r w:rsidRPr="003C14F6">
        <w:rPr>
          <w:lang w:val="pt-BR"/>
        </w:rPr>
        <w:t>A pesquisa adota desenho qualitativo, de natureza jurídico-institucional e documental. Seu eixo central não é mensurar empiricamente o comportamento do eleitorado, mas examinar o desenho normativo da resposta estatal, seus fundamentos jurídicos e seus limites constitucionais. Em razão disso, o método combina três planos articulados.</w:t>
      </w:r>
    </w:p>
    <w:p w14:paraId="08055E28" w14:textId="77777777" w:rsidR="000C1E4F" w:rsidRPr="003C14F6" w:rsidRDefault="00FE4F34">
      <w:pPr>
        <w:spacing w:after="120"/>
        <w:ind w:firstLine="709"/>
        <w:jc w:val="both"/>
        <w:rPr>
          <w:lang w:val="pt-BR"/>
        </w:rPr>
      </w:pPr>
      <w:r w:rsidRPr="003C14F6">
        <w:rPr>
          <w:lang w:val="pt-BR"/>
        </w:rPr>
        <w:lastRenderedPageBreak/>
        <w:t xml:space="preserve">O primeiro plano é reconstrutivo. Parte-se do mapeamento das bases legais da competência normativa do TSE: o art. 23, IX, do Código Eleitoral, que autoriza o Tribunal a expedir instruções para a fiel execução do Código; o art. 105 da Lei n.º 9.504/1997, que permite a expedição de instruções para sua execução, mas veda restrição de direitos e estabelecimento de sanções distintas das previstas na própria lei; e o art. 23-A do Código Eleitoral, introduzido pela Lei n.º 14.211/2021, que reforça o caráter executório e limitado desse poder normativo. Não se trata apenas de listar fontes. O objetivo é reconstruir o </w:t>
      </w:r>
      <w:r w:rsidRPr="00780170">
        <w:rPr>
          <w:lang w:val="pt-BR"/>
        </w:rPr>
        <w:t>“corredor”</w:t>
      </w:r>
      <w:r w:rsidRPr="003C14F6">
        <w:rPr>
          <w:lang w:val="pt-BR"/>
        </w:rPr>
        <w:t xml:space="preserve"> jurídico pelo qual a atuação normativa do TSE pode transitar sem se converter em produção primária de direito.</w:t>
      </w:r>
    </w:p>
    <w:p w14:paraId="50F9EB7D" w14:textId="2132FA9F" w:rsidR="000C1E4F" w:rsidRPr="003C14F6" w:rsidRDefault="00FE4F34">
      <w:pPr>
        <w:spacing w:after="120"/>
        <w:ind w:firstLine="709"/>
        <w:jc w:val="both"/>
        <w:rPr>
          <w:lang w:val="pt-BR"/>
        </w:rPr>
      </w:pPr>
      <w:r w:rsidRPr="003C14F6">
        <w:rPr>
          <w:lang w:val="pt-BR"/>
        </w:rPr>
        <w:t xml:space="preserve">O segundo plano é dogmático. Mobiliza-se a dogmática constitucional e eleitoral para delinear filtros de validade formal e material dos atos infralegais. São especialmente relevantes, aqui, o princípio da legalidade (CF, art. 5.º, II), a anualidade eleitoral (CF, art. 16), o devido processo legal e suas projeções de contraditório e ampla defesa (CF, art. 5.º, LIV e LV), a exigência de tipicidade </w:t>
      </w:r>
      <w:r w:rsidRPr="00780170">
        <w:rPr>
          <w:lang w:val="pt-BR"/>
        </w:rPr>
        <w:t>sancionatória</w:t>
      </w:r>
      <w:r w:rsidRPr="003C14F6">
        <w:rPr>
          <w:lang w:val="pt-BR"/>
        </w:rPr>
        <w:t xml:space="preserve"> em sentido amplo e a proporcionalidade como técnica de justificação de restrições a direitos fundamentais (Silva, 2002; Alexy, 2008). O diálogo com DPP permite recolocar esses limites dentro de uma análise de desenho institucional</w:t>
      </w:r>
      <w:r w:rsidR="00DF08BB">
        <w:rPr>
          <w:lang w:val="pt-BR"/>
        </w:rPr>
        <w:t xml:space="preserve"> no qual</w:t>
      </w:r>
      <w:r w:rsidRPr="003C14F6">
        <w:rPr>
          <w:lang w:val="pt-BR"/>
        </w:rPr>
        <w:t xml:space="preserve"> competências, procedimentos, instrumentos, capacidades e controles não aparecem como detalhes externos ao problema, mas como componentes da própria política pública em exame (Bucci, 2021; Coutinho, 2013).</w:t>
      </w:r>
    </w:p>
    <w:p w14:paraId="1ECBF4C7" w14:textId="77777777" w:rsidR="000C1E4F" w:rsidRPr="003C14F6" w:rsidRDefault="00FE4F34">
      <w:pPr>
        <w:spacing w:after="120"/>
        <w:ind w:firstLine="709"/>
        <w:jc w:val="both"/>
        <w:rPr>
          <w:lang w:val="pt-BR"/>
        </w:rPr>
      </w:pPr>
      <w:r w:rsidRPr="003C14F6">
        <w:rPr>
          <w:lang w:val="pt-BR"/>
        </w:rPr>
        <w:t>O terceiro plano é documental-analítico. O corpus principal é composto pelas Resoluções TSE n.º 23.610/2019, n.º 23.714/2022, n.º 23.732/2024, n.º 23.733/2024 e n.º 23.735/2024, além de atos e documentos correlatos utilizados para contextualização interpretativa. A estratégia consistiu em identificar, para cada núcleo normativo sensível, três elementos: o comando produzido, a base legal invocável e o efeito regulatório correspondente. Em seguida, cada núcleo foi submetido ao TFM, concebido como instrumento analítico de operacionalização do controle da normatividade infralegal.</w:t>
      </w:r>
    </w:p>
    <w:p w14:paraId="117A2C05" w14:textId="5287AFB2" w:rsidR="000C1E4F" w:rsidRPr="003C14F6" w:rsidRDefault="00FE4F34">
      <w:pPr>
        <w:spacing w:after="120"/>
        <w:ind w:firstLine="709"/>
        <w:jc w:val="both"/>
        <w:rPr>
          <w:lang w:val="pt-BR"/>
        </w:rPr>
      </w:pPr>
      <w:r w:rsidRPr="003C14F6">
        <w:rPr>
          <w:lang w:val="pt-BR"/>
        </w:rPr>
        <w:t>O TFM não pretende substituir a argumentação jurídica; pretende organizá-la. Seu propósito é reduzir impressionismo e tornar comparáveis juízos sobre validade normativa. O teste se desdobra em seis filtros: (F1) competência formal; (F2) vedação à inovação normativa primária; (F3) anualidade</w:t>
      </w:r>
      <w:r w:rsidR="00F64105">
        <w:rPr>
          <w:lang w:val="pt-BR"/>
        </w:rPr>
        <w:t xml:space="preserve"> eleitoral</w:t>
      </w:r>
      <w:r w:rsidRPr="003C14F6">
        <w:rPr>
          <w:lang w:val="pt-BR"/>
        </w:rPr>
        <w:t>; (F4) proporcionalidade; (F5) tipicidade sancionatória; e (F6) legitimidade procedimental. Em vez de classificar o ato como válido ou inválido “em bloco”, o instrumento examina zonas de maior ou menor tensão, permitindo aferição granular.</w:t>
      </w:r>
    </w:p>
    <w:p w14:paraId="16F7785C" w14:textId="77777777" w:rsidR="000C1E4F" w:rsidRPr="003C14F6" w:rsidRDefault="00FE4F34">
      <w:pPr>
        <w:spacing w:after="120"/>
        <w:ind w:firstLine="709"/>
        <w:jc w:val="both"/>
        <w:rPr>
          <w:lang w:val="pt-BR"/>
        </w:rPr>
      </w:pPr>
      <w:r w:rsidRPr="003C14F6">
        <w:rPr>
          <w:lang w:val="pt-BR"/>
        </w:rPr>
        <w:t>Como estratégia de controle externo da análise, os resultados foram postos em diálogo com dois referenciais adicionais. O primeiro é a ADI 7261, em que o Supremo Tribunal Federal enfrentou a constitucionalidade da Resolução TSE n.º 23.714/2022 sobre enfrentamento à desinformação eleitoral. O segundo é a experiência regulatória do Conselho Nacional de Justiça com inteligência artificial, em especial a passagem da Resolução n.º 332/2020 para a Resolução n.º 615/2025. O objetivo desse cotejo não é transplantar modelos, mas observar como outras instâncias do sistema de justiça lidaram com a tensão entre urgência tecnológica, princípios, governança, auditabilidade e supervisão humana.</w:t>
      </w:r>
    </w:p>
    <w:p w14:paraId="2ED13245" w14:textId="3AEFCA29" w:rsidR="000C1E4F" w:rsidRDefault="00FE4F34">
      <w:pPr>
        <w:spacing w:after="120"/>
        <w:ind w:firstLine="709"/>
        <w:jc w:val="both"/>
        <w:rPr>
          <w:lang w:val="pt-BR"/>
        </w:rPr>
      </w:pPr>
      <w:r w:rsidRPr="003C14F6">
        <w:rPr>
          <w:lang w:val="pt-BR"/>
        </w:rPr>
        <w:lastRenderedPageBreak/>
        <w:t xml:space="preserve">A escolha metodológica implica limites </w:t>
      </w:r>
      <w:r w:rsidR="001D6160">
        <w:rPr>
          <w:lang w:val="pt-BR"/>
        </w:rPr>
        <w:t>nítidos</w:t>
      </w:r>
      <w:r w:rsidRPr="003C14F6">
        <w:rPr>
          <w:lang w:val="pt-BR"/>
        </w:rPr>
        <w:t xml:space="preserve">. </w:t>
      </w:r>
      <w:r w:rsidR="001D6160">
        <w:rPr>
          <w:lang w:val="pt-BR"/>
        </w:rPr>
        <w:t>O</w:t>
      </w:r>
      <w:r w:rsidRPr="003C14F6">
        <w:rPr>
          <w:lang w:val="pt-BR"/>
        </w:rPr>
        <w:t xml:space="preserve"> relato não estima causalmente efeitos eleitorais da desinformação nem mensura quantitativamente a incidência de remoções, impugnações ou decisões judiciais. Seu foco é reconstruir a validade e o desenho institucional de uma resposta regulatória específica. Em compensação, o método oferece alta aderência ao problema jurídico do trabalho e permite formular critérios de controle relevantes tanto para análise acadêmica quanto para aperfeiçoamento institucional.</w:t>
      </w:r>
    </w:p>
    <w:p w14:paraId="33138359" w14:textId="77777777" w:rsidR="005C38D3" w:rsidRDefault="005C38D3">
      <w:pPr>
        <w:spacing w:after="120"/>
        <w:ind w:firstLine="709"/>
        <w:jc w:val="both"/>
        <w:rPr>
          <w:lang w:val="pt-BR"/>
        </w:rPr>
      </w:pPr>
    </w:p>
    <w:p w14:paraId="3E157401" w14:textId="0A35F790" w:rsidR="00603735" w:rsidRPr="005C38D3" w:rsidRDefault="005C38D3" w:rsidP="00603735">
      <w:pPr>
        <w:spacing w:after="120"/>
        <w:jc w:val="center"/>
        <w:rPr>
          <w:b/>
          <w:bCs/>
          <w:lang w:val="pt-BR"/>
        </w:rPr>
      </w:pPr>
      <w:r w:rsidRPr="005C38D3">
        <w:rPr>
          <w:b/>
          <w:bCs/>
          <w:lang w:val="pt-BR"/>
        </w:rPr>
        <w:t>FUNDAMENTAÇÃO TEÓRICA</w:t>
      </w:r>
    </w:p>
    <w:p w14:paraId="2A825A88" w14:textId="77777777" w:rsidR="000C1E4F" w:rsidRPr="003C14F6" w:rsidRDefault="00FE4F34" w:rsidP="005C38D3">
      <w:pPr>
        <w:pStyle w:val="SubHeading"/>
        <w:spacing w:before="200" w:after="80" w:line="240" w:lineRule="auto"/>
        <w:jc w:val="both"/>
        <w:rPr>
          <w:lang w:val="pt-BR"/>
        </w:rPr>
      </w:pPr>
      <w:r w:rsidRPr="003C14F6">
        <w:rPr>
          <w:lang w:val="pt-BR"/>
        </w:rPr>
        <w:t>1. POLÍTICAS PÚBLICAS, DPP E REGULAÇÃO DE RISCO DEMOCRÁTICO</w:t>
      </w:r>
    </w:p>
    <w:p w14:paraId="65D7E899" w14:textId="22EC73E2" w:rsidR="000C1E4F" w:rsidRPr="003C14F6" w:rsidRDefault="00FE4F34">
      <w:pPr>
        <w:spacing w:after="120"/>
        <w:ind w:firstLine="709"/>
        <w:jc w:val="both"/>
        <w:rPr>
          <w:lang w:val="pt-BR"/>
        </w:rPr>
      </w:pPr>
      <w:r w:rsidRPr="003C14F6">
        <w:rPr>
          <w:lang w:val="pt-BR"/>
        </w:rPr>
        <w:t>A noção de política pública mobilizada neste trabalho não é minimalista a ponto de reduzir o Estado a um simples produtor de normas, nem tão aberta que perca capacidade operacional. A definição de Dye (2017) continua útil como ponto de partida</w:t>
      </w:r>
      <w:r w:rsidR="003F7E57">
        <w:rPr>
          <w:lang w:val="pt-BR"/>
        </w:rPr>
        <w:t>, ou seja, pensa-se em</w:t>
      </w:r>
      <w:r w:rsidRPr="003C14F6">
        <w:rPr>
          <w:lang w:val="pt-BR"/>
        </w:rPr>
        <w:t xml:space="preserve"> políticas públicas </w:t>
      </w:r>
      <w:r w:rsidR="003F7E57">
        <w:rPr>
          <w:lang w:val="pt-BR"/>
        </w:rPr>
        <w:t>como</w:t>
      </w:r>
      <w:r w:rsidRPr="003C14F6">
        <w:rPr>
          <w:lang w:val="pt-BR"/>
        </w:rPr>
        <w:t xml:space="preserve"> aquilo que o governo escolhe fazer ou não fazer. Sua força está em recordar que a omissão também é politicamente estruturante. Em matéria de integridade eleitoral digital, essa observação é </w:t>
      </w:r>
      <w:r w:rsidR="003F7E57">
        <w:rPr>
          <w:lang w:val="pt-BR"/>
        </w:rPr>
        <w:t>importantíssima</w:t>
      </w:r>
      <w:r w:rsidRPr="003C14F6">
        <w:rPr>
          <w:lang w:val="pt-BR"/>
        </w:rPr>
        <w:t>. Não regular a circulação estratégica do engano, a rotulagem de conteúdo sintético ou os deveres mínimos de transparência não representa neutralidade; representa opção institucional com efeitos distribuídos sobre campanhas, plataformas e eleitorado.</w:t>
      </w:r>
    </w:p>
    <w:p w14:paraId="27032394" w14:textId="2442EBFB" w:rsidR="000C1E4F" w:rsidRPr="003C14F6" w:rsidRDefault="00FE4F34">
      <w:pPr>
        <w:spacing w:after="120"/>
        <w:ind w:firstLine="709"/>
        <w:jc w:val="both"/>
        <w:rPr>
          <w:lang w:val="pt-BR"/>
        </w:rPr>
      </w:pPr>
      <w:r w:rsidRPr="003C14F6">
        <w:rPr>
          <w:lang w:val="pt-BR"/>
        </w:rPr>
        <w:t xml:space="preserve">Todavia, a descrição do fenômeno exige ir além dessa formulação. Lasswell (1951; 1971) já </w:t>
      </w:r>
      <w:r w:rsidR="00B652CE">
        <w:rPr>
          <w:lang w:val="pt-BR"/>
        </w:rPr>
        <w:t>detalhava</w:t>
      </w:r>
      <w:r w:rsidRPr="003C14F6">
        <w:rPr>
          <w:lang w:val="pt-BR"/>
        </w:rPr>
        <w:t xml:space="preserve"> que políticas se organizam em torno de problemas publicamente construídos, cuja definição envolve disputa sobre relevância, causalidade, prioridade e meios. Souza (2006) e Secchi, Coelho e Pires (2019) </w:t>
      </w:r>
      <w:r w:rsidR="00B652CE">
        <w:rPr>
          <w:lang w:val="pt-BR"/>
        </w:rPr>
        <w:t>alertam</w:t>
      </w:r>
      <w:r w:rsidRPr="003C14F6">
        <w:rPr>
          <w:lang w:val="pt-BR"/>
        </w:rPr>
        <w:t>, em registros distintos, que políticas públicas são compostas por atores, instrumentos, arenas e sequências de decisão, ainda que o modelo do ciclo não deva ser tomado como espelho fiel da realidade. Lowi (1972), por sua vez, chama atenção para o fato de que diferentes tipos de política reconfiguram arenas decisórias e padrões de conflito. A integridade eleitoral digital é, por excelência, política regulatória de alta saliência</w:t>
      </w:r>
      <w:r w:rsidR="00B652CE">
        <w:rPr>
          <w:lang w:val="pt-BR"/>
        </w:rPr>
        <w:t>, eis que</w:t>
      </w:r>
      <w:r w:rsidRPr="003C14F6">
        <w:rPr>
          <w:lang w:val="pt-BR"/>
        </w:rPr>
        <w:t xml:space="preserve"> distribui custos, altera incentivos e desloca o conflito para o terreno da definição dos próprios limites da intervenção estatal.</w:t>
      </w:r>
    </w:p>
    <w:p w14:paraId="3E78B11E" w14:textId="37685839" w:rsidR="000C1E4F" w:rsidRPr="003C14F6" w:rsidRDefault="00FE4F34">
      <w:pPr>
        <w:spacing w:after="120"/>
        <w:ind w:firstLine="709"/>
        <w:jc w:val="both"/>
        <w:rPr>
          <w:lang w:val="pt-BR"/>
        </w:rPr>
      </w:pPr>
      <w:r w:rsidRPr="003C14F6">
        <w:rPr>
          <w:lang w:val="pt-BR"/>
        </w:rPr>
        <w:t xml:space="preserve">No campo do DPP, o ponto mais importante é </w:t>
      </w:r>
      <w:r w:rsidR="00C24E99">
        <w:rPr>
          <w:lang w:val="pt-BR"/>
        </w:rPr>
        <w:t>que</w:t>
      </w:r>
      <w:r w:rsidRPr="003C14F6">
        <w:rPr>
          <w:lang w:val="pt-BR"/>
        </w:rPr>
        <w:t xml:space="preserve"> o direito não funciona como simples moldura externa que, depois de a política estar pronta, viria apenas validá-la ou bloqueá-la. </w:t>
      </w:r>
      <w:r w:rsidR="00C24E99">
        <w:rPr>
          <w:lang w:val="pt-BR"/>
        </w:rPr>
        <w:t>Age, na verdade, integrando</w:t>
      </w:r>
      <w:r w:rsidRPr="003C14F6">
        <w:rPr>
          <w:lang w:val="pt-BR"/>
        </w:rPr>
        <w:t xml:space="preserve"> a própria arquitetura da ação estatal. Ao distribuir competências, criar instrumentos, desenhar procedimentos, fixar controles e enunciar garantias, o direito participa constitutivamente da formulação, implementação e avaliação das políticas públicas (Bucci, 2021; Coutinho, 2013). Nessa perspectiva, a pergunta “o TSE pode regular?” nunca é apenas formal</w:t>
      </w:r>
      <w:r w:rsidR="003F237F">
        <w:rPr>
          <w:lang w:val="pt-BR"/>
        </w:rPr>
        <w:t xml:space="preserve">, pois </w:t>
      </w:r>
      <w:r w:rsidRPr="003C14F6">
        <w:rPr>
          <w:lang w:val="pt-BR"/>
        </w:rPr>
        <w:t>envolve desenho institucional, fonte de legitimidade, capacidade decisória, porosidade a razões públicas e mecanismos de correção.</w:t>
      </w:r>
    </w:p>
    <w:p w14:paraId="372FA943" w14:textId="4CBB1D12" w:rsidR="000C1E4F" w:rsidRPr="003C14F6" w:rsidRDefault="00FE4F34">
      <w:pPr>
        <w:spacing w:after="120"/>
        <w:ind w:firstLine="709"/>
        <w:jc w:val="both"/>
        <w:rPr>
          <w:lang w:val="pt-BR"/>
        </w:rPr>
      </w:pPr>
      <w:r w:rsidRPr="003C14F6">
        <w:rPr>
          <w:lang w:val="pt-BR"/>
        </w:rPr>
        <w:t xml:space="preserve">Essa </w:t>
      </w:r>
      <w:r w:rsidR="00CA7E56">
        <w:rPr>
          <w:lang w:val="pt-BR"/>
        </w:rPr>
        <w:t>compreensão</w:t>
      </w:r>
      <w:r w:rsidRPr="003C14F6">
        <w:rPr>
          <w:lang w:val="pt-BR"/>
        </w:rPr>
        <w:t xml:space="preserve"> é especialmente fecunda quando o objeto analisado é um ato infralegal. Se a resposta estatal se materializa principalmente por resoluções, o foco analítico desloca-se do simples “conteúdo regulado” para a relação entre instrumentos e validade. Já não basta descrever </w:t>
      </w:r>
      <w:r w:rsidRPr="003C14F6">
        <w:rPr>
          <w:lang w:val="pt-BR"/>
        </w:rPr>
        <w:lastRenderedPageBreak/>
        <w:t xml:space="preserve">que houve vedação a </w:t>
      </w:r>
      <w:r w:rsidRPr="009D4C6A">
        <w:rPr>
          <w:i/>
          <w:iCs/>
          <w:lang w:val="pt-BR"/>
        </w:rPr>
        <w:t>deepfakes</w:t>
      </w:r>
      <w:r w:rsidRPr="003C14F6">
        <w:rPr>
          <w:lang w:val="pt-BR"/>
        </w:rPr>
        <w:t xml:space="preserve"> ou exigência de rotulagem de IA; é preciso examinar sob que base legal isso foi feito, qual o grau de restrição produzido, quais garantias processuais cercam sua aplicação e onde se encontra a fronteira entre implementação legítima e inovação indevida.</w:t>
      </w:r>
    </w:p>
    <w:p w14:paraId="3A7D2F41" w14:textId="683DF327" w:rsidR="000C1E4F" w:rsidRPr="003C14F6" w:rsidRDefault="00FE4F34">
      <w:pPr>
        <w:spacing w:after="120"/>
        <w:ind w:firstLine="709"/>
        <w:jc w:val="both"/>
        <w:rPr>
          <w:lang w:val="pt-BR"/>
        </w:rPr>
      </w:pPr>
      <w:r w:rsidRPr="003C14F6">
        <w:rPr>
          <w:lang w:val="pt-BR"/>
        </w:rPr>
        <w:t xml:space="preserve">A utilidade dessa abordagem se reforça quando o problema é formulado em </w:t>
      </w:r>
      <w:r w:rsidR="00E72A1B">
        <w:rPr>
          <w:lang w:val="pt-BR"/>
        </w:rPr>
        <w:t>termos</w:t>
      </w:r>
      <w:r w:rsidRPr="003C14F6">
        <w:rPr>
          <w:lang w:val="pt-BR"/>
        </w:rPr>
        <w:t xml:space="preserve"> de risco sistêmico. Parte importante da literatura contemporânea sobre plataformas, desinformação e esfera pública descreve os danos informacionais não como série de episódios isolados, mas como processos cumulativos de erosão de confiança, degradação de critérios compartilhados de verificação e reestruturação do ambiente de decisão coletiva (Wardle; Derakhshan, 20</w:t>
      </w:r>
      <w:r w:rsidR="00FC368C">
        <w:rPr>
          <w:lang w:val="pt-BR"/>
        </w:rPr>
        <w:t>23</w:t>
      </w:r>
      <w:r w:rsidRPr="003C14F6">
        <w:rPr>
          <w:lang w:val="pt-BR"/>
        </w:rPr>
        <w:t>; Gillespie, 2018; Tufekci, 2017). O dano democrático pode ocorrer sem que uma mentira específica “convença” a maioria; basta produzir dúvida suficiente, desorganizar atenção e tornar o resultado persistentemente suspeito (Benkler; Faris; Roberts, 2018).</w:t>
      </w:r>
    </w:p>
    <w:p w14:paraId="6F8AA820" w14:textId="072772F1" w:rsidR="000C1E4F" w:rsidRPr="003C14F6" w:rsidRDefault="00FE4F34">
      <w:pPr>
        <w:spacing w:after="120"/>
        <w:ind w:firstLine="709"/>
        <w:jc w:val="both"/>
        <w:rPr>
          <w:lang w:val="pt-BR"/>
        </w:rPr>
      </w:pPr>
      <w:r w:rsidRPr="003C14F6">
        <w:rPr>
          <w:lang w:val="pt-BR"/>
        </w:rPr>
        <w:t xml:space="preserve">Essa leitura aproxima o problema eleitoral digital de modelos contemporâneos de regulação que se orientam não apenas por ilícitos pontuais, mas por gestão de riscos em ecossistemas complexos. Majone (1997) ajuda a compreender a passagem do Estado prestador ao Estado regulador, no qual a legitimidade decorre menos de provisão direta e mais de capacidade institucional de disciplinar externalidades e corrigir falhas estruturais. No contexto europeu, o </w:t>
      </w:r>
      <w:r w:rsidRPr="006D761D">
        <w:rPr>
          <w:i/>
          <w:iCs/>
          <w:lang w:val="pt-BR"/>
        </w:rPr>
        <w:t>Digital Services Act</w:t>
      </w:r>
      <w:r w:rsidRPr="003C14F6">
        <w:rPr>
          <w:lang w:val="pt-BR"/>
        </w:rPr>
        <w:t xml:space="preserve"> acentua ess</w:t>
      </w:r>
      <w:r w:rsidR="00E93D7A">
        <w:rPr>
          <w:lang w:val="pt-BR"/>
        </w:rPr>
        <w:t xml:space="preserve">a mudança </w:t>
      </w:r>
      <w:r w:rsidRPr="003C14F6">
        <w:rPr>
          <w:lang w:val="pt-BR"/>
        </w:rPr>
        <w:t>ao priorizar deveres de diligência, avaliação e mitigação de riscos sistêmicos em plataformas de grande porte (Nettesheim, 2023). O paralelo não autoriza importações irrefletidas, mas ilumina um ponto: a questão já não é apenas reprimir propaganda irregular; é preservar condições estruturais de confiabilidade do processo democrático.</w:t>
      </w:r>
    </w:p>
    <w:p w14:paraId="3560D9D3" w14:textId="3D7720BF" w:rsidR="000C1E4F" w:rsidRPr="003C14F6" w:rsidRDefault="00E93D7A">
      <w:pPr>
        <w:spacing w:after="120"/>
        <w:ind w:firstLine="709"/>
        <w:jc w:val="both"/>
        <w:rPr>
          <w:lang w:val="pt-BR"/>
        </w:rPr>
      </w:pPr>
      <w:r>
        <w:rPr>
          <w:lang w:val="pt-BR"/>
        </w:rPr>
        <w:t>Na esfera normativa</w:t>
      </w:r>
      <w:r w:rsidR="00FE4F34" w:rsidRPr="003C14F6">
        <w:rPr>
          <w:lang w:val="pt-BR"/>
        </w:rPr>
        <w:t>, isso exige cautela dupla. A primeira consiste em reconhecer que a integridade eleitoral pode ser tratada como bem público institucional</w:t>
      </w:r>
      <w:r w:rsidR="00476FEB">
        <w:rPr>
          <w:lang w:val="pt-BR"/>
        </w:rPr>
        <w:t>, isso é,</w:t>
      </w:r>
      <w:r w:rsidR="00FE4F34" w:rsidRPr="003C14F6">
        <w:rPr>
          <w:lang w:val="pt-BR"/>
        </w:rPr>
        <w:t xml:space="preserve"> não excludente, não rival e vulnerável à exploração oportunista. A segunda consiste em admitir que a proteção desse bem não licencia qualquer intensidade regulatória. Quanto maior o risco sistêmico, maior pode ser a pressão por respostas rápidas; mas, em matéria eleitoral, a velocidade não elimina a necessidade de legalidade, proporcionalidade e controle. A sofisticação da política pública não pode ser comprada ao preço da erosão das garantias que ela diz proteger.</w:t>
      </w:r>
    </w:p>
    <w:p w14:paraId="5F91336A" w14:textId="0A018DE5" w:rsidR="000C1E4F" w:rsidRPr="003C14F6" w:rsidRDefault="00FE4F34">
      <w:pPr>
        <w:pStyle w:val="SubHeading"/>
        <w:spacing w:before="200" w:after="80" w:line="240" w:lineRule="auto"/>
        <w:rPr>
          <w:lang w:val="pt-BR"/>
        </w:rPr>
      </w:pPr>
      <w:r w:rsidRPr="003C14F6">
        <w:rPr>
          <w:lang w:val="pt-BR"/>
        </w:rPr>
        <w:t xml:space="preserve">1.1 </w:t>
      </w:r>
      <w:r w:rsidR="0075051A">
        <w:rPr>
          <w:lang w:val="pt-BR"/>
        </w:rPr>
        <w:t>T</w:t>
      </w:r>
      <w:r w:rsidR="0075051A" w:rsidRPr="003C14F6">
        <w:rPr>
          <w:lang w:val="pt-BR"/>
        </w:rPr>
        <w:t>empo, atenção e irreversibilidade do dano informacional</w:t>
      </w:r>
    </w:p>
    <w:p w14:paraId="606E5973" w14:textId="77777777" w:rsidR="000C1E4F" w:rsidRPr="003C14F6" w:rsidRDefault="00FE4F34">
      <w:pPr>
        <w:spacing w:after="120"/>
        <w:ind w:firstLine="709"/>
        <w:jc w:val="both"/>
        <w:rPr>
          <w:lang w:val="pt-BR"/>
        </w:rPr>
      </w:pPr>
      <w:r w:rsidRPr="003C14F6">
        <w:rPr>
          <w:lang w:val="pt-BR"/>
        </w:rPr>
        <w:t xml:space="preserve">A dimensão temporal merece tratamento próprio. Em ambientes de abundância informacional, o recurso escasso não é a emissão de mensagens, mas a atenção disponível para processá-las (Simon, 1971). Plataformas competem por atenção; campanhas competem por atenção; conteúdos extremos ou emocionalmente carregados tendem a capturá-la com maior eficiência. Esse dado, aparentemente descritivo, possui consequências normativas decisivas para o direito eleitoral. Em ecossistemas de alta velocidade, a eficácia de uma mensagem não depende apenas de seu conteúdo, mas do momento de sua circulação, de sua replicabilidade e da dificuldade de resposta institucional equivalente. O problema jurídico, portanto, já não pode ser formulado apenas em termos de “verdade </w:t>
      </w:r>
      <w:r w:rsidRPr="007B55D5">
        <w:rPr>
          <w:i/>
          <w:iCs/>
          <w:lang w:val="pt-BR"/>
        </w:rPr>
        <w:t>versus</w:t>
      </w:r>
      <w:r w:rsidRPr="003C14F6">
        <w:rPr>
          <w:lang w:val="pt-BR"/>
        </w:rPr>
        <w:t xml:space="preserve"> falsidade”, mas também em termos de irreversibilidade temporal do dano.</w:t>
      </w:r>
    </w:p>
    <w:p w14:paraId="046A78DB" w14:textId="333ABC8F" w:rsidR="000C1E4F" w:rsidRPr="003C14F6" w:rsidRDefault="00FE4F34">
      <w:pPr>
        <w:spacing w:after="120"/>
        <w:ind w:firstLine="709"/>
        <w:jc w:val="both"/>
        <w:rPr>
          <w:lang w:val="pt-BR"/>
        </w:rPr>
      </w:pPr>
      <w:r w:rsidRPr="003C14F6">
        <w:rPr>
          <w:lang w:val="pt-BR"/>
        </w:rPr>
        <w:lastRenderedPageBreak/>
        <w:t xml:space="preserve">Isso </w:t>
      </w:r>
      <w:r w:rsidR="00863727">
        <w:rPr>
          <w:lang w:val="pt-BR"/>
        </w:rPr>
        <w:t>auxilia</w:t>
      </w:r>
      <w:r w:rsidRPr="003C14F6">
        <w:rPr>
          <w:lang w:val="pt-BR"/>
        </w:rPr>
        <w:t xml:space="preserve"> a explicar por que a integridade eleitoral digital não se reduz a uma coleção de ofensas individualmente identificáveis. Uma peça manipulada pode produzir seu efeito principal em poucas horas; uma correção posterior, ainda que juridicamente satisfatória, talvez já não seja capaz de recompor o ambiente decisório. Daí </w:t>
      </w:r>
      <w:r w:rsidR="00B4684C">
        <w:rPr>
          <w:lang w:val="pt-BR"/>
        </w:rPr>
        <w:t>o câmbio</w:t>
      </w:r>
      <w:r w:rsidRPr="003C14F6">
        <w:rPr>
          <w:lang w:val="pt-BR"/>
        </w:rPr>
        <w:t xml:space="preserve">, em vários sistemas regulatórios, de uma lógica </w:t>
      </w:r>
      <w:r w:rsidR="00B4684C">
        <w:rPr>
          <w:lang w:val="pt-BR"/>
        </w:rPr>
        <w:t>pautada</w:t>
      </w:r>
      <w:r w:rsidRPr="003C14F6">
        <w:rPr>
          <w:lang w:val="pt-BR"/>
        </w:rPr>
        <w:t xml:space="preserve"> apenas </w:t>
      </w:r>
      <w:r w:rsidR="00B4684C">
        <w:rPr>
          <w:lang w:val="pt-BR"/>
        </w:rPr>
        <w:t>na</w:t>
      </w:r>
      <w:r w:rsidRPr="003C14F6">
        <w:rPr>
          <w:lang w:val="pt-BR"/>
        </w:rPr>
        <w:t xml:space="preserve"> responsabilização retrospectiva para outra, mais atenta </w:t>
      </w:r>
      <w:r w:rsidR="00B4684C">
        <w:rPr>
          <w:lang w:val="pt-BR"/>
        </w:rPr>
        <w:t>à</w:t>
      </w:r>
      <w:r w:rsidRPr="003C14F6">
        <w:rPr>
          <w:lang w:val="pt-BR"/>
        </w:rPr>
        <w:t xml:space="preserve"> prevenção, </w:t>
      </w:r>
      <w:r w:rsidR="00B4684C">
        <w:rPr>
          <w:lang w:val="pt-BR"/>
        </w:rPr>
        <w:t xml:space="preserve">aos </w:t>
      </w:r>
      <w:r w:rsidRPr="003C14F6">
        <w:rPr>
          <w:lang w:val="pt-BR"/>
        </w:rPr>
        <w:t>deveres de diligência e</w:t>
      </w:r>
      <w:r w:rsidR="00B4684C">
        <w:rPr>
          <w:lang w:val="pt-BR"/>
        </w:rPr>
        <w:t xml:space="preserve"> ao</w:t>
      </w:r>
      <w:r w:rsidRPr="003C14F6">
        <w:rPr>
          <w:lang w:val="pt-BR"/>
        </w:rPr>
        <w:t xml:space="preserve"> desenho de resposta rápida. A dificuldade, contudo, é evidente</w:t>
      </w:r>
      <w:r w:rsidR="003D3980">
        <w:rPr>
          <w:lang w:val="pt-BR"/>
        </w:rPr>
        <w:t>, decerto que</w:t>
      </w:r>
      <w:r w:rsidRPr="003C14F6">
        <w:rPr>
          <w:lang w:val="pt-BR"/>
        </w:rPr>
        <w:t xml:space="preserve"> quanto mais o direito tenta ganhar tempo, maior o risco de reduzir garantias e ampliar o espaço de erro.</w:t>
      </w:r>
    </w:p>
    <w:p w14:paraId="03AB2881" w14:textId="77777777" w:rsidR="000C1E4F" w:rsidRPr="003C14F6" w:rsidRDefault="00FE4F34">
      <w:pPr>
        <w:spacing w:after="120"/>
        <w:ind w:firstLine="709"/>
        <w:jc w:val="both"/>
        <w:rPr>
          <w:lang w:val="pt-BR"/>
        </w:rPr>
      </w:pPr>
      <w:r w:rsidRPr="003C14F6">
        <w:rPr>
          <w:lang w:val="pt-BR"/>
        </w:rPr>
        <w:t>A questão central, então, não é simplesmente se o sistema deve reagir rápido, mas sob quais condições a rapidez deixa de ser virtude e se converte em fonte de ilegitimidade. É por isso que o presente relato insiste em articular governança de risco com legalidade democrática. O tempo importa, mas não substitui a justificação; a urgência é relevante, mas não se basta; e a adequação institucional da resposta depende de mecanismos que transformem velocidade em procedimento controlável.</w:t>
      </w:r>
    </w:p>
    <w:p w14:paraId="583D8027" w14:textId="340A38C7" w:rsidR="000C1E4F" w:rsidRPr="003C14F6" w:rsidRDefault="00F60362">
      <w:pPr>
        <w:pStyle w:val="SubHeading"/>
        <w:spacing w:before="200" w:after="80" w:line="240" w:lineRule="auto"/>
        <w:rPr>
          <w:lang w:val="pt-BR"/>
        </w:rPr>
      </w:pPr>
      <w:r>
        <w:rPr>
          <w:lang w:val="pt-BR"/>
        </w:rPr>
        <w:t>1.2</w:t>
      </w:r>
      <w:r w:rsidR="00FE4F34" w:rsidRPr="003C14F6">
        <w:rPr>
          <w:lang w:val="pt-BR"/>
        </w:rPr>
        <w:t xml:space="preserve"> </w:t>
      </w:r>
      <w:r>
        <w:rPr>
          <w:lang w:val="pt-BR"/>
        </w:rPr>
        <w:t>P</w:t>
      </w:r>
      <w:r w:rsidRPr="003C14F6">
        <w:rPr>
          <w:lang w:val="pt-BR"/>
        </w:rPr>
        <w:t>olicy mix, soft law e a resposta eleitoral brasileira</w:t>
      </w:r>
    </w:p>
    <w:p w14:paraId="4A6A4736" w14:textId="066378B1" w:rsidR="000C1E4F" w:rsidRPr="003C14F6" w:rsidRDefault="00FE4F34">
      <w:pPr>
        <w:spacing w:after="120"/>
        <w:ind w:firstLine="709"/>
        <w:jc w:val="both"/>
        <w:rPr>
          <w:lang w:val="pt-BR"/>
        </w:rPr>
      </w:pPr>
      <w:r w:rsidRPr="003C14F6">
        <w:rPr>
          <w:lang w:val="pt-BR"/>
        </w:rPr>
        <w:t xml:space="preserve">Outro ponto importante é que a reação institucional do TSE não se </w:t>
      </w:r>
      <w:r w:rsidR="00C50D50">
        <w:rPr>
          <w:lang w:val="pt-BR"/>
        </w:rPr>
        <w:t>exaure</w:t>
      </w:r>
      <w:r w:rsidRPr="003C14F6">
        <w:rPr>
          <w:lang w:val="pt-BR"/>
        </w:rPr>
        <w:t xml:space="preserve"> nas resoluções. O enfrentamento à desinformação e ao uso estratégico de IA em eleições é composto por um </w:t>
      </w:r>
      <w:r w:rsidRPr="00C50D50">
        <w:rPr>
          <w:i/>
          <w:iCs/>
          <w:lang w:val="pt-BR"/>
        </w:rPr>
        <w:t>policy mix</w:t>
      </w:r>
      <w:r w:rsidRPr="003C14F6">
        <w:rPr>
          <w:lang w:val="pt-BR"/>
        </w:rPr>
        <w:t>: atos normativos vinculantes, orientações públicas, acordos cooperativos, programas permanentes, comunicação institucional, interlocução com plataformas e atuação jurisdicional em casos concretos. A leitura estritamente normativista, concentrada apenas na resolução, tende a perder de vista esse ecossistema de instrumentos.</w:t>
      </w:r>
    </w:p>
    <w:p w14:paraId="6A3AC3CC" w14:textId="0BE5F9A0" w:rsidR="000C1E4F" w:rsidRPr="003C14F6" w:rsidRDefault="00FE4F34">
      <w:pPr>
        <w:spacing w:after="120"/>
        <w:ind w:firstLine="709"/>
        <w:jc w:val="both"/>
        <w:rPr>
          <w:lang w:val="pt-BR"/>
        </w:rPr>
      </w:pPr>
      <w:r w:rsidRPr="003C14F6">
        <w:rPr>
          <w:lang w:val="pt-BR"/>
        </w:rPr>
        <w:t xml:space="preserve">A literatura sobre </w:t>
      </w:r>
      <w:r w:rsidRPr="00FF140D">
        <w:rPr>
          <w:i/>
          <w:iCs/>
          <w:lang w:val="pt-BR"/>
        </w:rPr>
        <w:t xml:space="preserve">hard law </w:t>
      </w:r>
      <w:r w:rsidRPr="003C14F6">
        <w:rPr>
          <w:lang w:val="pt-BR"/>
        </w:rPr>
        <w:t xml:space="preserve">e </w:t>
      </w:r>
      <w:r w:rsidRPr="00FF140D">
        <w:rPr>
          <w:i/>
          <w:iCs/>
          <w:lang w:val="pt-BR"/>
        </w:rPr>
        <w:t>soft law</w:t>
      </w:r>
      <w:r w:rsidRPr="003C14F6">
        <w:rPr>
          <w:lang w:val="pt-BR"/>
        </w:rPr>
        <w:t xml:space="preserve"> é útil aqui. Abbott e Snidal (2000) </w:t>
      </w:r>
      <w:r w:rsidR="00FF140D">
        <w:rPr>
          <w:lang w:val="pt-BR"/>
        </w:rPr>
        <w:t>asseveram</w:t>
      </w:r>
      <w:r w:rsidRPr="003C14F6">
        <w:rPr>
          <w:lang w:val="pt-BR"/>
        </w:rPr>
        <w:t xml:space="preserve"> que arranjos institucionais complexos frequentemente combinam graus diversos de obrigação, precisão e delegação. Em contextos de alta mutação tecnológica, instrumentos não vinculantes podem desempenhar papel relevante de coordenação, informação e aprendizagem institucional. Isso não significa, porém, que o</w:t>
      </w:r>
      <w:r w:rsidR="00B065FB">
        <w:rPr>
          <w:lang w:val="pt-BR"/>
        </w:rPr>
        <w:t xml:space="preserve"> uso de</w:t>
      </w:r>
      <w:r w:rsidRPr="003C14F6">
        <w:rPr>
          <w:lang w:val="pt-BR"/>
        </w:rPr>
        <w:t xml:space="preserve"> </w:t>
      </w:r>
      <w:r w:rsidRPr="00B065FB">
        <w:rPr>
          <w:i/>
          <w:iCs/>
          <w:lang w:val="pt-BR"/>
        </w:rPr>
        <w:t>soft law</w:t>
      </w:r>
      <w:r w:rsidRPr="003C14F6">
        <w:rPr>
          <w:lang w:val="pt-BR"/>
        </w:rPr>
        <w:t xml:space="preserve"> seja substituto suficiente da lei ou da regulação executiva formal. Seu lugar é outro</w:t>
      </w:r>
      <w:r w:rsidR="00B065FB">
        <w:rPr>
          <w:lang w:val="pt-BR"/>
        </w:rPr>
        <w:t>, qual seja,</w:t>
      </w:r>
      <w:r w:rsidRPr="003C14F6">
        <w:rPr>
          <w:lang w:val="pt-BR"/>
        </w:rPr>
        <w:t xml:space="preserve"> reduzir incerteza, organizar cooperação e preparar estabilização futura.</w:t>
      </w:r>
    </w:p>
    <w:p w14:paraId="6B765980" w14:textId="1DDCE572" w:rsidR="000C1E4F" w:rsidRPr="003C14F6" w:rsidRDefault="00FE4F34">
      <w:pPr>
        <w:spacing w:after="120"/>
        <w:ind w:firstLine="709"/>
        <w:jc w:val="both"/>
        <w:rPr>
          <w:lang w:val="pt-BR"/>
        </w:rPr>
      </w:pPr>
      <w:r w:rsidRPr="003C14F6">
        <w:rPr>
          <w:lang w:val="pt-BR"/>
        </w:rPr>
        <w:t xml:space="preserve">No caso brasileiro, a política institucional de enfrentamento à desinformação eleitoral, a interlocução com plataformas e a publicização de orientações de conduta funcionam como camada complementar às resoluções. Do ponto de vista do DPP, isso importa porque revela que a política pública de integridade eleitoral é composta por instrumentos heterogêneos. </w:t>
      </w:r>
      <w:r w:rsidR="00B065FB">
        <w:rPr>
          <w:lang w:val="pt-BR"/>
        </w:rPr>
        <w:t xml:space="preserve">A dificuldade </w:t>
      </w:r>
      <w:r w:rsidRPr="003C14F6">
        <w:rPr>
          <w:lang w:val="pt-BR"/>
        </w:rPr>
        <w:t>jurídic</w:t>
      </w:r>
      <w:r w:rsidR="00B065FB">
        <w:rPr>
          <w:lang w:val="pt-BR"/>
        </w:rPr>
        <w:t>a</w:t>
      </w:r>
      <w:r w:rsidRPr="003C14F6">
        <w:rPr>
          <w:lang w:val="pt-BR"/>
        </w:rPr>
        <w:t xml:space="preserve"> não está apenas em avaliar se cada peça isolada é válida, mas em saber se o conjunto conserva coerência, se distribui responsabilidades de forma inteligível e se não permite que instrumentos informais realizem, pela prática, aquilo que a reserva legal impediria por via direta.</w:t>
      </w:r>
    </w:p>
    <w:p w14:paraId="36546F06" w14:textId="5A7A7767" w:rsidR="000C1E4F" w:rsidRPr="003C14F6" w:rsidRDefault="00FE4F34" w:rsidP="00B065FB">
      <w:pPr>
        <w:pStyle w:val="SubHeading"/>
        <w:spacing w:before="200" w:after="80" w:line="240" w:lineRule="auto"/>
        <w:jc w:val="both"/>
        <w:rPr>
          <w:lang w:val="pt-BR"/>
        </w:rPr>
      </w:pPr>
      <w:r w:rsidRPr="003C14F6">
        <w:rPr>
          <w:lang w:val="pt-BR"/>
        </w:rPr>
        <w:t xml:space="preserve">2. O </w:t>
      </w:r>
      <w:r w:rsidR="00B065FB">
        <w:rPr>
          <w:lang w:val="pt-BR"/>
        </w:rPr>
        <w:t>“</w:t>
      </w:r>
      <w:r w:rsidRPr="003C14F6">
        <w:rPr>
          <w:lang w:val="pt-BR"/>
        </w:rPr>
        <w:t>CORREDOR</w:t>
      </w:r>
      <w:r w:rsidR="00B065FB">
        <w:rPr>
          <w:lang w:val="pt-BR"/>
        </w:rPr>
        <w:t>”</w:t>
      </w:r>
      <w:r w:rsidRPr="003C14F6">
        <w:rPr>
          <w:lang w:val="pt-BR"/>
        </w:rPr>
        <w:t xml:space="preserve"> NORMATIVO DO TSE: HABILITAÇÃO, LIMITES E CONTROVÉRSIA</w:t>
      </w:r>
    </w:p>
    <w:p w14:paraId="603405D4" w14:textId="4430E1FB" w:rsidR="000C1E4F" w:rsidRPr="003C14F6" w:rsidRDefault="00FE4F34">
      <w:pPr>
        <w:spacing w:after="120"/>
        <w:ind w:firstLine="709"/>
        <w:jc w:val="both"/>
        <w:rPr>
          <w:lang w:val="pt-BR"/>
        </w:rPr>
      </w:pPr>
      <w:r w:rsidRPr="003C14F6">
        <w:rPr>
          <w:lang w:val="pt-BR"/>
        </w:rPr>
        <w:t>A análise do caso brasileiro precisa começar pelo arranjo institucional da Justiça Eleitoral. O TSE ocupa posição singular</w:t>
      </w:r>
      <w:r w:rsidR="00B065FB">
        <w:rPr>
          <w:lang w:val="pt-BR"/>
        </w:rPr>
        <w:t>, pois</w:t>
      </w:r>
      <w:r w:rsidRPr="003C14F6">
        <w:rPr>
          <w:lang w:val="pt-BR"/>
        </w:rPr>
        <w:t xml:space="preserve"> além de exercer jurisdição, administra o processo eleitoral, </w:t>
      </w:r>
      <w:r w:rsidRPr="003C14F6">
        <w:rPr>
          <w:lang w:val="pt-BR"/>
        </w:rPr>
        <w:lastRenderedPageBreak/>
        <w:t xml:space="preserve">fixa orientações, aprova calendários, disciplina procedimentos e uniformiza a aplicação de normas. Não se trata, portanto, de um tribunal de puro controle </w:t>
      </w:r>
      <w:r w:rsidRPr="00B065FB">
        <w:rPr>
          <w:i/>
          <w:iCs/>
          <w:lang w:val="pt-BR"/>
        </w:rPr>
        <w:t>ex post</w:t>
      </w:r>
      <w:r w:rsidRPr="003C14F6">
        <w:rPr>
          <w:lang w:val="pt-BR"/>
        </w:rPr>
        <w:t>. Sua atuação possui clara dimensão organizatória e executiva. Ainda assim, o fato de a Corte exercer competências administrativas relevantes não a autoriza a produzir direito primário livremente.</w:t>
      </w:r>
    </w:p>
    <w:p w14:paraId="46D08F40" w14:textId="51551725" w:rsidR="000C1E4F" w:rsidRPr="003C14F6" w:rsidRDefault="00FE4F34">
      <w:pPr>
        <w:spacing w:after="120"/>
        <w:ind w:firstLine="709"/>
        <w:jc w:val="both"/>
        <w:rPr>
          <w:lang w:val="pt-BR"/>
        </w:rPr>
      </w:pPr>
      <w:r w:rsidRPr="003C14F6">
        <w:rPr>
          <w:lang w:val="pt-BR"/>
        </w:rPr>
        <w:t xml:space="preserve">O fundamento clássico do poder normativo do TSE </w:t>
      </w:r>
      <w:r w:rsidR="00172739">
        <w:rPr>
          <w:lang w:val="pt-BR"/>
        </w:rPr>
        <w:t>está assentado n</w:t>
      </w:r>
      <w:r w:rsidRPr="003C14F6">
        <w:rPr>
          <w:lang w:val="pt-BR"/>
        </w:rPr>
        <w:t>o art. 23, IX, do Código Eleitoral, segundo o qual compete ao Tribunal expedir as instruções que julgar convenientes à execução do Código. Em termos mais específicos, o art. 105 da Lei n.º 9.504/1997 autoriza o TSE a expedir todas as instruções necessárias para sua fiel execução até determinada data do ano eleitoral, acrescentando limitação decisiva: essas instruções não podem restringir direitos nem estabelecer sanções distintas das previstas na própria lei. A Lei n.º 14.211/2021, ao introduzir o art. 23-A no Código Eleitoral, reforçou o caráter limitado desse poder, respondendo precisamente a controvérsias sobre elasticidade interpretativa do Tribunal.</w:t>
      </w:r>
    </w:p>
    <w:p w14:paraId="4A14600B" w14:textId="52DAB137" w:rsidR="000C1E4F" w:rsidRPr="003C14F6" w:rsidRDefault="00FE4F34">
      <w:pPr>
        <w:spacing w:after="120"/>
        <w:ind w:firstLine="709"/>
        <w:jc w:val="both"/>
        <w:rPr>
          <w:lang w:val="pt-BR"/>
        </w:rPr>
      </w:pPr>
      <w:r w:rsidRPr="003C14F6">
        <w:rPr>
          <w:lang w:val="pt-BR"/>
        </w:rPr>
        <w:t xml:space="preserve">É possível </w:t>
      </w:r>
      <w:r w:rsidR="00172739">
        <w:rPr>
          <w:lang w:val="pt-BR"/>
        </w:rPr>
        <w:t>assentir</w:t>
      </w:r>
      <w:r w:rsidRPr="003C14F6">
        <w:rPr>
          <w:lang w:val="pt-BR"/>
        </w:rPr>
        <w:t xml:space="preserve">, por isso, que a ordem jurídica eleitoral brasileira </w:t>
      </w:r>
      <w:r w:rsidR="00172739">
        <w:rPr>
          <w:lang w:val="pt-BR"/>
        </w:rPr>
        <w:t>delineia</w:t>
      </w:r>
      <w:r w:rsidRPr="003C14F6">
        <w:rPr>
          <w:lang w:val="pt-BR"/>
        </w:rPr>
        <w:t xml:space="preserve"> para o TSE um </w:t>
      </w:r>
      <w:r w:rsidR="00172739">
        <w:rPr>
          <w:lang w:val="pt-BR"/>
        </w:rPr>
        <w:t>“</w:t>
      </w:r>
      <w:r w:rsidRPr="003C14F6">
        <w:rPr>
          <w:lang w:val="pt-BR"/>
        </w:rPr>
        <w:t>corredor</w:t>
      </w:r>
      <w:r w:rsidR="00172739">
        <w:rPr>
          <w:lang w:val="pt-BR"/>
        </w:rPr>
        <w:t>”</w:t>
      </w:r>
      <w:r w:rsidRPr="003C14F6">
        <w:rPr>
          <w:lang w:val="pt-BR"/>
        </w:rPr>
        <w:t xml:space="preserve"> normativo estreito. Há habilitação para expedir atos de execução; há espaço para densificação de conceitos jurídicos abertos e para padronização de procedimentos; mas não há autorização genérica para criar deveres primários ou alterar, por via infralegal, o conteúdo essencial das regras do jogo. Em linguagem dogmática administrativa, a situação aproxima-se da lógica do regulamento de execução: o ato infralegal é subordinado à lei e existe para torná-la operativa, não para substituí-la. Embora a doutrina trate, em geral, do poder regulamentar do Executivo, a distinção entre execução e inovação permanece útil para compreender o problema aqui examinado (Mello, 2010; Di Pietro, 2019).</w:t>
      </w:r>
    </w:p>
    <w:p w14:paraId="0AB55F04" w14:textId="0F052CCF" w:rsidR="000C1E4F" w:rsidRPr="003C14F6" w:rsidRDefault="00FE4F34">
      <w:pPr>
        <w:spacing w:after="120"/>
        <w:ind w:firstLine="709"/>
        <w:jc w:val="both"/>
        <w:rPr>
          <w:lang w:val="pt-BR"/>
        </w:rPr>
      </w:pPr>
      <w:r w:rsidRPr="003C14F6">
        <w:rPr>
          <w:lang w:val="pt-BR"/>
        </w:rPr>
        <w:t>É importante, contudo, evitar transposições mecânicas</w:t>
      </w:r>
      <w:r w:rsidR="00363F2F">
        <w:rPr>
          <w:lang w:val="pt-BR"/>
        </w:rPr>
        <w:t xml:space="preserve"> e artificiais</w:t>
      </w:r>
      <w:r w:rsidRPr="003C14F6">
        <w:rPr>
          <w:lang w:val="pt-BR"/>
        </w:rPr>
        <w:t>. O TSE não edita decretos; edita resoluções. Além disso, sua atuação não se desenvolve no âmbito da Administração Pública clássica, mas em um arranjo jurisdicional-administrativo constitucionalmente singular. O ponto decisivo não é o rótulo formal do ato, e sim seu lugar no sistema de fontes. O problema, portanto, não é saber se a Corte “legisla” em sentido político, mas se os efeitos produzidos por suas resoluções permanecem dentro da moldura executiva autorizada pela lei.</w:t>
      </w:r>
    </w:p>
    <w:p w14:paraId="6B0AC7D6" w14:textId="5323244A" w:rsidR="000C1E4F" w:rsidRPr="003C14F6" w:rsidRDefault="00FE4F34">
      <w:pPr>
        <w:spacing w:after="120"/>
        <w:ind w:firstLine="709"/>
        <w:jc w:val="both"/>
        <w:rPr>
          <w:lang w:val="pt-BR"/>
        </w:rPr>
      </w:pPr>
      <w:r w:rsidRPr="00F60362">
        <w:rPr>
          <w:lang w:val="pt-BR"/>
        </w:rPr>
        <w:t xml:space="preserve">Sob esse prisma, </w:t>
      </w:r>
      <w:r w:rsidR="00633F2A" w:rsidRPr="00F60362">
        <w:rPr>
          <w:lang w:val="pt-BR"/>
        </w:rPr>
        <w:t>as mudanças regulativas do</w:t>
      </w:r>
      <w:r w:rsidR="00556508" w:rsidRPr="00F60362">
        <w:rPr>
          <w:lang w:val="pt-BR"/>
        </w:rPr>
        <w:t xml:space="preserve"> ano de </w:t>
      </w:r>
      <w:r w:rsidRPr="00F60362">
        <w:rPr>
          <w:lang w:val="pt-BR"/>
        </w:rPr>
        <w:t>2024 oferece</w:t>
      </w:r>
      <w:r w:rsidR="00633F2A" w:rsidRPr="00F60362">
        <w:rPr>
          <w:lang w:val="pt-BR"/>
        </w:rPr>
        <w:t>m</w:t>
      </w:r>
      <w:r w:rsidRPr="00F60362">
        <w:rPr>
          <w:lang w:val="pt-BR"/>
        </w:rPr>
        <w:t xml:space="preserve"> material analítico particularmente </w:t>
      </w:r>
      <w:r w:rsidR="00633F2A" w:rsidRPr="00F60362">
        <w:rPr>
          <w:lang w:val="pt-BR"/>
        </w:rPr>
        <w:t>interessante</w:t>
      </w:r>
      <w:r w:rsidRPr="00F60362">
        <w:rPr>
          <w:lang w:val="pt-BR"/>
        </w:rPr>
        <w:t>.</w:t>
      </w:r>
      <w:r w:rsidRPr="003C14F6">
        <w:rPr>
          <w:lang w:val="pt-BR"/>
        </w:rPr>
        <w:t xml:space="preserve"> A Resolução n.º 23.732/2024 alterou a Resolução n.º 23.610/2019 para disciplinar propaganda eleitoral, inclusive no tocante ao uso de IA, à identificação de conteúdo sintético e à vedação de </w:t>
      </w:r>
      <w:r w:rsidRPr="00556508">
        <w:rPr>
          <w:i/>
          <w:iCs/>
          <w:lang w:val="pt-BR"/>
        </w:rPr>
        <w:t>deepfakes</w:t>
      </w:r>
      <w:r w:rsidRPr="003C14F6">
        <w:rPr>
          <w:lang w:val="pt-BR"/>
        </w:rPr>
        <w:t>. A Resolução n.º 23.735/2024 passou a sistematizar os ilícitos eleitorais, classificando e ordenando hipóteses relevantes para a tutela da integridade do pleito. A Resolução n.º 23.733/2024, por sua vez, reformulou o regime de representações, reclamações e pedidos de direito de resposta, sendo importante para a tramitação preferencial e para a tentativa de responder a danos comunicacionais de consumação rápida. O conjunto sugere atuação articulada: propaganda, ilícitos e tempo processual são tratados como partes de um mesmo problema regulatório.</w:t>
      </w:r>
    </w:p>
    <w:p w14:paraId="17A13D1A" w14:textId="2EF4F184" w:rsidR="000C1E4F" w:rsidRPr="003C14F6" w:rsidRDefault="00FE4F34">
      <w:pPr>
        <w:spacing w:after="120"/>
        <w:ind w:firstLine="709"/>
        <w:jc w:val="both"/>
        <w:rPr>
          <w:lang w:val="pt-BR"/>
        </w:rPr>
      </w:pPr>
      <w:r w:rsidRPr="003C14F6">
        <w:rPr>
          <w:lang w:val="pt-BR"/>
        </w:rPr>
        <w:lastRenderedPageBreak/>
        <w:t xml:space="preserve">Ao mesmo tempo, esse conjunto reabre controvérsia de fundo. A vedação a </w:t>
      </w:r>
      <w:r w:rsidRPr="00735596">
        <w:rPr>
          <w:i/>
          <w:iCs/>
          <w:lang w:val="pt-BR"/>
        </w:rPr>
        <w:t>deepfakes</w:t>
      </w:r>
      <w:r w:rsidRPr="003C14F6">
        <w:rPr>
          <w:lang w:val="pt-BR"/>
        </w:rPr>
        <w:t xml:space="preserve"> e a rotulagem obrigatória de conteúdo sintético podem ser descritas como simples concretizações da transparência e da proteção à lisura do pleito; mas </w:t>
      </w:r>
      <w:r w:rsidR="00735596">
        <w:rPr>
          <w:lang w:val="pt-BR"/>
        </w:rPr>
        <w:t>igualmente</w:t>
      </w:r>
      <w:r w:rsidRPr="003C14F6">
        <w:rPr>
          <w:lang w:val="pt-BR"/>
        </w:rPr>
        <w:t xml:space="preserve"> podem ser vistas, em alguma medida, como deveres novos, formulados para enfrentar tecnologia inexistente quando boa parte das leis eleitorais foi escrita. A compressão do tempo processual pode ser lida como </w:t>
      </w:r>
      <w:r w:rsidR="00735596">
        <w:rPr>
          <w:lang w:val="pt-BR"/>
        </w:rPr>
        <w:t>simples</w:t>
      </w:r>
      <w:r w:rsidRPr="003C14F6">
        <w:rPr>
          <w:lang w:val="pt-BR"/>
        </w:rPr>
        <w:t xml:space="preserve"> técnica executiva indispensável ao </w:t>
      </w:r>
      <w:r w:rsidRPr="00735596">
        <w:rPr>
          <w:i/>
          <w:iCs/>
          <w:lang w:val="pt-BR"/>
        </w:rPr>
        <w:t>enforcement</w:t>
      </w:r>
      <w:r w:rsidRPr="003C14F6">
        <w:rPr>
          <w:lang w:val="pt-BR"/>
        </w:rPr>
        <w:t>; mas também pode produzir, se mal calibrada, efeitos semelhantes a uma censura processual de baixa justificação. É justamente para organizar essa disputa que se propõe o TFM.</w:t>
      </w:r>
    </w:p>
    <w:p w14:paraId="1FB1D8B4" w14:textId="77777777" w:rsidR="000C1E4F" w:rsidRPr="003C14F6" w:rsidRDefault="00FE4F34" w:rsidP="00E3290D">
      <w:pPr>
        <w:pStyle w:val="SubHeading"/>
        <w:spacing w:before="200" w:after="80" w:line="240" w:lineRule="auto"/>
        <w:jc w:val="both"/>
        <w:rPr>
          <w:lang w:val="pt-BR"/>
        </w:rPr>
      </w:pPr>
      <w:r w:rsidRPr="003C14F6">
        <w:rPr>
          <w:lang w:val="pt-BR"/>
        </w:rPr>
        <w:t>3. O TESTE DE FORMALIDADE &amp; MATERIALIDADE (TFM)</w:t>
      </w:r>
    </w:p>
    <w:p w14:paraId="04D32518" w14:textId="02EEB59D" w:rsidR="000C1E4F" w:rsidRPr="003C14F6" w:rsidRDefault="00FE4F34">
      <w:pPr>
        <w:spacing w:after="120"/>
        <w:ind w:firstLine="709"/>
        <w:jc w:val="both"/>
        <w:rPr>
          <w:lang w:val="pt-BR"/>
        </w:rPr>
      </w:pPr>
      <w:r w:rsidRPr="003C14F6">
        <w:rPr>
          <w:lang w:val="pt-BR"/>
        </w:rPr>
        <w:t xml:space="preserve">O TFM é apresentado neste trabalho como instrumento analítico de operacionalização do controle da normatividade infralegal. Seu objetivo não é produzir uma fórmula automática para resolver casos difíceis, mas </w:t>
      </w:r>
      <w:r w:rsidR="00E3290D">
        <w:rPr>
          <w:lang w:val="pt-BR"/>
        </w:rPr>
        <w:t>trazer</w:t>
      </w:r>
      <w:r w:rsidRPr="003C14F6">
        <w:rPr>
          <w:lang w:val="pt-BR"/>
        </w:rPr>
        <w:t xml:space="preserve"> disciplina argumentativa ao exame de atos normativos cuja validade depende da combinação entre fundamento formal e impacto material. Em vez de perguntas genéricas como “o TSE exagerou?” ou “a democracia precisava de resposta?”, o teste busca transformar o problema em sequência de verificações justificáveis.</w:t>
      </w:r>
    </w:p>
    <w:p w14:paraId="3342C9EF" w14:textId="77777777" w:rsidR="000C1E4F" w:rsidRPr="003C14F6" w:rsidRDefault="00FE4F34">
      <w:pPr>
        <w:spacing w:after="120"/>
        <w:ind w:firstLine="709"/>
        <w:jc w:val="both"/>
        <w:rPr>
          <w:lang w:val="pt-BR"/>
        </w:rPr>
      </w:pPr>
      <w:r w:rsidRPr="003C14F6">
        <w:rPr>
          <w:lang w:val="pt-BR"/>
        </w:rPr>
        <w:t>O primeiro eixo do TFM é formal. Pergunta-se: existe autorização normativa específica para o Tribunal disciplinar a matéria? O conteúdo regulado permanece vinculado à lógica da execução ou rompe com ela? Há aderência às cláusulas legais de habilitação e às suas limitações expressas? O segundo eixo é material. Mesmo quando formalmente habilitado, o ato pode ser constitucionalmente inadequado se alterar regras do jogo, impor restrições desproporcionais, ativar sanções sem base legal ou operar sem legitimidade procedimental suficiente. O teste, portanto, não esgota a análise em um único filtro.</w:t>
      </w:r>
    </w:p>
    <w:p w14:paraId="2449A2DA" w14:textId="77777777" w:rsidR="000C1E4F" w:rsidRPr="003C14F6" w:rsidRDefault="00FE4F34">
      <w:pPr>
        <w:spacing w:after="120"/>
        <w:ind w:firstLine="709"/>
        <w:jc w:val="both"/>
        <w:rPr>
          <w:lang w:val="pt-BR"/>
        </w:rPr>
      </w:pPr>
      <w:r w:rsidRPr="003C14F6">
        <w:rPr>
          <w:lang w:val="pt-BR"/>
        </w:rPr>
        <w:t>Para fins operacionais, o instrumento se desdobra em seis filtros:</w:t>
      </w:r>
    </w:p>
    <w:p w14:paraId="37F9548C" w14:textId="77777777" w:rsidR="000C1E4F" w:rsidRPr="003C14F6" w:rsidRDefault="00FE4F34">
      <w:pPr>
        <w:spacing w:after="120"/>
        <w:ind w:firstLine="709"/>
        <w:jc w:val="both"/>
        <w:rPr>
          <w:lang w:val="pt-BR"/>
        </w:rPr>
      </w:pPr>
      <w:r w:rsidRPr="002F554A">
        <w:rPr>
          <w:b/>
          <w:bCs/>
          <w:lang w:val="pt-BR"/>
        </w:rPr>
        <w:t>F1 – Competência formal.</w:t>
      </w:r>
      <w:r w:rsidRPr="003C14F6">
        <w:rPr>
          <w:lang w:val="pt-BR"/>
        </w:rPr>
        <w:t xml:space="preserve"> Verifica a existência de base habilitadora legal específica e sua pertinência em relação ao objeto regulado.</w:t>
      </w:r>
    </w:p>
    <w:p w14:paraId="732D400B" w14:textId="62D823A3" w:rsidR="000C1E4F" w:rsidRPr="003C14F6" w:rsidRDefault="00FE4F34">
      <w:pPr>
        <w:spacing w:after="120"/>
        <w:ind w:firstLine="709"/>
        <w:jc w:val="both"/>
        <w:rPr>
          <w:lang w:val="pt-BR"/>
        </w:rPr>
      </w:pPr>
      <w:r w:rsidRPr="002F554A">
        <w:rPr>
          <w:b/>
          <w:bCs/>
          <w:lang w:val="pt-BR"/>
        </w:rPr>
        <w:t>F2 – Vedação à inovação normativa primária.</w:t>
      </w:r>
      <w:r w:rsidRPr="003C14F6">
        <w:rPr>
          <w:lang w:val="pt-BR"/>
        </w:rPr>
        <w:t xml:space="preserve"> Examina se o dispositivo apenas densifica comando legal aberto ou se cria obrigação/restrição primária não </w:t>
      </w:r>
      <w:r w:rsidR="00501342">
        <w:rPr>
          <w:lang w:val="pt-BR"/>
        </w:rPr>
        <w:t>pautada</w:t>
      </w:r>
      <w:r w:rsidRPr="003C14F6">
        <w:rPr>
          <w:lang w:val="pt-BR"/>
        </w:rPr>
        <w:t xml:space="preserve"> </w:t>
      </w:r>
      <w:r w:rsidR="00501342">
        <w:rPr>
          <w:lang w:val="pt-BR"/>
        </w:rPr>
        <w:t>em</w:t>
      </w:r>
      <w:r w:rsidRPr="003C14F6">
        <w:rPr>
          <w:lang w:val="pt-BR"/>
        </w:rPr>
        <w:t xml:space="preserve"> lei.</w:t>
      </w:r>
    </w:p>
    <w:p w14:paraId="063BE66D" w14:textId="4065656A" w:rsidR="0078762B" w:rsidRPr="0078762B" w:rsidRDefault="0078762B">
      <w:pPr>
        <w:spacing w:after="120"/>
        <w:ind w:firstLine="709"/>
        <w:jc w:val="both"/>
        <w:rPr>
          <w:lang w:val="pt-BR"/>
        </w:rPr>
      </w:pPr>
      <w:r w:rsidRPr="0078762B">
        <w:rPr>
          <w:b/>
          <w:bCs/>
          <w:lang w:val="pt-BR"/>
        </w:rPr>
        <w:t xml:space="preserve">F3 – Anualidade eleitoral. </w:t>
      </w:r>
      <w:r w:rsidRPr="0078762B">
        <w:rPr>
          <w:lang w:val="pt-BR"/>
        </w:rPr>
        <w:t>Verifica se a resolução é meramente executória ou se inova o processo eleitoral em prazo inferior a um ano da eleição.</w:t>
      </w:r>
    </w:p>
    <w:p w14:paraId="32FA4277" w14:textId="77777777" w:rsidR="000C1E4F" w:rsidRPr="003C14F6" w:rsidRDefault="00FE4F34">
      <w:pPr>
        <w:spacing w:after="120"/>
        <w:ind w:firstLine="709"/>
        <w:jc w:val="both"/>
        <w:rPr>
          <w:lang w:val="pt-BR"/>
        </w:rPr>
      </w:pPr>
      <w:r w:rsidRPr="0078762B">
        <w:rPr>
          <w:b/>
          <w:bCs/>
          <w:lang w:val="pt-BR"/>
        </w:rPr>
        <w:t>F4 – Proporcionalidade.</w:t>
      </w:r>
      <w:r w:rsidRPr="003C14F6">
        <w:rPr>
          <w:lang w:val="pt-BR"/>
        </w:rPr>
        <w:t xml:space="preserve"> Avalia adequação, necessidade e proporcionalidade em sentido estrito da medida restritiva, especialmente quando incide sobre liberdade de expressão e participação política.</w:t>
      </w:r>
    </w:p>
    <w:p w14:paraId="45D49C42" w14:textId="66190598" w:rsidR="000C1E4F" w:rsidRPr="003C14F6" w:rsidRDefault="00FE4F34">
      <w:pPr>
        <w:spacing w:after="120"/>
        <w:ind w:firstLine="709"/>
        <w:jc w:val="both"/>
        <w:rPr>
          <w:lang w:val="pt-BR"/>
        </w:rPr>
      </w:pPr>
      <w:r w:rsidRPr="0078762B">
        <w:rPr>
          <w:b/>
          <w:bCs/>
          <w:lang w:val="pt-BR"/>
        </w:rPr>
        <w:t>F5 – Tipicidade sancionatória.</w:t>
      </w:r>
      <w:r w:rsidRPr="003C14F6">
        <w:rPr>
          <w:lang w:val="pt-BR"/>
        </w:rPr>
        <w:t xml:space="preserve"> </w:t>
      </w:r>
      <w:r w:rsidR="008067F5">
        <w:rPr>
          <w:lang w:val="pt-BR"/>
        </w:rPr>
        <w:t>Verifica</w:t>
      </w:r>
      <w:r w:rsidRPr="003C14F6">
        <w:rPr>
          <w:lang w:val="pt-BR"/>
        </w:rPr>
        <w:t xml:space="preserve"> se </w:t>
      </w:r>
      <w:r w:rsidR="008067F5">
        <w:rPr>
          <w:lang w:val="pt-BR"/>
        </w:rPr>
        <w:t xml:space="preserve">as </w:t>
      </w:r>
      <w:r w:rsidRPr="003C14F6">
        <w:rPr>
          <w:lang w:val="pt-BR"/>
        </w:rPr>
        <w:t xml:space="preserve">consequências jurídicas relevantes </w:t>
      </w:r>
      <w:r w:rsidR="0078762B">
        <w:rPr>
          <w:lang w:val="pt-BR"/>
        </w:rPr>
        <w:t>–</w:t>
      </w:r>
      <w:r w:rsidRPr="003C14F6">
        <w:rPr>
          <w:lang w:val="pt-BR"/>
        </w:rPr>
        <w:t xml:space="preserve"> multas, cassação, inelegibilidade, remoções com efeito sancionatório indireto </w:t>
      </w:r>
      <w:r w:rsidR="0078762B">
        <w:rPr>
          <w:lang w:val="pt-BR"/>
        </w:rPr>
        <w:t>–</w:t>
      </w:r>
      <w:r w:rsidRPr="003C14F6">
        <w:rPr>
          <w:lang w:val="pt-BR"/>
        </w:rPr>
        <w:t xml:space="preserve"> encontram </w:t>
      </w:r>
      <w:r w:rsidR="008067F5">
        <w:rPr>
          <w:lang w:val="pt-BR"/>
        </w:rPr>
        <w:t>base</w:t>
      </w:r>
      <w:r w:rsidRPr="003C14F6">
        <w:rPr>
          <w:lang w:val="pt-BR"/>
        </w:rPr>
        <w:t xml:space="preserve"> legal suficiente</w:t>
      </w:r>
      <w:r w:rsidR="008067F5">
        <w:rPr>
          <w:lang w:val="pt-BR"/>
        </w:rPr>
        <w:t xml:space="preserve"> de aplicação</w:t>
      </w:r>
      <w:r w:rsidRPr="003C14F6">
        <w:rPr>
          <w:lang w:val="pt-BR"/>
        </w:rPr>
        <w:t>.</w:t>
      </w:r>
    </w:p>
    <w:p w14:paraId="087B5F54" w14:textId="77777777" w:rsidR="000C1E4F" w:rsidRPr="003C14F6" w:rsidRDefault="00FE4F34">
      <w:pPr>
        <w:spacing w:after="120"/>
        <w:ind w:firstLine="709"/>
        <w:jc w:val="both"/>
        <w:rPr>
          <w:lang w:val="pt-BR"/>
        </w:rPr>
      </w:pPr>
      <w:r w:rsidRPr="008067F5">
        <w:rPr>
          <w:b/>
          <w:bCs/>
          <w:lang w:val="pt-BR"/>
        </w:rPr>
        <w:t>F6 – Legitimidade procedimental.</w:t>
      </w:r>
      <w:r w:rsidRPr="003C14F6">
        <w:rPr>
          <w:lang w:val="pt-BR"/>
        </w:rPr>
        <w:t xml:space="preserve"> Considera o grau de participação, motivação pública, transparência do processo normativo e, no plano de aplicação, proteção do contraditório e possibilidade de revisão.</w:t>
      </w:r>
    </w:p>
    <w:p w14:paraId="0004DAB5" w14:textId="77777777" w:rsidR="000C1E4F" w:rsidRPr="003C14F6" w:rsidRDefault="00FE4F34">
      <w:pPr>
        <w:pStyle w:val="CaptionCustom"/>
        <w:spacing w:before="200" w:after="80" w:line="240" w:lineRule="auto"/>
        <w:rPr>
          <w:lang w:val="pt-BR"/>
        </w:rPr>
      </w:pPr>
      <w:r w:rsidRPr="003C14F6">
        <w:rPr>
          <w:sz w:val="22"/>
          <w:lang w:val="pt-BR"/>
        </w:rPr>
        <w:lastRenderedPageBreak/>
        <w:t>Quadro 1 — Síntese do Teste de Formalidade &amp; Materialidade (TFM)</w:t>
      </w:r>
    </w:p>
    <w:tbl>
      <w:tblPr>
        <w:tblStyle w:val="Tabelacomgrade"/>
        <w:tblW w:w="0" w:type="auto"/>
        <w:jc w:val="center"/>
        <w:tblBorders>
          <w:top w:val="single" w:sz="6" w:space="0" w:color="B7B7B7"/>
          <w:left w:val="single" w:sz="6" w:space="0" w:color="B7B7B7"/>
          <w:bottom w:val="single" w:sz="6" w:space="0" w:color="B7B7B7"/>
          <w:right w:val="single" w:sz="6" w:space="0" w:color="B7B7B7"/>
          <w:insideH w:val="single" w:sz="6" w:space="0" w:color="B7B7B7"/>
          <w:insideV w:val="single" w:sz="6" w:space="0" w:color="B7B7B7"/>
        </w:tblBorders>
        <w:tblLayout w:type="fixed"/>
        <w:tblLook w:val="04A0" w:firstRow="1" w:lastRow="0" w:firstColumn="1" w:lastColumn="0" w:noHBand="0" w:noVBand="1"/>
      </w:tblPr>
      <w:tblGrid>
        <w:gridCol w:w="1928"/>
        <w:gridCol w:w="4309"/>
        <w:gridCol w:w="2948"/>
      </w:tblGrid>
      <w:tr w:rsidR="000C1E4F" w14:paraId="408798AB" w14:textId="77777777">
        <w:trPr>
          <w:tblHeader/>
          <w:jc w:val="center"/>
        </w:trPr>
        <w:tc>
          <w:tcPr>
            <w:tcW w:w="1928" w:type="dxa"/>
            <w:shd w:val="clear" w:color="auto" w:fill="D9E2F3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55470647" w14:textId="77777777" w:rsidR="000C1E4F" w:rsidRPr="008067F5" w:rsidRDefault="00FE4F34">
            <w:pPr>
              <w:jc w:val="center"/>
              <w:rPr>
                <w:b/>
              </w:rPr>
            </w:pPr>
            <w:r w:rsidRPr="008067F5">
              <w:rPr>
                <w:b/>
                <w:sz w:val="21"/>
              </w:rPr>
              <w:t>Filtro</w:t>
            </w:r>
          </w:p>
        </w:tc>
        <w:tc>
          <w:tcPr>
            <w:tcW w:w="4309" w:type="dxa"/>
            <w:shd w:val="clear" w:color="auto" w:fill="D9E2F3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20C8B84C" w14:textId="77777777" w:rsidR="000C1E4F" w:rsidRDefault="00FE4F34">
            <w:pPr>
              <w:jc w:val="center"/>
            </w:pPr>
            <w:r>
              <w:rPr>
                <w:b/>
                <w:sz w:val="21"/>
              </w:rPr>
              <w:t>Pergunta de controle</w:t>
            </w:r>
          </w:p>
        </w:tc>
        <w:tc>
          <w:tcPr>
            <w:tcW w:w="2948" w:type="dxa"/>
            <w:shd w:val="clear" w:color="auto" w:fill="D9E2F3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4F530F87" w14:textId="77777777" w:rsidR="000C1E4F" w:rsidRDefault="00FE4F34">
            <w:pPr>
              <w:jc w:val="center"/>
            </w:pPr>
            <w:r>
              <w:rPr>
                <w:b/>
                <w:sz w:val="21"/>
              </w:rPr>
              <w:t>Base principal</w:t>
            </w:r>
          </w:p>
        </w:tc>
      </w:tr>
      <w:tr w:rsidR="000C1E4F" w:rsidRPr="00135C4A" w14:paraId="40A29EDC" w14:textId="77777777">
        <w:trPr>
          <w:jc w:val="center"/>
        </w:trPr>
        <w:tc>
          <w:tcPr>
            <w:tcW w:w="1928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2CF89DCE" w14:textId="77777777" w:rsidR="000C1E4F" w:rsidRPr="008067F5" w:rsidRDefault="00FE4F34">
            <w:pPr>
              <w:rPr>
                <w:b/>
              </w:rPr>
            </w:pPr>
            <w:r w:rsidRPr="008067F5">
              <w:rPr>
                <w:b/>
                <w:sz w:val="21"/>
              </w:rPr>
              <w:t>F1 – Competência formal</w:t>
            </w:r>
          </w:p>
        </w:tc>
        <w:tc>
          <w:tcPr>
            <w:tcW w:w="4309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58CABED4" w14:textId="77777777" w:rsidR="000C1E4F" w:rsidRPr="003C14F6" w:rsidRDefault="00FE4F34">
            <w:pPr>
              <w:rPr>
                <w:lang w:val="pt-BR"/>
              </w:rPr>
            </w:pPr>
            <w:r w:rsidRPr="003C14F6">
              <w:rPr>
                <w:sz w:val="21"/>
                <w:lang w:val="pt-BR"/>
              </w:rPr>
              <w:t>Há autorização legal específica e pertinente?</w:t>
            </w:r>
          </w:p>
        </w:tc>
        <w:tc>
          <w:tcPr>
            <w:tcW w:w="2948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7507A06E" w14:textId="77777777" w:rsidR="000C1E4F" w:rsidRPr="003C14F6" w:rsidRDefault="00FE4F34">
            <w:pPr>
              <w:rPr>
                <w:lang w:val="pt-BR"/>
              </w:rPr>
            </w:pPr>
            <w:r w:rsidRPr="003C14F6">
              <w:rPr>
                <w:sz w:val="21"/>
                <w:lang w:val="pt-BR"/>
              </w:rPr>
              <w:t>Código Eleitoral, art. 23, IX; Lei n.º 9.504/1997, art. 105; Código Eleitoral, art. 23-A.</w:t>
            </w:r>
          </w:p>
        </w:tc>
      </w:tr>
      <w:tr w:rsidR="000C1E4F" w:rsidRPr="00135C4A" w14:paraId="4E154C8C" w14:textId="77777777">
        <w:trPr>
          <w:jc w:val="center"/>
        </w:trPr>
        <w:tc>
          <w:tcPr>
            <w:tcW w:w="1928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39B54459" w14:textId="77777777" w:rsidR="000C1E4F" w:rsidRPr="008067F5" w:rsidRDefault="00FE4F34">
            <w:pPr>
              <w:rPr>
                <w:b/>
              </w:rPr>
            </w:pPr>
            <w:r w:rsidRPr="008067F5">
              <w:rPr>
                <w:b/>
                <w:sz w:val="21"/>
              </w:rPr>
              <w:t>F2 – Vedação à inovação</w:t>
            </w:r>
          </w:p>
        </w:tc>
        <w:tc>
          <w:tcPr>
            <w:tcW w:w="4309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7A0BEFC8" w14:textId="77777777" w:rsidR="000C1E4F" w:rsidRPr="003C14F6" w:rsidRDefault="00FE4F34">
            <w:pPr>
              <w:rPr>
                <w:lang w:val="pt-BR"/>
              </w:rPr>
            </w:pPr>
            <w:r w:rsidRPr="003C14F6">
              <w:rPr>
                <w:sz w:val="21"/>
                <w:lang w:val="pt-BR"/>
              </w:rPr>
              <w:t>O dispositivo executa/densifica a lei ou cria obrigação primária?</w:t>
            </w:r>
          </w:p>
        </w:tc>
        <w:tc>
          <w:tcPr>
            <w:tcW w:w="2948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36FAC99D" w14:textId="1C95744E" w:rsidR="000C1E4F" w:rsidRPr="003C14F6" w:rsidRDefault="00FE4F34">
            <w:pPr>
              <w:rPr>
                <w:lang w:val="pt-BR"/>
              </w:rPr>
            </w:pPr>
            <w:r w:rsidRPr="003C14F6">
              <w:rPr>
                <w:sz w:val="21"/>
                <w:lang w:val="pt-BR"/>
              </w:rPr>
              <w:t xml:space="preserve">CF, art. 5.º, II; </w:t>
            </w:r>
            <w:r w:rsidR="003E4557">
              <w:rPr>
                <w:sz w:val="21"/>
                <w:lang w:val="pt-BR"/>
              </w:rPr>
              <w:t>teoria</w:t>
            </w:r>
            <w:r w:rsidRPr="003C14F6">
              <w:rPr>
                <w:sz w:val="21"/>
                <w:lang w:val="pt-BR"/>
              </w:rPr>
              <w:t xml:space="preserve"> do ato infralegal de execução (Mello, 2010; Di Pietro, 2019).</w:t>
            </w:r>
          </w:p>
        </w:tc>
      </w:tr>
      <w:tr w:rsidR="000C1E4F" w14:paraId="676D3FDA" w14:textId="77777777">
        <w:trPr>
          <w:jc w:val="center"/>
        </w:trPr>
        <w:tc>
          <w:tcPr>
            <w:tcW w:w="1928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22267FC3" w14:textId="77777777" w:rsidR="000C1E4F" w:rsidRPr="008067F5" w:rsidRDefault="00FE4F34">
            <w:pPr>
              <w:rPr>
                <w:b/>
              </w:rPr>
            </w:pPr>
            <w:r w:rsidRPr="008067F5">
              <w:rPr>
                <w:b/>
                <w:sz w:val="21"/>
              </w:rPr>
              <w:t>F3 – Anualidade</w:t>
            </w:r>
          </w:p>
        </w:tc>
        <w:tc>
          <w:tcPr>
            <w:tcW w:w="4309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3A001AB5" w14:textId="7EE1FDFF" w:rsidR="000C1E4F" w:rsidRPr="003C14F6" w:rsidRDefault="00FE4F34">
            <w:pPr>
              <w:rPr>
                <w:lang w:val="pt-BR"/>
              </w:rPr>
            </w:pPr>
            <w:r w:rsidRPr="003C14F6">
              <w:rPr>
                <w:sz w:val="21"/>
                <w:lang w:val="pt-BR"/>
              </w:rPr>
              <w:t>Há alteração material das regras do jogo</w:t>
            </w:r>
            <w:r w:rsidR="003E4557">
              <w:rPr>
                <w:sz w:val="21"/>
                <w:lang w:val="pt-BR"/>
              </w:rPr>
              <w:t xml:space="preserve"> no período proibido</w:t>
            </w:r>
            <w:r w:rsidRPr="003C14F6">
              <w:rPr>
                <w:sz w:val="21"/>
                <w:lang w:val="pt-BR"/>
              </w:rPr>
              <w:t>?</w:t>
            </w:r>
          </w:p>
        </w:tc>
        <w:tc>
          <w:tcPr>
            <w:tcW w:w="2948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310D5471" w14:textId="77777777" w:rsidR="000C1E4F" w:rsidRDefault="00FE4F34">
            <w:r>
              <w:rPr>
                <w:sz w:val="21"/>
              </w:rPr>
              <w:t>CF, art. 16.</w:t>
            </w:r>
          </w:p>
        </w:tc>
      </w:tr>
      <w:tr w:rsidR="000C1E4F" w:rsidRPr="00135C4A" w14:paraId="77AD6EA1" w14:textId="77777777">
        <w:trPr>
          <w:jc w:val="center"/>
        </w:trPr>
        <w:tc>
          <w:tcPr>
            <w:tcW w:w="1928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65376F00" w14:textId="77777777" w:rsidR="000C1E4F" w:rsidRPr="008067F5" w:rsidRDefault="00FE4F34">
            <w:pPr>
              <w:rPr>
                <w:b/>
              </w:rPr>
            </w:pPr>
            <w:r w:rsidRPr="008067F5">
              <w:rPr>
                <w:b/>
                <w:sz w:val="21"/>
              </w:rPr>
              <w:t>F4 – Proporcionalidade</w:t>
            </w:r>
          </w:p>
        </w:tc>
        <w:tc>
          <w:tcPr>
            <w:tcW w:w="4309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1AAA46EB" w14:textId="77777777" w:rsidR="000C1E4F" w:rsidRPr="003C14F6" w:rsidRDefault="00FE4F34">
            <w:pPr>
              <w:rPr>
                <w:lang w:val="pt-BR"/>
              </w:rPr>
            </w:pPr>
            <w:r w:rsidRPr="003C14F6">
              <w:rPr>
                <w:sz w:val="21"/>
                <w:lang w:val="pt-BR"/>
              </w:rPr>
              <w:t>A medida é adequada, necessária e ponderada?</w:t>
            </w:r>
          </w:p>
        </w:tc>
        <w:tc>
          <w:tcPr>
            <w:tcW w:w="2948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116F58C6" w14:textId="14BD85EC" w:rsidR="000C1E4F" w:rsidRPr="005A6CDA" w:rsidRDefault="0061494C">
            <w:pPr>
              <w:rPr>
                <w:lang w:val="pt-BR"/>
              </w:rPr>
            </w:pPr>
            <w:r w:rsidRPr="005A6CDA">
              <w:rPr>
                <w:sz w:val="21"/>
                <w:lang w:val="pt-BR"/>
              </w:rPr>
              <w:t xml:space="preserve">Teoria </w:t>
            </w:r>
            <w:r w:rsidR="005A6CDA" w:rsidRPr="005A6CDA">
              <w:rPr>
                <w:sz w:val="21"/>
                <w:lang w:val="pt-BR"/>
              </w:rPr>
              <w:t xml:space="preserve">dos princípios de Robert Alexy </w:t>
            </w:r>
            <w:r w:rsidR="005A6CDA">
              <w:rPr>
                <w:sz w:val="21"/>
                <w:lang w:val="pt-BR"/>
              </w:rPr>
              <w:t>(</w:t>
            </w:r>
            <w:r w:rsidR="00FE4F34" w:rsidRPr="005A6CDA">
              <w:rPr>
                <w:sz w:val="21"/>
                <w:lang w:val="pt-BR"/>
              </w:rPr>
              <w:t>Silva, 2002; Alexy, 2008</w:t>
            </w:r>
            <w:r w:rsidR="005A6CDA">
              <w:rPr>
                <w:sz w:val="21"/>
                <w:lang w:val="pt-BR"/>
              </w:rPr>
              <w:t>)</w:t>
            </w:r>
            <w:r w:rsidR="00FE4F34" w:rsidRPr="005A6CDA">
              <w:rPr>
                <w:sz w:val="21"/>
                <w:lang w:val="pt-BR"/>
              </w:rPr>
              <w:t>.</w:t>
            </w:r>
          </w:p>
        </w:tc>
      </w:tr>
      <w:tr w:rsidR="000C1E4F" w:rsidRPr="00135C4A" w14:paraId="7AC84EFD" w14:textId="77777777">
        <w:trPr>
          <w:jc w:val="center"/>
        </w:trPr>
        <w:tc>
          <w:tcPr>
            <w:tcW w:w="1928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537A1A5C" w14:textId="77777777" w:rsidR="000C1E4F" w:rsidRPr="008067F5" w:rsidRDefault="00FE4F34">
            <w:pPr>
              <w:rPr>
                <w:b/>
              </w:rPr>
            </w:pPr>
            <w:r w:rsidRPr="008067F5">
              <w:rPr>
                <w:b/>
                <w:sz w:val="21"/>
              </w:rPr>
              <w:t>F5 – Tipicidade sancionatória</w:t>
            </w:r>
          </w:p>
        </w:tc>
        <w:tc>
          <w:tcPr>
            <w:tcW w:w="4309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0E522FA4" w14:textId="77777777" w:rsidR="000C1E4F" w:rsidRPr="003C14F6" w:rsidRDefault="00FE4F34">
            <w:pPr>
              <w:rPr>
                <w:lang w:val="pt-BR"/>
              </w:rPr>
            </w:pPr>
            <w:r w:rsidRPr="003C14F6">
              <w:rPr>
                <w:sz w:val="21"/>
                <w:lang w:val="pt-BR"/>
              </w:rPr>
              <w:t>Há ancoragem legal para os efeitos jurídicos relevantes?</w:t>
            </w:r>
          </w:p>
        </w:tc>
        <w:tc>
          <w:tcPr>
            <w:tcW w:w="2948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01FA4F7E" w14:textId="77777777" w:rsidR="000C1E4F" w:rsidRPr="003C14F6" w:rsidRDefault="00FE4F34">
            <w:pPr>
              <w:rPr>
                <w:lang w:val="pt-BR"/>
              </w:rPr>
            </w:pPr>
            <w:r w:rsidRPr="003C14F6">
              <w:rPr>
                <w:sz w:val="21"/>
                <w:lang w:val="pt-BR"/>
              </w:rPr>
              <w:t>Lei n.º 9.504/1997; LC n.º 64/1990; garantias do art. 5.º, II e XXXIX, da CF.</w:t>
            </w:r>
          </w:p>
        </w:tc>
      </w:tr>
      <w:tr w:rsidR="000C1E4F" w:rsidRPr="00135C4A" w14:paraId="1C2F085B" w14:textId="77777777">
        <w:trPr>
          <w:jc w:val="center"/>
        </w:trPr>
        <w:tc>
          <w:tcPr>
            <w:tcW w:w="1928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718B4548" w14:textId="77777777" w:rsidR="000C1E4F" w:rsidRPr="008067F5" w:rsidRDefault="00FE4F34">
            <w:pPr>
              <w:rPr>
                <w:b/>
              </w:rPr>
            </w:pPr>
            <w:r w:rsidRPr="008067F5">
              <w:rPr>
                <w:b/>
                <w:sz w:val="21"/>
              </w:rPr>
              <w:t>F6 – Legitimidade procedimental</w:t>
            </w:r>
          </w:p>
        </w:tc>
        <w:tc>
          <w:tcPr>
            <w:tcW w:w="4309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06EDD85E" w14:textId="77777777" w:rsidR="000C1E4F" w:rsidRPr="003C14F6" w:rsidRDefault="00FE4F34">
            <w:pPr>
              <w:rPr>
                <w:lang w:val="pt-BR"/>
              </w:rPr>
            </w:pPr>
            <w:r w:rsidRPr="003C14F6">
              <w:rPr>
                <w:sz w:val="21"/>
                <w:lang w:val="pt-BR"/>
              </w:rPr>
              <w:t>Houve participação, motivação, transparência e contraditório suficiente?</w:t>
            </w:r>
          </w:p>
        </w:tc>
        <w:tc>
          <w:tcPr>
            <w:tcW w:w="2948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6D922F57" w14:textId="61C84C78" w:rsidR="000C1E4F" w:rsidRPr="003C14F6" w:rsidRDefault="00FE4F34">
            <w:pPr>
              <w:rPr>
                <w:lang w:val="pt-BR"/>
              </w:rPr>
            </w:pPr>
            <w:r w:rsidRPr="003C14F6">
              <w:rPr>
                <w:sz w:val="21"/>
                <w:lang w:val="pt-BR"/>
              </w:rPr>
              <w:t xml:space="preserve">Lei n.º 9.504/1997, art. 105; </w:t>
            </w:r>
            <w:r w:rsidR="008A415A" w:rsidRPr="008A415A">
              <w:rPr>
                <w:sz w:val="21"/>
                <w:lang w:val="pt-BR"/>
              </w:rPr>
              <w:t xml:space="preserve">teoria </w:t>
            </w:r>
            <w:r w:rsidR="008A415A">
              <w:rPr>
                <w:sz w:val="21"/>
                <w:lang w:val="pt-BR"/>
              </w:rPr>
              <w:t>D</w:t>
            </w:r>
            <w:r w:rsidR="008A415A" w:rsidRPr="008A415A">
              <w:rPr>
                <w:sz w:val="21"/>
                <w:lang w:val="pt-BR"/>
              </w:rPr>
              <w:t xml:space="preserve">iscursiva do </w:t>
            </w:r>
            <w:r w:rsidR="008A415A">
              <w:rPr>
                <w:sz w:val="21"/>
                <w:lang w:val="pt-BR"/>
              </w:rPr>
              <w:t>D</w:t>
            </w:r>
            <w:r w:rsidR="008A415A" w:rsidRPr="008A415A">
              <w:rPr>
                <w:sz w:val="21"/>
                <w:lang w:val="pt-BR"/>
              </w:rPr>
              <w:t xml:space="preserve">ireito e da </w:t>
            </w:r>
            <w:r w:rsidR="008A415A">
              <w:rPr>
                <w:sz w:val="21"/>
                <w:lang w:val="pt-BR"/>
              </w:rPr>
              <w:t>D</w:t>
            </w:r>
            <w:r w:rsidR="008A415A" w:rsidRPr="008A415A">
              <w:rPr>
                <w:sz w:val="21"/>
                <w:lang w:val="pt-BR"/>
              </w:rPr>
              <w:t>emocracia</w:t>
            </w:r>
            <w:r w:rsidR="008A415A">
              <w:rPr>
                <w:sz w:val="21"/>
                <w:lang w:val="pt-BR"/>
              </w:rPr>
              <w:t xml:space="preserve"> (</w:t>
            </w:r>
            <w:r w:rsidRPr="003C14F6">
              <w:rPr>
                <w:sz w:val="21"/>
                <w:lang w:val="pt-BR"/>
              </w:rPr>
              <w:t>Habermas, 1997</w:t>
            </w:r>
            <w:r w:rsidR="008A415A">
              <w:rPr>
                <w:sz w:val="21"/>
                <w:lang w:val="pt-BR"/>
              </w:rPr>
              <w:t>)</w:t>
            </w:r>
            <w:r w:rsidRPr="003C14F6">
              <w:rPr>
                <w:sz w:val="21"/>
                <w:lang w:val="pt-BR"/>
              </w:rPr>
              <w:t>; garantias do art. 5.º, LIV e LV, da CF.</w:t>
            </w:r>
          </w:p>
        </w:tc>
      </w:tr>
    </w:tbl>
    <w:p w14:paraId="53604653" w14:textId="77777777" w:rsidR="000C1E4F" w:rsidRPr="003C14F6" w:rsidRDefault="000C1E4F">
      <w:pPr>
        <w:rPr>
          <w:lang w:val="pt-BR"/>
        </w:rPr>
      </w:pPr>
    </w:p>
    <w:p w14:paraId="2F76D1FE" w14:textId="05EB8F60" w:rsidR="000C1E4F" w:rsidRDefault="00FE4F34">
      <w:pPr>
        <w:spacing w:after="120"/>
        <w:ind w:firstLine="709"/>
        <w:jc w:val="both"/>
        <w:rPr>
          <w:lang w:val="pt-BR"/>
        </w:rPr>
      </w:pPr>
      <w:r w:rsidRPr="003C14F6">
        <w:rPr>
          <w:lang w:val="pt-BR"/>
        </w:rPr>
        <w:t xml:space="preserve">Embora os filtros possam ser apresentados separadamente, sua aplicação é cumulativa e interdependente. Um ato formalmente habilitado pode falhar por desproporção; um ato proporcional em abstrato pode fracassar por ausência de base sancionatória; um comando materialmente defensável pode tornar-se ilegítimo se formulado ou aplicado sem garantias procedimentais mínimas. A utilidade do TFM está justamente em impedir que um único argumento </w:t>
      </w:r>
      <w:r w:rsidR="008337A6">
        <w:rPr>
          <w:lang w:val="pt-BR"/>
        </w:rPr>
        <w:t>–</w:t>
      </w:r>
      <w:r w:rsidRPr="003C14F6">
        <w:rPr>
          <w:lang w:val="pt-BR"/>
        </w:rPr>
        <w:t xml:space="preserve"> por exemplo, “a democracia exige reação” </w:t>
      </w:r>
      <w:r w:rsidR="008337A6">
        <w:rPr>
          <w:lang w:val="pt-BR"/>
        </w:rPr>
        <w:t>–</w:t>
      </w:r>
      <w:r w:rsidRPr="003C14F6">
        <w:rPr>
          <w:lang w:val="pt-BR"/>
        </w:rPr>
        <w:t xml:space="preserve"> absorva todas as demais exigências de validade.</w:t>
      </w:r>
    </w:p>
    <w:p w14:paraId="7DEB9645" w14:textId="5E5E18BC" w:rsidR="00780170" w:rsidRPr="00780170" w:rsidRDefault="00780170" w:rsidP="00780170">
      <w:pPr>
        <w:spacing w:after="120"/>
        <w:jc w:val="center"/>
        <w:rPr>
          <w:b/>
          <w:bCs/>
          <w:lang w:val="pt-BR"/>
        </w:rPr>
      </w:pPr>
      <w:r w:rsidRPr="00780170">
        <w:rPr>
          <w:b/>
          <w:bCs/>
          <w:lang w:val="pt-BR"/>
        </w:rPr>
        <w:t>DESENVOLVIMENTO</w:t>
      </w:r>
    </w:p>
    <w:p w14:paraId="7C62D011" w14:textId="77777777" w:rsidR="000C1E4F" w:rsidRPr="003C14F6" w:rsidRDefault="00FE4F34" w:rsidP="008337A6">
      <w:pPr>
        <w:pStyle w:val="SubHeading"/>
        <w:spacing w:before="200" w:after="80" w:line="240" w:lineRule="auto"/>
        <w:jc w:val="both"/>
        <w:rPr>
          <w:lang w:val="pt-BR"/>
        </w:rPr>
      </w:pPr>
      <w:r w:rsidRPr="003C14F6">
        <w:rPr>
          <w:lang w:val="pt-BR"/>
        </w:rPr>
        <w:t>4. APLICAÇÃO DO TFM ÀS RESOLUÇÕES DE 2024</w:t>
      </w:r>
    </w:p>
    <w:p w14:paraId="75D5115C" w14:textId="77777777" w:rsidR="000C1E4F" w:rsidRPr="003C14F6" w:rsidRDefault="00FE4F34">
      <w:pPr>
        <w:spacing w:after="120"/>
        <w:ind w:firstLine="709"/>
        <w:jc w:val="both"/>
        <w:rPr>
          <w:lang w:val="pt-BR"/>
        </w:rPr>
      </w:pPr>
      <w:r w:rsidRPr="003C14F6">
        <w:rPr>
          <w:lang w:val="pt-BR"/>
        </w:rPr>
        <w:t>A submissão dos núcleos normativos mais sensíveis das resoluções de 2024 ao TFM revela resultado nuançado. Não se confirma a tese maximalista segundo a qual o TSE teria simplesmente legislado em lugar do Congresso. Tampouco se sustenta, de modo convincente, a leitura oposta, segundo a qual toda a disciplina editada seria meramente técnica e imune a controvérsias constitucionais. O padrão predominante é o de densificação executiva; as tensões reais, porém, concentram-se em pontos específicos.</w:t>
      </w:r>
    </w:p>
    <w:p w14:paraId="0A07F9ED" w14:textId="77777777" w:rsidR="000C1E4F" w:rsidRPr="003C14F6" w:rsidRDefault="00FE4F34">
      <w:pPr>
        <w:pStyle w:val="SubHeading"/>
        <w:spacing w:before="200" w:after="80" w:line="240" w:lineRule="auto"/>
        <w:rPr>
          <w:lang w:val="pt-BR"/>
        </w:rPr>
      </w:pPr>
      <w:r w:rsidRPr="003C14F6">
        <w:rPr>
          <w:lang w:val="pt-BR"/>
        </w:rPr>
        <w:t>4.1 Competência formal: base legal e modelagem de autocontenção</w:t>
      </w:r>
    </w:p>
    <w:p w14:paraId="6F0BA42E" w14:textId="28A3D130" w:rsidR="000C1E4F" w:rsidRPr="003C14F6" w:rsidRDefault="00FE4F34">
      <w:pPr>
        <w:spacing w:after="120"/>
        <w:ind w:firstLine="709"/>
        <w:jc w:val="both"/>
        <w:rPr>
          <w:lang w:val="pt-BR"/>
        </w:rPr>
      </w:pPr>
      <w:r w:rsidRPr="003C14F6">
        <w:rPr>
          <w:lang w:val="pt-BR"/>
        </w:rPr>
        <w:t xml:space="preserve">O primeiro filtro mostra que as resoluções de 2024 não surgem normativamente no vazio. A Corte invoca, de modo reiterado, o art. 23, IX, do Código Eleitoral e o art. 105 da Lei n.º </w:t>
      </w:r>
      <w:r w:rsidRPr="003C14F6">
        <w:rPr>
          <w:lang w:val="pt-BR"/>
        </w:rPr>
        <w:lastRenderedPageBreak/>
        <w:t xml:space="preserve">9.504/1997. Em termos de habilitação formal, isso não é trivial. Significa que o TSE se apresenta como órgão executor da legislação eleitoral, e não como fonte autônoma de conteúdo normativo. A própria relação entre as resoluções reforça essa ideia: a </w:t>
      </w:r>
      <w:r w:rsidR="001407F8">
        <w:rPr>
          <w:lang w:val="pt-BR"/>
        </w:rPr>
        <w:t xml:space="preserve">resolução </w:t>
      </w:r>
      <w:r w:rsidRPr="003C14F6">
        <w:rPr>
          <w:lang w:val="pt-BR"/>
        </w:rPr>
        <w:t xml:space="preserve">23.732 altera a 23.610; a </w:t>
      </w:r>
      <w:r w:rsidR="001407F8">
        <w:rPr>
          <w:lang w:val="pt-BR"/>
        </w:rPr>
        <w:t xml:space="preserve">resolução </w:t>
      </w:r>
      <w:r w:rsidRPr="003C14F6">
        <w:rPr>
          <w:lang w:val="pt-BR"/>
        </w:rPr>
        <w:t xml:space="preserve">23.733 altera a 23.608; a </w:t>
      </w:r>
      <w:r w:rsidR="001407F8">
        <w:rPr>
          <w:lang w:val="pt-BR"/>
        </w:rPr>
        <w:t xml:space="preserve">resolução </w:t>
      </w:r>
      <w:r w:rsidRPr="003C14F6">
        <w:rPr>
          <w:lang w:val="pt-BR"/>
        </w:rPr>
        <w:t xml:space="preserve">23.735 organiza ilícitos já ancorados no ordenamento. Há, portanto, esforço de inscrição do novo dentro de </w:t>
      </w:r>
      <w:r w:rsidR="001407F8">
        <w:rPr>
          <w:lang w:val="pt-BR"/>
        </w:rPr>
        <w:t>caminhos</w:t>
      </w:r>
      <w:r w:rsidRPr="003C14F6">
        <w:rPr>
          <w:lang w:val="pt-BR"/>
        </w:rPr>
        <w:t xml:space="preserve"> jurídic</w:t>
      </w:r>
      <w:r w:rsidR="001407F8">
        <w:rPr>
          <w:lang w:val="pt-BR"/>
        </w:rPr>
        <w:t>o</w:t>
      </w:r>
      <w:r w:rsidRPr="003C14F6">
        <w:rPr>
          <w:lang w:val="pt-BR"/>
        </w:rPr>
        <w:t>s preexistentes.</w:t>
      </w:r>
    </w:p>
    <w:p w14:paraId="2CA6638F" w14:textId="794E42F3" w:rsidR="000C1E4F" w:rsidRPr="003C14F6" w:rsidRDefault="00FE4F34">
      <w:pPr>
        <w:spacing w:after="120"/>
        <w:ind w:firstLine="709"/>
        <w:jc w:val="both"/>
        <w:rPr>
          <w:lang w:val="pt-BR"/>
        </w:rPr>
      </w:pPr>
      <w:r w:rsidRPr="003C14F6">
        <w:rPr>
          <w:lang w:val="pt-BR"/>
        </w:rPr>
        <w:t xml:space="preserve">Mas a competência não pode ser </w:t>
      </w:r>
      <w:r w:rsidR="001407F8">
        <w:rPr>
          <w:lang w:val="pt-BR"/>
        </w:rPr>
        <w:t>compreendida</w:t>
      </w:r>
      <w:r w:rsidRPr="003C14F6">
        <w:rPr>
          <w:lang w:val="pt-BR"/>
        </w:rPr>
        <w:t xml:space="preserve"> em sentido expansivo. O art. 23-A do Código Eleitoral e o trecho final do art. 105 da Lei n.º 9.504/1997 </w:t>
      </w:r>
      <w:r w:rsidR="001407F8">
        <w:rPr>
          <w:lang w:val="pt-BR"/>
        </w:rPr>
        <w:t>exigem</w:t>
      </w:r>
      <w:r w:rsidRPr="003C14F6">
        <w:rPr>
          <w:lang w:val="pt-BR"/>
        </w:rPr>
        <w:t xml:space="preserve"> leitura restritiva. O poder de instrução é legalmente conformado. Isso significa que, mesmo quando a matéria é nova sob o ponto de vista tecnológico, a Corte precisa demonstrar que a novidade regulatória é imputável, por densificação, a comandos já existentes em lei. Em outros termos: a tecnologia pode ser nova; a competência para discipliná-la não nasce por isso automaticamente.</w:t>
      </w:r>
    </w:p>
    <w:p w14:paraId="06463FB1" w14:textId="77777777" w:rsidR="000C1E4F" w:rsidRPr="003C14F6" w:rsidRDefault="00FE4F34" w:rsidP="00B052B6">
      <w:pPr>
        <w:pStyle w:val="SubHeading"/>
        <w:spacing w:before="200" w:after="80" w:line="240" w:lineRule="auto"/>
        <w:jc w:val="both"/>
        <w:rPr>
          <w:lang w:val="pt-BR"/>
        </w:rPr>
      </w:pPr>
      <w:r w:rsidRPr="003C14F6">
        <w:rPr>
          <w:lang w:val="pt-BR"/>
        </w:rPr>
        <w:t xml:space="preserve">4.2 Vedação à inovação: densificação </w:t>
      </w:r>
      <w:r w:rsidRPr="00B052B6">
        <w:rPr>
          <w:i/>
          <w:iCs/>
          <w:lang w:val="pt-BR"/>
        </w:rPr>
        <w:t>versus</w:t>
      </w:r>
      <w:r w:rsidRPr="003C14F6">
        <w:rPr>
          <w:lang w:val="pt-BR"/>
        </w:rPr>
        <w:t xml:space="preserve"> criação de deveres</w:t>
      </w:r>
    </w:p>
    <w:p w14:paraId="50061B81" w14:textId="700DB1BC" w:rsidR="000C1E4F" w:rsidRPr="003C14F6" w:rsidRDefault="00FE4F34">
      <w:pPr>
        <w:spacing w:after="120"/>
        <w:ind w:firstLine="709"/>
        <w:jc w:val="both"/>
        <w:rPr>
          <w:lang w:val="pt-BR"/>
        </w:rPr>
      </w:pPr>
      <w:r w:rsidRPr="003C14F6">
        <w:rPr>
          <w:lang w:val="pt-BR"/>
        </w:rPr>
        <w:t xml:space="preserve">O segundo filtro constitui o centro nervoso da controvérsia. Em matéria eleitoral, a linguagem legal é, em vários pontos, aberta: “abuso de poder”, “uso indevido dos meios de comunicação”, “fatos sabidamente inverídicos”, “propaganda irregular”, “lisura do pleito”. Nenhuma dessas fórmulas foi desenhada originalmente para um mundo de </w:t>
      </w:r>
      <w:r w:rsidRPr="00B052B6">
        <w:rPr>
          <w:i/>
          <w:iCs/>
          <w:lang w:val="pt-BR"/>
        </w:rPr>
        <w:t>deepfakes</w:t>
      </w:r>
      <w:r w:rsidRPr="003C14F6">
        <w:rPr>
          <w:lang w:val="pt-BR"/>
        </w:rPr>
        <w:t xml:space="preserve">, </w:t>
      </w:r>
      <w:r w:rsidRPr="00B052B6">
        <w:rPr>
          <w:i/>
          <w:iCs/>
          <w:lang w:val="pt-BR"/>
        </w:rPr>
        <w:t>bots</w:t>
      </w:r>
      <w:r w:rsidRPr="003C14F6">
        <w:rPr>
          <w:lang w:val="pt-BR"/>
        </w:rPr>
        <w:t xml:space="preserve">, recomendação algorítmica e viralização multimídia em tempo real. Ainda assim, isso não implica, por si só, que o TSE esteja impedido de densificá-las. A questão é saber até </w:t>
      </w:r>
      <w:r w:rsidR="0041385F">
        <w:rPr>
          <w:lang w:val="pt-BR"/>
        </w:rPr>
        <w:t>que ponto</w:t>
      </w:r>
      <w:r w:rsidRPr="003C14F6">
        <w:rPr>
          <w:lang w:val="pt-BR"/>
        </w:rPr>
        <w:t xml:space="preserve"> essa </w:t>
      </w:r>
      <w:r w:rsidR="0041385F">
        <w:rPr>
          <w:lang w:val="pt-BR"/>
        </w:rPr>
        <w:t>concretização</w:t>
      </w:r>
      <w:r w:rsidRPr="003C14F6">
        <w:rPr>
          <w:lang w:val="pt-BR"/>
        </w:rPr>
        <w:t xml:space="preserve"> pode ir sem se converter em produção autônoma de deveres.</w:t>
      </w:r>
    </w:p>
    <w:p w14:paraId="1559F22B" w14:textId="4C33319E" w:rsidR="000C1E4F" w:rsidRPr="003C14F6" w:rsidRDefault="00FE4F34">
      <w:pPr>
        <w:spacing w:after="120"/>
        <w:ind w:firstLine="709"/>
        <w:jc w:val="both"/>
        <w:rPr>
          <w:lang w:val="pt-BR"/>
        </w:rPr>
      </w:pPr>
      <w:r w:rsidRPr="003C14F6">
        <w:rPr>
          <w:lang w:val="pt-BR"/>
        </w:rPr>
        <w:t xml:space="preserve">No caso da vedação a </w:t>
      </w:r>
      <w:r w:rsidRPr="0041385F">
        <w:rPr>
          <w:i/>
          <w:iCs/>
          <w:lang w:val="pt-BR"/>
        </w:rPr>
        <w:t>deepfakes</w:t>
      </w:r>
      <w:r w:rsidRPr="003C14F6">
        <w:rPr>
          <w:lang w:val="pt-BR"/>
        </w:rPr>
        <w:t xml:space="preserve"> prejudiciais, </w:t>
      </w:r>
      <w:r w:rsidR="00E74D7B">
        <w:rPr>
          <w:lang w:val="pt-BR"/>
        </w:rPr>
        <w:t>su</w:t>
      </w:r>
      <w:r w:rsidRPr="003C14F6">
        <w:rPr>
          <w:lang w:val="pt-BR"/>
        </w:rPr>
        <w:t xml:space="preserve">a </w:t>
      </w:r>
      <w:r w:rsidR="00E74D7B">
        <w:rPr>
          <w:lang w:val="pt-BR"/>
        </w:rPr>
        <w:t>compreensão</w:t>
      </w:r>
      <w:r w:rsidRPr="003C14F6">
        <w:rPr>
          <w:lang w:val="pt-BR"/>
        </w:rPr>
        <w:t xml:space="preserve"> como densificação executiva é relativamente </w:t>
      </w:r>
      <w:r w:rsidR="0041385F">
        <w:rPr>
          <w:lang w:val="pt-BR"/>
        </w:rPr>
        <w:t>forte</w:t>
      </w:r>
      <w:r w:rsidRPr="003C14F6">
        <w:rPr>
          <w:lang w:val="pt-BR"/>
        </w:rPr>
        <w:t xml:space="preserve">. Simulações hiper-realistas de pessoa real em contexto eleitoral, aptas a induzir erro relevante do eleitor e a manipular percepções sobre fato politicamente sensível, podem ser compreendidas como modalidade contemporânea de fraude comunicativa lesiva à integridade do pleito. A resolução, nesse ponto, não precisa ser lida como criação </w:t>
      </w:r>
      <w:r w:rsidRPr="0041385F">
        <w:rPr>
          <w:i/>
          <w:iCs/>
          <w:lang w:val="pt-BR"/>
        </w:rPr>
        <w:t>ex nihilo</w:t>
      </w:r>
      <w:r w:rsidRPr="003C14F6">
        <w:rPr>
          <w:lang w:val="pt-BR"/>
        </w:rPr>
        <w:t xml:space="preserve"> de ilícito, mas como explicitação descritiva de hipótese já juridicamente reprovável sob outras categorias do direito eleitoral.</w:t>
      </w:r>
    </w:p>
    <w:p w14:paraId="36AC07FB" w14:textId="4FE8AD3F" w:rsidR="000C1E4F" w:rsidRPr="003C14F6" w:rsidRDefault="00FE4F34">
      <w:pPr>
        <w:spacing w:after="120"/>
        <w:ind w:firstLine="709"/>
        <w:jc w:val="both"/>
        <w:rPr>
          <w:lang w:val="pt-BR"/>
        </w:rPr>
      </w:pPr>
      <w:r w:rsidRPr="003C14F6">
        <w:rPr>
          <w:lang w:val="pt-BR"/>
        </w:rPr>
        <w:t>Mais delicado</w:t>
      </w:r>
      <w:r w:rsidR="00E74D7B">
        <w:rPr>
          <w:lang w:val="pt-BR"/>
        </w:rPr>
        <w:t>, contudo,</w:t>
      </w:r>
      <w:r w:rsidRPr="003C14F6">
        <w:rPr>
          <w:lang w:val="pt-BR"/>
        </w:rPr>
        <w:t xml:space="preserve"> é o caso da rotulagem obrigatória de conteúdo sintético. Aqui há imposição de dever positivo de informação que não se encontra redigido, nessa literalidade, em lei formal. Ainda assim, é possível defendê-lo como desdobramento executório da transparência da propaganda, desde que se compreenda o dever como meio instrumental de evitar ocultação enganosa da artificialidade da peça, e não como autorização genérica para etiquetagem estigmatizante de qualquer uso de IA. A constitucionalidade, portanto, não é automática; depende de interpretação estrita, calibração técnica simples e incidência apenas sobre conteúdo capaz de produzir risco real de confusão relevante.</w:t>
      </w:r>
    </w:p>
    <w:p w14:paraId="00BAF00B" w14:textId="64364360" w:rsidR="000C1E4F" w:rsidRPr="003C14F6" w:rsidRDefault="00FE4F34" w:rsidP="0055458C">
      <w:pPr>
        <w:pStyle w:val="SubHeading"/>
        <w:spacing w:before="200" w:after="80" w:line="240" w:lineRule="auto"/>
        <w:jc w:val="both"/>
        <w:rPr>
          <w:lang w:val="pt-BR"/>
        </w:rPr>
      </w:pPr>
      <w:r w:rsidRPr="003C14F6">
        <w:rPr>
          <w:lang w:val="pt-BR"/>
        </w:rPr>
        <w:t xml:space="preserve">4.3 Anualidade eleitoral: quando procedimento começa a </w:t>
      </w:r>
      <w:r w:rsidR="0055458C">
        <w:rPr>
          <w:lang w:val="pt-BR"/>
        </w:rPr>
        <w:t>alterar</w:t>
      </w:r>
      <w:r w:rsidRPr="003C14F6">
        <w:rPr>
          <w:lang w:val="pt-BR"/>
        </w:rPr>
        <w:t xml:space="preserve"> as regras do jogo</w:t>
      </w:r>
    </w:p>
    <w:p w14:paraId="1E9790E4" w14:textId="77777777" w:rsidR="000C1E4F" w:rsidRPr="003C14F6" w:rsidRDefault="00FE4F34">
      <w:pPr>
        <w:spacing w:after="120"/>
        <w:ind w:firstLine="709"/>
        <w:jc w:val="both"/>
        <w:rPr>
          <w:lang w:val="pt-BR"/>
        </w:rPr>
      </w:pPr>
      <w:r w:rsidRPr="003C14F6">
        <w:rPr>
          <w:lang w:val="pt-BR"/>
        </w:rPr>
        <w:t xml:space="preserve">O art. 16 da Constituição protege a previsibilidade da disputa eleitoral ao vedar mudanças casuísticas das regras do pleito em período próximo à eleição. Nem toda resolução do TSE aciona essa garantia. Muito do que a Corte faz diz respeito à operacionalização do processo, à </w:t>
      </w:r>
      <w:r w:rsidRPr="003C14F6">
        <w:rPr>
          <w:lang w:val="pt-BR"/>
        </w:rPr>
        <w:lastRenderedPageBreak/>
        <w:t>atualização de rotinas, à disciplina de prazos ou à explicitação de comandos previamente contidos em lei. O problema surge quando a aparência procedimental encobre alteração material das condições de competição.</w:t>
      </w:r>
    </w:p>
    <w:p w14:paraId="379E4BD4" w14:textId="3C37A53F" w:rsidR="000C1E4F" w:rsidRPr="003C14F6" w:rsidRDefault="00FE4F34">
      <w:pPr>
        <w:spacing w:after="120"/>
        <w:ind w:firstLine="709"/>
        <w:jc w:val="both"/>
        <w:rPr>
          <w:lang w:val="pt-BR"/>
        </w:rPr>
      </w:pPr>
      <w:r w:rsidRPr="003C14F6">
        <w:rPr>
          <w:lang w:val="pt-BR"/>
        </w:rPr>
        <w:t xml:space="preserve">Na análise das resoluções de 2024, o maior cuidado recai sobre mudanças relacionadas a fluxo de </w:t>
      </w:r>
      <w:r w:rsidRPr="000E0859">
        <w:rPr>
          <w:i/>
          <w:iCs/>
          <w:lang w:val="pt-BR"/>
        </w:rPr>
        <w:t>enforcement</w:t>
      </w:r>
      <w:r w:rsidRPr="003C14F6">
        <w:rPr>
          <w:lang w:val="pt-BR"/>
        </w:rPr>
        <w:t xml:space="preserve"> e resposta rápida. A</w:t>
      </w:r>
      <w:r w:rsidR="000E0859">
        <w:rPr>
          <w:lang w:val="pt-BR"/>
        </w:rPr>
        <w:t xml:space="preserve"> resolução n.º</w:t>
      </w:r>
      <w:r w:rsidRPr="003C14F6">
        <w:rPr>
          <w:lang w:val="pt-BR"/>
        </w:rPr>
        <w:t xml:space="preserve"> 23.733, ao reorganizar representações, reclamações e pedidos de direito de resposta, tenta adaptar o processo à velocidade do dano digital. Em si mesma, essa adaptação pode ser </w:t>
      </w:r>
      <w:r w:rsidR="005F2EE9">
        <w:rPr>
          <w:lang w:val="pt-BR"/>
        </w:rPr>
        <w:t>entendida</w:t>
      </w:r>
      <w:r w:rsidRPr="003C14F6">
        <w:rPr>
          <w:lang w:val="pt-BR"/>
        </w:rPr>
        <w:t xml:space="preserve"> como disciplina procedimental executiva. O </w:t>
      </w:r>
      <w:r w:rsidR="005F2EE9">
        <w:rPr>
          <w:lang w:val="pt-BR"/>
        </w:rPr>
        <w:t>problema aparece</w:t>
      </w:r>
      <w:r w:rsidRPr="003C14F6">
        <w:rPr>
          <w:lang w:val="pt-BR"/>
        </w:rPr>
        <w:t xml:space="preserve"> quando a compressão do tempo, combinada com medidas liminares de alta eficácia, altera de fato as condições de circulação de mensagens políticas </w:t>
      </w:r>
      <w:r w:rsidR="00C9124C">
        <w:rPr>
          <w:lang w:val="pt-BR"/>
        </w:rPr>
        <w:t>em momento</w:t>
      </w:r>
      <w:r w:rsidRPr="003C14F6">
        <w:rPr>
          <w:lang w:val="pt-BR"/>
        </w:rPr>
        <w:t xml:space="preserve"> decisiv</w:t>
      </w:r>
      <w:r w:rsidR="00C9124C">
        <w:rPr>
          <w:lang w:val="pt-BR"/>
        </w:rPr>
        <w:t>o</w:t>
      </w:r>
      <w:r w:rsidRPr="003C14F6">
        <w:rPr>
          <w:lang w:val="pt-BR"/>
        </w:rPr>
        <w:t xml:space="preserve"> da campanha. Nessa hipótese, um desenho formalmente processual pode gerar efeitos materiais relevantes sobre a competição.</w:t>
      </w:r>
    </w:p>
    <w:p w14:paraId="4ECFD08E" w14:textId="577DC087" w:rsidR="000C1E4F" w:rsidRPr="003C14F6" w:rsidRDefault="00FE4F34">
      <w:pPr>
        <w:spacing w:after="120"/>
        <w:ind w:firstLine="709"/>
        <w:jc w:val="both"/>
        <w:rPr>
          <w:lang w:val="pt-BR"/>
        </w:rPr>
      </w:pPr>
      <w:r w:rsidRPr="003C14F6">
        <w:rPr>
          <w:lang w:val="pt-BR"/>
        </w:rPr>
        <w:t>Daí a necessidade de leitura restritiva</w:t>
      </w:r>
      <w:r w:rsidR="00C9124C">
        <w:rPr>
          <w:lang w:val="pt-BR"/>
        </w:rPr>
        <w:t>, uma vez que</w:t>
      </w:r>
      <w:r w:rsidRPr="003C14F6">
        <w:rPr>
          <w:lang w:val="pt-BR"/>
        </w:rPr>
        <w:t xml:space="preserve"> a atuação acelerada só se justifica quando dirigida a conter dano de rápida irreversibilidade e acompanhada de contraditório subsequente efetivo, revisão célere e fundamentação qualificada. Sem isso, o procedimento </w:t>
      </w:r>
      <w:r w:rsidR="00C9124C">
        <w:rPr>
          <w:lang w:val="pt-BR"/>
        </w:rPr>
        <w:t xml:space="preserve">perde sua justificativa </w:t>
      </w:r>
      <w:r w:rsidRPr="003C14F6">
        <w:rPr>
          <w:lang w:val="pt-BR"/>
        </w:rPr>
        <w:t xml:space="preserve">de ser </w:t>
      </w:r>
      <w:r w:rsidR="00C9124C">
        <w:rPr>
          <w:lang w:val="pt-BR"/>
        </w:rPr>
        <w:t>apenas</w:t>
      </w:r>
      <w:r w:rsidRPr="003C14F6">
        <w:rPr>
          <w:lang w:val="pt-BR"/>
        </w:rPr>
        <w:t xml:space="preserve"> técnica de execução</w:t>
      </w:r>
      <w:r w:rsidR="00C9124C">
        <w:rPr>
          <w:lang w:val="pt-BR"/>
        </w:rPr>
        <w:t>, passando</w:t>
      </w:r>
      <w:r w:rsidRPr="003C14F6">
        <w:rPr>
          <w:lang w:val="pt-BR"/>
        </w:rPr>
        <w:t xml:space="preserve"> a funcionar como mecanismo material de interferência no jogo eleitoral.</w:t>
      </w:r>
    </w:p>
    <w:p w14:paraId="1580B327" w14:textId="77777777" w:rsidR="000C1E4F" w:rsidRPr="003C14F6" w:rsidRDefault="00FE4F34" w:rsidP="00C9124C">
      <w:pPr>
        <w:pStyle w:val="SubHeading"/>
        <w:spacing w:before="200" w:after="80" w:line="240" w:lineRule="auto"/>
        <w:jc w:val="both"/>
        <w:rPr>
          <w:lang w:val="pt-BR"/>
        </w:rPr>
      </w:pPr>
      <w:r w:rsidRPr="003C14F6">
        <w:rPr>
          <w:lang w:val="pt-BR"/>
        </w:rPr>
        <w:t>4.4 Proporcionalidade: a medida certa em ambiente de alta pressão</w:t>
      </w:r>
    </w:p>
    <w:p w14:paraId="0565914D" w14:textId="77777777" w:rsidR="000C1E4F" w:rsidRPr="003C14F6" w:rsidRDefault="00FE4F34">
      <w:pPr>
        <w:spacing w:after="120"/>
        <w:ind w:firstLine="709"/>
        <w:jc w:val="both"/>
        <w:rPr>
          <w:lang w:val="pt-BR"/>
        </w:rPr>
      </w:pPr>
      <w:r w:rsidRPr="003C14F6">
        <w:rPr>
          <w:lang w:val="pt-BR"/>
        </w:rPr>
        <w:t>Quando a regulação incide sobre propaganda política e liberdade de expressão, a proporcionalidade não pode ser tratada como adorno retórico. É preciso examinar, em concreto, a adequação do meio empregado, a necessidade de sua adoção diante de alternativas menos restritivas e o balanço entre benefício institucional e custo para o debate público (Silva, 2002; Alexy, 2008). A vantagem do TFM é obrigar esse exame em cada núcleo.</w:t>
      </w:r>
    </w:p>
    <w:p w14:paraId="2483D7F1" w14:textId="5D402DFE" w:rsidR="000C1E4F" w:rsidRPr="003C14F6" w:rsidRDefault="00FE4F34">
      <w:pPr>
        <w:spacing w:after="120"/>
        <w:ind w:firstLine="709"/>
        <w:jc w:val="both"/>
        <w:rPr>
          <w:lang w:val="pt-BR"/>
        </w:rPr>
      </w:pPr>
      <w:r w:rsidRPr="003C14F6">
        <w:rPr>
          <w:lang w:val="pt-BR"/>
        </w:rPr>
        <w:t xml:space="preserve">A rotulagem, por exemplo, tende a ser menos intrusiva do que a remoção. </w:t>
      </w:r>
      <w:r w:rsidR="00B549A9">
        <w:rPr>
          <w:lang w:val="pt-BR"/>
        </w:rPr>
        <w:t>N</w:t>
      </w:r>
      <w:r w:rsidRPr="003C14F6">
        <w:rPr>
          <w:lang w:val="pt-BR"/>
        </w:rPr>
        <w:t xml:space="preserve">ão elimina a mensagem do espaço público; acrescenta informação contextual ao receptor. Por isso, em tese, possui melhor desempenho no teste de necessidade. Ainda assim, esse resultado depende do modo como o rótulo é </w:t>
      </w:r>
      <w:r w:rsidR="00F61523">
        <w:rPr>
          <w:lang w:val="pt-BR"/>
        </w:rPr>
        <w:t>delineado</w:t>
      </w:r>
      <w:r w:rsidRPr="003C14F6">
        <w:rPr>
          <w:lang w:val="pt-BR"/>
        </w:rPr>
        <w:t>. Se a identificação obrigatória for tecnicamente inviável, ambígua, excessivamente ampla ou convertida em marcador de suspeição automática, a suposta medida leve pode produzir forte efeito silenciador indireto.</w:t>
      </w:r>
    </w:p>
    <w:p w14:paraId="71000F64" w14:textId="77777777" w:rsidR="000C1E4F" w:rsidRPr="003C14F6" w:rsidRDefault="00FE4F34">
      <w:pPr>
        <w:spacing w:after="120"/>
        <w:ind w:firstLine="709"/>
        <w:jc w:val="both"/>
        <w:rPr>
          <w:lang w:val="pt-BR"/>
        </w:rPr>
      </w:pPr>
      <w:r w:rsidRPr="003C14F6">
        <w:rPr>
          <w:lang w:val="pt-BR"/>
        </w:rPr>
        <w:t xml:space="preserve">A vedação a </w:t>
      </w:r>
      <w:r w:rsidRPr="0020262E">
        <w:rPr>
          <w:i/>
          <w:iCs/>
          <w:lang w:val="pt-BR"/>
        </w:rPr>
        <w:t>deepfakes</w:t>
      </w:r>
      <w:r w:rsidRPr="003C14F6">
        <w:rPr>
          <w:lang w:val="pt-BR"/>
        </w:rPr>
        <w:t>, ao contrário, é mais intensa, mas pode ser proporcional em hipóteses delimitadas. O fator decisivo é a aptidão concreta do conteúdo para simular pessoa real e induzir erro relevante em contexto eleitoral. Já intervenções de remoção ou suspensão de contas exigem justificativa ainda mais rigorosa. Quanto mais a medida se aproxima de exclusão do discurso da arena pública, maior deve ser a carga argumentativa do regulador e do julgador.</w:t>
      </w:r>
    </w:p>
    <w:p w14:paraId="2A5B5D2D" w14:textId="77777777" w:rsidR="000C1E4F" w:rsidRPr="003C14F6" w:rsidRDefault="00FE4F34" w:rsidP="00B50F50">
      <w:pPr>
        <w:pStyle w:val="SubHeading"/>
        <w:spacing w:before="200" w:after="80" w:line="240" w:lineRule="auto"/>
        <w:jc w:val="both"/>
        <w:rPr>
          <w:lang w:val="pt-BR"/>
        </w:rPr>
      </w:pPr>
      <w:r w:rsidRPr="003C14F6">
        <w:rPr>
          <w:lang w:val="pt-BR"/>
        </w:rPr>
        <w:t>4.5 Tipicidade sancionatória: o ponto mais duro da contenção</w:t>
      </w:r>
    </w:p>
    <w:p w14:paraId="0E1245EB" w14:textId="13E01244" w:rsidR="000C1E4F" w:rsidRPr="003C14F6" w:rsidRDefault="00FE4F34">
      <w:pPr>
        <w:spacing w:after="120"/>
        <w:ind w:firstLine="709"/>
        <w:jc w:val="both"/>
        <w:rPr>
          <w:lang w:val="pt-BR"/>
        </w:rPr>
      </w:pPr>
      <w:r w:rsidRPr="003C14F6">
        <w:rPr>
          <w:lang w:val="pt-BR"/>
        </w:rPr>
        <w:t xml:space="preserve">O quinto filtro é o mais severo. Em matéria sancionatória, a legalidade </w:t>
      </w:r>
      <w:r w:rsidR="001247FA">
        <w:rPr>
          <w:lang w:val="pt-BR"/>
        </w:rPr>
        <w:t>atua</w:t>
      </w:r>
      <w:r w:rsidRPr="003C14F6">
        <w:rPr>
          <w:lang w:val="pt-BR"/>
        </w:rPr>
        <w:t xml:space="preserve"> com exigência reforçada. Resoluções podem descrever procedimentos, explicitar critérios de aplicação e organizar </w:t>
      </w:r>
      <w:r w:rsidRPr="001247FA">
        <w:rPr>
          <w:i/>
          <w:iCs/>
          <w:lang w:val="pt-BR"/>
        </w:rPr>
        <w:t>enforcement</w:t>
      </w:r>
      <w:r w:rsidRPr="003C14F6">
        <w:rPr>
          <w:lang w:val="pt-BR"/>
        </w:rPr>
        <w:t xml:space="preserve">; não podem criar, por conta própria, sanções novas. Na prática, isso </w:t>
      </w:r>
      <w:r w:rsidRPr="003C14F6">
        <w:rPr>
          <w:lang w:val="pt-BR"/>
        </w:rPr>
        <w:lastRenderedPageBreak/>
        <w:t xml:space="preserve">significa que multas, cassação, inelegibilidade ou qualquer consequência material equivalente precisam estar </w:t>
      </w:r>
      <w:r w:rsidR="001247FA">
        <w:rPr>
          <w:lang w:val="pt-BR"/>
        </w:rPr>
        <w:t>lastreadas</w:t>
      </w:r>
      <w:r w:rsidRPr="003C14F6">
        <w:rPr>
          <w:lang w:val="pt-BR"/>
        </w:rPr>
        <w:t xml:space="preserve"> em lei formal</w:t>
      </w:r>
      <w:r w:rsidR="001247FA">
        <w:rPr>
          <w:lang w:val="pt-BR"/>
        </w:rPr>
        <w:t xml:space="preserve"> e não </w:t>
      </w:r>
      <w:r w:rsidR="006D31FF">
        <w:rPr>
          <w:lang w:val="pt-BR"/>
        </w:rPr>
        <w:t>na resolução</w:t>
      </w:r>
      <w:r w:rsidRPr="003C14F6">
        <w:rPr>
          <w:lang w:val="pt-BR"/>
        </w:rPr>
        <w:t>.</w:t>
      </w:r>
    </w:p>
    <w:p w14:paraId="6E10EF2E" w14:textId="0738BBD1" w:rsidR="000C1E4F" w:rsidRPr="003C14F6" w:rsidRDefault="00FE4F34">
      <w:pPr>
        <w:spacing w:after="120"/>
        <w:ind w:firstLine="709"/>
        <w:jc w:val="both"/>
        <w:rPr>
          <w:lang w:val="pt-BR"/>
        </w:rPr>
      </w:pPr>
      <w:r w:rsidRPr="003C14F6">
        <w:rPr>
          <w:lang w:val="pt-BR"/>
        </w:rPr>
        <w:t xml:space="preserve">A leitura das resoluções de 2024 sugere que o TSE procurou preservar essa </w:t>
      </w:r>
      <w:r w:rsidR="006D31FF">
        <w:rPr>
          <w:lang w:val="pt-BR"/>
        </w:rPr>
        <w:t>base normativa legal</w:t>
      </w:r>
      <w:r w:rsidRPr="003C14F6">
        <w:rPr>
          <w:lang w:val="pt-BR"/>
        </w:rPr>
        <w:t>. As normas não erigem um catálogo sancionatório autônomo; vinculam consequências a hipóteses já existentes no ordenamento</w:t>
      </w:r>
      <w:r w:rsidR="00BF1B34">
        <w:rPr>
          <w:lang w:val="pt-BR"/>
        </w:rPr>
        <w:t xml:space="preserve"> jurídico</w:t>
      </w:r>
      <w:r w:rsidRPr="003C14F6">
        <w:rPr>
          <w:lang w:val="pt-BR"/>
        </w:rPr>
        <w:t xml:space="preserve"> e procuram enquadrar condutas digitais como modalidades contemporâneas de ilícitos eleitorais legalmente previstos. Ainda assim, o risco interpretativo permanece. Ao densificar conceitos abertos e associá-los a ambientes digitais complexos, a resolução pode ampliar, por via reflexa, a incidência prática de sanções. Esse efeito não torna o ato automaticamente inválido, mas impõe ônus argumentativo elevado ao aplicador.</w:t>
      </w:r>
    </w:p>
    <w:p w14:paraId="1AB4BB5D" w14:textId="77777777" w:rsidR="000C1E4F" w:rsidRPr="003C14F6" w:rsidRDefault="00FE4F34" w:rsidP="00ED5861">
      <w:pPr>
        <w:pStyle w:val="SubHeading"/>
        <w:spacing w:before="200" w:after="80" w:line="240" w:lineRule="auto"/>
        <w:jc w:val="both"/>
        <w:rPr>
          <w:lang w:val="pt-BR"/>
        </w:rPr>
      </w:pPr>
      <w:r w:rsidRPr="003C14F6">
        <w:rPr>
          <w:lang w:val="pt-BR"/>
        </w:rPr>
        <w:t>4.6 Legitimidade procedimental: déficit democrático e porosidade a razões públicas</w:t>
      </w:r>
    </w:p>
    <w:p w14:paraId="228497CF" w14:textId="7E3460D8" w:rsidR="000C1E4F" w:rsidRPr="003C14F6" w:rsidRDefault="00FE4F34">
      <w:pPr>
        <w:spacing w:after="120"/>
        <w:ind w:firstLine="709"/>
        <w:jc w:val="both"/>
        <w:rPr>
          <w:lang w:val="pt-BR"/>
        </w:rPr>
      </w:pPr>
      <w:r w:rsidRPr="003C14F6">
        <w:rPr>
          <w:lang w:val="pt-BR"/>
        </w:rPr>
        <w:t xml:space="preserve">Todo poder normativo exercido por órgão não eleito carrega déficit democrático potencial. No caso do TSE, esse déficit não desaparece pelo simples fato de a matéria ser urgente ou nobre. O que pode mitigá-lo é a combinação entre base legal, publicidade, participação, motivação e controle jurisdicional. O processo normativo eleitoral possui, nesse aspecto, alguma densidade procedimental: as instruções são submetidas </w:t>
      </w:r>
      <w:r w:rsidR="00ED5861">
        <w:rPr>
          <w:lang w:val="pt-BR"/>
        </w:rPr>
        <w:t>à</w:t>
      </w:r>
      <w:r w:rsidRPr="003C14F6">
        <w:rPr>
          <w:lang w:val="pt-BR"/>
        </w:rPr>
        <w:t xml:space="preserve"> discussão pública, há análise de contribuições, exposição de motivos e deliberação colegiada. Esse vetor não deve ser minimizado.</w:t>
      </w:r>
    </w:p>
    <w:p w14:paraId="53C09C71" w14:textId="770400B4" w:rsidR="000C1E4F" w:rsidRPr="003C14F6" w:rsidRDefault="00FE4F34">
      <w:pPr>
        <w:spacing w:after="120"/>
        <w:ind w:firstLine="709"/>
        <w:jc w:val="both"/>
        <w:rPr>
          <w:lang w:val="pt-BR"/>
        </w:rPr>
      </w:pPr>
      <w:r w:rsidRPr="003C14F6">
        <w:rPr>
          <w:lang w:val="pt-BR"/>
        </w:rPr>
        <w:t xml:space="preserve">Contudo, a legitimidade procedimental não se </w:t>
      </w:r>
      <w:r w:rsidR="00AC42B7">
        <w:rPr>
          <w:lang w:val="pt-BR"/>
        </w:rPr>
        <w:t>esvai</w:t>
      </w:r>
      <w:r w:rsidRPr="003C14F6">
        <w:rPr>
          <w:lang w:val="pt-BR"/>
        </w:rPr>
        <w:t xml:space="preserve"> na fase de elaboração. Em ambiente digital, o problema mais delicado costuma surgir na aplicação</w:t>
      </w:r>
      <w:r w:rsidR="00AC42B7">
        <w:rPr>
          <w:lang w:val="pt-BR"/>
        </w:rPr>
        <w:t>:</w:t>
      </w:r>
      <w:r w:rsidRPr="003C14F6">
        <w:rPr>
          <w:lang w:val="pt-BR"/>
        </w:rPr>
        <w:t xml:space="preserve"> decisões urgentes, plataformas acionadas em tempo curto, mensagens retiradas antes de debate completo, contraditório diferido e risco de erro de apreciação de contexto. A procedimentalidade legítima, portanto, exige duas camadas: uma camada </w:t>
      </w:r>
      <w:r w:rsidRPr="00E00AD0">
        <w:rPr>
          <w:i/>
          <w:iCs/>
          <w:lang w:val="pt-BR"/>
        </w:rPr>
        <w:t>ex ante</w:t>
      </w:r>
      <w:r w:rsidRPr="003C14F6">
        <w:rPr>
          <w:lang w:val="pt-BR"/>
        </w:rPr>
        <w:t xml:space="preserve">, </w:t>
      </w:r>
      <w:r w:rsidR="00E00AD0">
        <w:rPr>
          <w:lang w:val="pt-BR"/>
        </w:rPr>
        <w:t>inerente</w:t>
      </w:r>
      <w:r w:rsidRPr="003C14F6">
        <w:rPr>
          <w:lang w:val="pt-BR"/>
        </w:rPr>
        <w:t xml:space="preserve"> ao processo de produção normativa; e uma camada </w:t>
      </w:r>
      <w:r w:rsidRPr="00E00AD0">
        <w:rPr>
          <w:i/>
          <w:iCs/>
          <w:lang w:val="pt-BR"/>
        </w:rPr>
        <w:t>ex post</w:t>
      </w:r>
      <w:r w:rsidRPr="003C14F6">
        <w:rPr>
          <w:lang w:val="pt-BR"/>
        </w:rPr>
        <w:t>, relativa às garantias de revisão e contestação das decisões concretas.</w:t>
      </w:r>
    </w:p>
    <w:p w14:paraId="1F3E7664" w14:textId="77777777" w:rsidR="000C1E4F" w:rsidRPr="003C14F6" w:rsidRDefault="00FE4F34">
      <w:pPr>
        <w:pStyle w:val="CaptionCustom"/>
        <w:spacing w:before="200" w:after="80" w:line="240" w:lineRule="auto"/>
        <w:rPr>
          <w:lang w:val="pt-BR"/>
        </w:rPr>
      </w:pPr>
      <w:r w:rsidRPr="003C14F6">
        <w:rPr>
          <w:sz w:val="22"/>
          <w:lang w:val="pt-BR"/>
        </w:rPr>
        <w:t>Quadro 2 — Mapeamento sintético de núcleos normativos e leitura pelo TFM</w:t>
      </w:r>
    </w:p>
    <w:tbl>
      <w:tblPr>
        <w:tblStyle w:val="Tabelacomgrade"/>
        <w:tblW w:w="0" w:type="auto"/>
        <w:jc w:val="center"/>
        <w:tblBorders>
          <w:top w:val="single" w:sz="6" w:space="0" w:color="B7B7B7"/>
          <w:left w:val="single" w:sz="6" w:space="0" w:color="B7B7B7"/>
          <w:bottom w:val="single" w:sz="6" w:space="0" w:color="B7B7B7"/>
          <w:right w:val="single" w:sz="6" w:space="0" w:color="B7B7B7"/>
          <w:insideH w:val="single" w:sz="6" w:space="0" w:color="B7B7B7"/>
          <w:insideV w:val="single" w:sz="6" w:space="0" w:color="B7B7B7"/>
        </w:tblBorders>
        <w:tblLayout w:type="fixed"/>
        <w:tblLook w:val="04A0" w:firstRow="1" w:lastRow="0" w:firstColumn="1" w:lastColumn="0" w:noHBand="0" w:noVBand="1"/>
      </w:tblPr>
      <w:tblGrid>
        <w:gridCol w:w="2494"/>
        <w:gridCol w:w="2835"/>
        <w:gridCol w:w="3855"/>
      </w:tblGrid>
      <w:tr w:rsidR="000C1E4F" w14:paraId="366A4C38" w14:textId="77777777">
        <w:trPr>
          <w:tblHeader/>
          <w:jc w:val="center"/>
        </w:trPr>
        <w:tc>
          <w:tcPr>
            <w:tcW w:w="2494" w:type="dxa"/>
            <w:shd w:val="clear" w:color="auto" w:fill="D9E2F3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3A509DEA" w14:textId="77777777" w:rsidR="000C1E4F" w:rsidRDefault="00FE4F34">
            <w:pPr>
              <w:jc w:val="center"/>
            </w:pPr>
            <w:r>
              <w:rPr>
                <w:b/>
                <w:sz w:val="21"/>
              </w:rPr>
              <w:t>Núcleo normativo</w:t>
            </w:r>
          </w:p>
        </w:tc>
        <w:tc>
          <w:tcPr>
            <w:tcW w:w="2835" w:type="dxa"/>
            <w:shd w:val="clear" w:color="auto" w:fill="D9E2F3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41C6EDB4" w14:textId="77777777" w:rsidR="000C1E4F" w:rsidRDefault="00FE4F34">
            <w:pPr>
              <w:jc w:val="center"/>
            </w:pPr>
            <w:r>
              <w:rPr>
                <w:b/>
                <w:sz w:val="21"/>
              </w:rPr>
              <w:t>Base legal de suporte</w:t>
            </w:r>
          </w:p>
        </w:tc>
        <w:tc>
          <w:tcPr>
            <w:tcW w:w="3855" w:type="dxa"/>
            <w:shd w:val="clear" w:color="auto" w:fill="D9E2F3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0799E81D" w14:textId="77777777" w:rsidR="000C1E4F" w:rsidRDefault="00FE4F34">
            <w:pPr>
              <w:jc w:val="center"/>
            </w:pPr>
            <w:r>
              <w:rPr>
                <w:b/>
                <w:sz w:val="21"/>
              </w:rPr>
              <w:t>Leitura predominante</w:t>
            </w:r>
          </w:p>
        </w:tc>
      </w:tr>
      <w:tr w:rsidR="000C1E4F" w:rsidRPr="00135C4A" w14:paraId="6D789BC5" w14:textId="77777777">
        <w:trPr>
          <w:jc w:val="center"/>
        </w:trPr>
        <w:tc>
          <w:tcPr>
            <w:tcW w:w="2494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26FAD637" w14:textId="77777777" w:rsidR="000C1E4F" w:rsidRPr="003C14F6" w:rsidRDefault="00FE4F34">
            <w:pPr>
              <w:rPr>
                <w:lang w:val="pt-BR"/>
              </w:rPr>
            </w:pPr>
            <w:r w:rsidRPr="003C14F6">
              <w:rPr>
                <w:sz w:val="21"/>
                <w:lang w:val="pt-BR"/>
              </w:rPr>
              <w:t>Rotulagem obrigatória de conteúdo sintético por IA</w:t>
            </w:r>
          </w:p>
        </w:tc>
        <w:tc>
          <w:tcPr>
            <w:tcW w:w="2835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7FF8B599" w14:textId="77777777" w:rsidR="000C1E4F" w:rsidRPr="003C14F6" w:rsidRDefault="00FE4F34">
            <w:pPr>
              <w:rPr>
                <w:lang w:val="pt-BR"/>
              </w:rPr>
            </w:pPr>
            <w:r w:rsidRPr="003C14F6">
              <w:rPr>
                <w:sz w:val="21"/>
                <w:lang w:val="pt-BR"/>
              </w:rPr>
              <w:t>Lei n.º 9.504/1997; disciplina da propaganda; deveres de transparência</w:t>
            </w:r>
          </w:p>
        </w:tc>
        <w:tc>
          <w:tcPr>
            <w:tcW w:w="3855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035BA293" w14:textId="77777777" w:rsidR="000C1E4F" w:rsidRPr="003C14F6" w:rsidRDefault="00FE4F34" w:rsidP="00080B23">
            <w:pPr>
              <w:jc w:val="both"/>
              <w:rPr>
                <w:lang w:val="pt-BR"/>
              </w:rPr>
            </w:pPr>
            <w:r w:rsidRPr="003C14F6">
              <w:rPr>
                <w:sz w:val="21"/>
                <w:lang w:val="pt-BR"/>
              </w:rPr>
              <w:t>Execução com ressalvas: densificação admissível se tecnicamente calibrada e não estigmatizante.</w:t>
            </w:r>
          </w:p>
        </w:tc>
      </w:tr>
      <w:tr w:rsidR="000C1E4F" w:rsidRPr="00135C4A" w14:paraId="66A69B1E" w14:textId="77777777">
        <w:trPr>
          <w:jc w:val="center"/>
        </w:trPr>
        <w:tc>
          <w:tcPr>
            <w:tcW w:w="2494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46FCC183" w14:textId="77777777" w:rsidR="000C1E4F" w:rsidRDefault="00FE4F34">
            <w:r>
              <w:rPr>
                <w:sz w:val="21"/>
              </w:rPr>
              <w:t xml:space="preserve">Vedação a </w:t>
            </w:r>
            <w:r w:rsidRPr="00080B23">
              <w:rPr>
                <w:i/>
                <w:iCs/>
                <w:sz w:val="21"/>
              </w:rPr>
              <w:t>deepfakes</w:t>
            </w:r>
            <w:r>
              <w:rPr>
                <w:sz w:val="21"/>
              </w:rPr>
              <w:t xml:space="preserve"> prejudiciais</w:t>
            </w:r>
          </w:p>
        </w:tc>
        <w:tc>
          <w:tcPr>
            <w:tcW w:w="2835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69989C9F" w14:textId="77777777" w:rsidR="000C1E4F" w:rsidRPr="003C14F6" w:rsidRDefault="00FE4F34">
            <w:pPr>
              <w:rPr>
                <w:lang w:val="pt-BR"/>
              </w:rPr>
            </w:pPr>
            <w:r w:rsidRPr="003C14F6">
              <w:rPr>
                <w:sz w:val="21"/>
                <w:lang w:val="pt-BR"/>
              </w:rPr>
              <w:t>Lei n.º 9.504/1997; LC n.º 64/1990; proteção à lisura do pleito</w:t>
            </w:r>
          </w:p>
        </w:tc>
        <w:tc>
          <w:tcPr>
            <w:tcW w:w="3855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1EBD7E65" w14:textId="77777777" w:rsidR="000C1E4F" w:rsidRPr="003C14F6" w:rsidRDefault="00FE4F34" w:rsidP="00080B23">
            <w:pPr>
              <w:jc w:val="both"/>
              <w:rPr>
                <w:lang w:val="pt-BR"/>
              </w:rPr>
            </w:pPr>
            <w:r w:rsidRPr="003C14F6">
              <w:rPr>
                <w:sz w:val="21"/>
                <w:lang w:val="pt-BR"/>
              </w:rPr>
              <w:t>Execução em sentido forte: explicitação de hipótese contemporânea de fraude comunicativa.</w:t>
            </w:r>
          </w:p>
        </w:tc>
      </w:tr>
      <w:tr w:rsidR="000C1E4F" w:rsidRPr="00135C4A" w14:paraId="3D4353A3" w14:textId="77777777">
        <w:trPr>
          <w:jc w:val="center"/>
        </w:trPr>
        <w:tc>
          <w:tcPr>
            <w:tcW w:w="2494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2099B11B" w14:textId="77777777" w:rsidR="000C1E4F" w:rsidRPr="003C14F6" w:rsidRDefault="00FE4F34">
            <w:pPr>
              <w:rPr>
                <w:lang w:val="pt-BR"/>
              </w:rPr>
            </w:pPr>
            <w:r w:rsidRPr="003C14F6">
              <w:rPr>
                <w:sz w:val="21"/>
                <w:lang w:val="pt-BR"/>
              </w:rPr>
              <w:t>Sistematização de ilícitos eleitorais digitais</w:t>
            </w:r>
          </w:p>
        </w:tc>
        <w:tc>
          <w:tcPr>
            <w:tcW w:w="2835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432C1F2B" w14:textId="77777777" w:rsidR="000C1E4F" w:rsidRPr="003C14F6" w:rsidRDefault="00FE4F34">
            <w:pPr>
              <w:rPr>
                <w:lang w:val="pt-BR"/>
              </w:rPr>
            </w:pPr>
            <w:r w:rsidRPr="003C14F6">
              <w:rPr>
                <w:sz w:val="21"/>
                <w:lang w:val="pt-BR"/>
              </w:rPr>
              <w:t>Código Eleitoral; Lei n.º 9.504/1997; LC n.º 64/1990</w:t>
            </w:r>
          </w:p>
        </w:tc>
        <w:tc>
          <w:tcPr>
            <w:tcW w:w="3855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0EB47D9B" w14:textId="77777777" w:rsidR="000C1E4F" w:rsidRPr="003C14F6" w:rsidRDefault="00FE4F34" w:rsidP="00080B23">
            <w:pPr>
              <w:jc w:val="both"/>
              <w:rPr>
                <w:lang w:val="pt-BR"/>
              </w:rPr>
            </w:pPr>
            <w:r w:rsidRPr="003C14F6">
              <w:rPr>
                <w:sz w:val="21"/>
                <w:lang w:val="pt-BR"/>
              </w:rPr>
              <w:t>Execução predominantemente legítima, desde que sem autonomização sancionatória.</w:t>
            </w:r>
          </w:p>
        </w:tc>
      </w:tr>
      <w:tr w:rsidR="000C1E4F" w:rsidRPr="00135C4A" w14:paraId="3B75B24C" w14:textId="77777777">
        <w:trPr>
          <w:jc w:val="center"/>
        </w:trPr>
        <w:tc>
          <w:tcPr>
            <w:tcW w:w="2494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5AEC741F" w14:textId="77777777" w:rsidR="000C1E4F" w:rsidRPr="003C14F6" w:rsidRDefault="00FE4F34">
            <w:pPr>
              <w:rPr>
                <w:lang w:val="pt-BR"/>
              </w:rPr>
            </w:pPr>
            <w:r w:rsidRPr="003C14F6">
              <w:rPr>
                <w:sz w:val="21"/>
                <w:lang w:val="pt-BR"/>
              </w:rPr>
              <w:t>Tutelas de urgência e tramitação preferencial</w:t>
            </w:r>
          </w:p>
        </w:tc>
        <w:tc>
          <w:tcPr>
            <w:tcW w:w="2835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3C2FB648" w14:textId="77777777" w:rsidR="000C1E4F" w:rsidRPr="003C14F6" w:rsidRDefault="00FE4F34">
            <w:pPr>
              <w:rPr>
                <w:lang w:val="pt-BR"/>
              </w:rPr>
            </w:pPr>
            <w:r w:rsidRPr="003C14F6">
              <w:rPr>
                <w:sz w:val="21"/>
                <w:lang w:val="pt-BR"/>
              </w:rPr>
              <w:t>Lei n.º 9.504/1997; CPC subsidiário; poder de polícia eleitoral</w:t>
            </w:r>
          </w:p>
        </w:tc>
        <w:tc>
          <w:tcPr>
            <w:tcW w:w="3855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0D70CD03" w14:textId="77777777" w:rsidR="000C1E4F" w:rsidRPr="003C14F6" w:rsidRDefault="00FE4F34" w:rsidP="00080B23">
            <w:pPr>
              <w:jc w:val="both"/>
              <w:rPr>
                <w:lang w:val="pt-BR"/>
              </w:rPr>
            </w:pPr>
            <w:r w:rsidRPr="003C14F6">
              <w:rPr>
                <w:sz w:val="21"/>
                <w:lang w:val="pt-BR"/>
              </w:rPr>
              <w:t>Execução procedimental com forte exigência de contraditório subsequente e fundamentação qualificada.</w:t>
            </w:r>
          </w:p>
        </w:tc>
      </w:tr>
    </w:tbl>
    <w:p w14:paraId="2D45EF05" w14:textId="77777777" w:rsidR="000C1E4F" w:rsidRPr="003C14F6" w:rsidRDefault="000C1E4F">
      <w:pPr>
        <w:rPr>
          <w:lang w:val="pt-BR"/>
        </w:rPr>
      </w:pPr>
    </w:p>
    <w:p w14:paraId="6EEF4B62" w14:textId="77777777" w:rsidR="000C1E4F" w:rsidRPr="003C14F6" w:rsidRDefault="00FE4F34">
      <w:pPr>
        <w:pStyle w:val="SubHeading"/>
        <w:spacing w:before="200" w:after="80" w:line="240" w:lineRule="auto"/>
        <w:rPr>
          <w:lang w:val="pt-BR"/>
        </w:rPr>
      </w:pPr>
      <w:r w:rsidRPr="003C14F6">
        <w:rPr>
          <w:lang w:val="pt-BR"/>
        </w:rPr>
        <w:lastRenderedPageBreak/>
        <w:t>5. DOIS CASOS-LIMITE: ROTULAGEM DE IA E URGÊNCIA PROCESSUAL</w:t>
      </w:r>
    </w:p>
    <w:p w14:paraId="6D2BF41F" w14:textId="77777777" w:rsidR="000C1E4F" w:rsidRPr="003C14F6" w:rsidRDefault="00FE4F34">
      <w:pPr>
        <w:spacing w:after="120"/>
        <w:ind w:firstLine="709"/>
        <w:jc w:val="both"/>
        <w:rPr>
          <w:lang w:val="pt-BR"/>
        </w:rPr>
      </w:pPr>
      <w:r w:rsidRPr="003C14F6">
        <w:rPr>
          <w:lang w:val="pt-BR"/>
        </w:rPr>
        <w:t>Os resultados mais significativos do TFM aparecem quando o teste é aplicado não ao conjunto normativo em abstrato, mas a pontos de maior tensão. Dois deles merecem destaque.</w:t>
      </w:r>
    </w:p>
    <w:p w14:paraId="4A413D7A" w14:textId="77777777" w:rsidR="000C1E4F" w:rsidRPr="003C14F6" w:rsidRDefault="00FE4F34" w:rsidP="00080B23">
      <w:pPr>
        <w:pStyle w:val="SubHeading"/>
        <w:spacing w:before="200" w:after="80" w:line="240" w:lineRule="auto"/>
        <w:jc w:val="both"/>
        <w:rPr>
          <w:lang w:val="pt-BR"/>
        </w:rPr>
      </w:pPr>
      <w:r w:rsidRPr="003C14F6">
        <w:rPr>
          <w:lang w:val="pt-BR"/>
        </w:rPr>
        <w:t>5.1 Rotulagem de conteúdo sintético: transparência, estigma e custo de conformidade</w:t>
      </w:r>
    </w:p>
    <w:p w14:paraId="43E040AB" w14:textId="3E8A51AF" w:rsidR="000C1E4F" w:rsidRPr="003C14F6" w:rsidRDefault="00FE4F34">
      <w:pPr>
        <w:spacing w:after="120"/>
        <w:ind w:firstLine="709"/>
        <w:jc w:val="both"/>
        <w:rPr>
          <w:lang w:val="pt-BR"/>
        </w:rPr>
      </w:pPr>
      <w:r w:rsidRPr="003C14F6">
        <w:rPr>
          <w:lang w:val="pt-BR"/>
        </w:rPr>
        <w:t xml:space="preserve">A rotulagem obrigatória de conteúdo sintético gerado por IA parece, à primeira vista, um mecanismo modesto. Diferentemente da remoção, não elimina a circulação do discurso; exige apenas informação adicional sobre sua natureza artificial. Essa aparência de modéstia, porém, não deve encobrir sua </w:t>
      </w:r>
      <w:r w:rsidR="006A72D2">
        <w:rPr>
          <w:lang w:val="pt-BR"/>
        </w:rPr>
        <w:t>profundidade</w:t>
      </w:r>
      <w:r w:rsidRPr="003C14F6">
        <w:rPr>
          <w:lang w:val="pt-BR"/>
        </w:rPr>
        <w:t xml:space="preserve"> normativa. A exigência produz dever de fazer, cria custo de conformidade para campanhas e terceiros, pressupõe definição operacional do que conta como conteúdo sintético relevante e pode interferir simbolicamente na recepção da mensagem.</w:t>
      </w:r>
    </w:p>
    <w:p w14:paraId="0D1DC7AD" w14:textId="4185C2A1" w:rsidR="000C1E4F" w:rsidRPr="003C14F6" w:rsidRDefault="00FE4F34">
      <w:pPr>
        <w:spacing w:after="120"/>
        <w:ind w:firstLine="709"/>
        <w:jc w:val="both"/>
        <w:rPr>
          <w:lang w:val="pt-BR"/>
        </w:rPr>
      </w:pPr>
      <w:r w:rsidRPr="003C14F6">
        <w:rPr>
          <w:lang w:val="pt-BR"/>
        </w:rPr>
        <w:t xml:space="preserve">Por isso, a defesa jurídica da rotulagem precisa ser cuidadosamente construída. </w:t>
      </w:r>
      <w:r w:rsidR="006A72D2">
        <w:rPr>
          <w:lang w:val="pt-BR"/>
        </w:rPr>
        <w:t xml:space="preserve">É </w:t>
      </w:r>
      <w:r w:rsidRPr="003C14F6">
        <w:rPr>
          <w:lang w:val="pt-BR"/>
        </w:rPr>
        <w:t xml:space="preserve">mais plausível </w:t>
      </w:r>
      <w:r w:rsidR="0050216B">
        <w:rPr>
          <w:lang w:val="pt-BR"/>
        </w:rPr>
        <w:t>ao ser pensada</w:t>
      </w:r>
      <w:r w:rsidRPr="003C14F6">
        <w:rPr>
          <w:lang w:val="pt-BR"/>
        </w:rPr>
        <w:t xml:space="preserve"> como dever instrumental de transparência </w:t>
      </w:r>
      <w:r w:rsidR="0050216B">
        <w:rPr>
          <w:lang w:val="pt-BR"/>
        </w:rPr>
        <w:t>direcionado</w:t>
      </w:r>
      <w:r w:rsidRPr="003C14F6">
        <w:rPr>
          <w:lang w:val="pt-BR"/>
        </w:rPr>
        <w:t xml:space="preserve"> a evitar engano relevante sobre autenticidade do conteúdo. Nessa </w:t>
      </w:r>
      <w:r w:rsidR="0050216B">
        <w:rPr>
          <w:lang w:val="pt-BR"/>
        </w:rPr>
        <w:t>compreensão</w:t>
      </w:r>
      <w:r w:rsidRPr="003C14F6">
        <w:rPr>
          <w:lang w:val="pt-BR"/>
        </w:rPr>
        <w:t>, o rótulo não expressa juízo de falsidade nem de suspeição moral; apenas informa que a peça foi artificialmente gerada ou alterada em elemento capaz de influenciar sua recepção pública. O fundamento deixa de ser um suposto poder genérico de etiquetar conteúdos e passa a ser a proteção da autonomia informacional do eleitor em contexto de propaganda.</w:t>
      </w:r>
    </w:p>
    <w:p w14:paraId="4A81EC5F" w14:textId="77777777" w:rsidR="000C1E4F" w:rsidRPr="003C14F6" w:rsidRDefault="00FE4F34">
      <w:pPr>
        <w:spacing w:after="120"/>
        <w:ind w:firstLine="709"/>
        <w:jc w:val="both"/>
        <w:rPr>
          <w:lang w:val="pt-BR"/>
        </w:rPr>
      </w:pPr>
      <w:r w:rsidRPr="003C14F6">
        <w:rPr>
          <w:lang w:val="pt-BR"/>
        </w:rPr>
        <w:t>A medida, entretanto, pode tornar-se desproporcional se formulada de maneira ampla demais. Não faria sentido exigir a mesma rotulagem para ajustes triviais de edição, melhoria estética ou uso de ferramentas auxiliares sem relevância perceptiva. Tampouco seria compatível com a liberdade de expressão converter a etiqueta em mecanismo de descredibilização automática de toda peça com qualquer intervenção algorítmica. O ponto constitucionalmente sensível é a capacidade do conteúdo de produzir confusão relevante quanto à autenticidade da fala, da imagem ou da situação retratada.</w:t>
      </w:r>
    </w:p>
    <w:p w14:paraId="7555DF03" w14:textId="259669F8" w:rsidR="000C1E4F" w:rsidRPr="003C14F6" w:rsidRDefault="00FE4F34">
      <w:pPr>
        <w:spacing w:after="120"/>
        <w:ind w:firstLine="709"/>
        <w:jc w:val="both"/>
        <w:rPr>
          <w:lang w:val="pt-BR"/>
        </w:rPr>
      </w:pPr>
      <w:r w:rsidRPr="003C14F6">
        <w:rPr>
          <w:lang w:val="pt-BR"/>
        </w:rPr>
        <w:t xml:space="preserve">Daí três exigências de desenho. A primeira é simplicidade técnica: a obrigação deve ser </w:t>
      </w:r>
      <w:r w:rsidR="00BE2829">
        <w:rPr>
          <w:lang w:val="pt-BR"/>
        </w:rPr>
        <w:t>exequível</w:t>
      </w:r>
      <w:r w:rsidRPr="003C14F6">
        <w:rPr>
          <w:lang w:val="pt-BR"/>
        </w:rPr>
        <w:t xml:space="preserve"> com recursos ordinários e descrita em linguagem que campanhas, plataformas e usuários consigam entender. A segunda é interoperabilidade: o modelo de identificação deve </w:t>
      </w:r>
      <w:r w:rsidR="001255C3">
        <w:rPr>
          <w:lang w:val="pt-BR"/>
        </w:rPr>
        <w:t>se conectar</w:t>
      </w:r>
      <w:r w:rsidRPr="003C14F6">
        <w:rPr>
          <w:lang w:val="pt-BR"/>
        </w:rPr>
        <w:t xml:space="preserve"> com diferentes canais de circulação, reduzindo assimetrias de aplicação. A terceira é revisabilidade: eventuais erros de enquadramento precisam ser contestáveis de forma rápida. Sem esses elementos, uma medida em tese menos intrusiva pode tornar-se fonte difusa de incerteza, autocensura e aplicação desigual.</w:t>
      </w:r>
    </w:p>
    <w:p w14:paraId="7A596282" w14:textId="77777777" w:rsidR="000C1E4F" w:rsidRPr="003C14F6" w:rsidRDefault="00FE4F34" w:rsidP="001255C3">
      <w:pPr>
        <w:pStyle w:val="SubHeading"/>
        <w:spacing w:before="200" w:after="80" w:line="240" w:lineRule="auto"/>
        <w:jc w:val="both"/>
        <w:rPr>
          <w:lang w:val="pt-BR"/>
        </w:rPr>
      </w:pPr>
      <w:r w:rsidRPr="003C14F6">
        <w:rPr>
          <w:lang w:val="pt-BR"/>
        </w:rPr>
        <w:t>5.2 Urgência orientada ao risco: entre tutela necessária e censura processual</w:t>
      </w:r>
    </w:p>
    <w:p w14:paraId="52250F22" w14:textId="36524445" w:rsidR="000C1E4F" w:rsidRPr="003C14F6" w:rsidRDefault="00FE4F34">
      <w:pPr>
        <w:spacing w:after="120"/>
        <w:ind w:firstLine="709"/>
        <w:jc w:val="both"/>
        <w:rPr>
          <w:lang w:val="pt-BR"/>
        </w:rPr>
      </w:pPr>
      <w:r w:rsidRPr="003C14F6">
        <w:rPr>
          <w:lang w:val="pt-BR"/>
        </w:rPr>
        <w:t>O segundo caso-limite envolve o tempo. A circulação digital de conteúdo político pode produzir danos de rápida irreversibilidade: uma peça falsa alcança milhões antes que a resposta institucional comum seja processada; quando a decisão chega, o efeito já ocorreu. Essa característica gera forte pressão por tutela de urgência e por tramitação preferencial. Do ponto de vista funcional, o raciocínio é poderoso</w:t>
      </w:r>
      <w:r w:rsidR="001255C3">
        <w:rPr>
          <w:lang w:val="pt-BR"/>
        </w:rPr>
        <w:t>, uma vez que</w:t>
      </w:r>
      <w:r w:rsidRPr="003C14F6">
        <w:rPr>
          <w:lang w:val="pt-BR"/>
        </w:rPr>
        <w:t xml:space="preserve"> se o direito só atua depois do dano, se torna incapaz de proteger a integridade do pleito.</w:t>
      </w:r>
    </w:p>
    <w:p w14:paraId="72C27991" w14:textId="37054A85" w:rsidR="000C1E4F" w:rsidRPr="003C14F6" w:rsidRDefault="00FE4F34">
      <w:pPr>
        <w:spacing w:after="120"/>
        <w:ind w:firstLine="709"/>
        <w:jc w:val="both"/>
        <w:rPr>
          <w:lang w:val="pt-BR"/>
        </w:rPr>
      </w:pPr>
      <w:r w:rsidRPr="003C14F6">
        <w:rPr>
          <w:lang w:val="pt-BR"/>
        </w:rPr>
        <w:lastRenderedPageBreak/>
        <w:t>O problema é que acelerar a tutela quase sempre significa comprimir garantias temporais. Prazo mais curto, decisão liminar, contraditório diferido e atuação sobre conteúdos ainda em circulação criam risco concreto de erro e intervenção</w:t>
      </w:r>
      <w:r w:rsidR="001255C3">
        <w:rPr>
          <w:lang w:val="pt-BR"/>
        </w:rPr>
        <w:t xml:space="preserve"> exacerbada</w:t>
      </w:r>
      <w:r w:rsidRPr="003C14F6">
        <w:rPr>
          <w:lang w:val="pt-BR"/>
        </w:rPr>
        <w:t>. Em período eleitoral, esse risco é agravado pelo fato de que a remoção de uma mensagem politicamente relevante pode alterar, no curto prazo, a dinâmica de debate e mobilização. A resposta rápida é, ao mesmo tempo, necessária e perigosa.</w:t>
      </w:r>
    </w:p>
    <w:p w14:paraId="29BEB74C" w14:textId="77777777" w:rsidR="000C1E4F" w:rsidRPr="003C14F6" w:rsidRDefault="00FE4F34">
      <w:pPr>
        <w:spacing w:after="120"/>
        <w:ind w:firstLine="709"/>
        <w:jc w:val="both"/>
        <w:rPr>
          <w:lang w:val="pt-BR"/>
        </w:rPr>
      </w:pPr>
      <w:r w:rsidRPr="003C14F6">
        <w:rPr>
          <w:lang w:val="pt-BR"/>
        </w:rPr>
        <w:t>Sob a lente do TFM, a legitimidade dessas medidas depende de requisitos cumulativos. O primeiro é demonstração específica do perigo de irreversibilidade: não basta invocar genericamente a velocidade da internet; é preciso justificar por que aquele conteúdo, naquele contexto, exige compressão temporal. O segundo é delimitação estrita do objeto da decisão, evitando ordens genéricas ou expansivas. O terceiro é contraditório subsequente efetivo, com revisão rápida e possibilidade real de reversão. O quarto é fundamentação qualificada, capaz de mostrar por que a medida escolhida, e não outra menos restritiva, é a necessária naquele caso.</w:t>
      </w:r>
    </w:p>
    <w:p w14:paraId="148AAFC2" w14:textId="7A38DBB1" w:rsidR="000C1E4F" w:rsidRPr="003C14F6" w:rsidRDefault="00FE4F34">
      <w:pPr>
        <w:spacing w:after="120"/>
        <w:ind w:firstLine="709"/>
        <w:jc w:val="both"/>
        <w:rPr>
          <w:lang w:val="pt-BR"/>
        </w:rPr>
      </w:pPr>
      <w:r w:rsidRPr="003C14F6">
        <w:rPr>
          <w:lang w:val="pt-BR"/>
        </w:rPr>
        <w:t xml:space="preserve">A urgência, portanto, não pode funcionar como cláusula de imunização do controle. </w:t>
      </w:r>
      <w:r w:rsidR="00A16A9B">
        <w:rPr>
          <w:lang w:val="pt-BR"/>
        </w:rPr>
        <w:t>S</w:t>
      </w:r>
      <w:r w:rsidRPr="003C14F6">
        <w:rPr>
          <w:lang w:val="pt-BR"/>
        </w:rPr>
        <w:t>ó permanece dentro d</w:t>
      </w:r>
      <w:r w:rsidR="00A16A9B">
        <w:rPr>
          <w:lang w:val="pt-BR"/>
        </w:rPr>
        <w:t xml:space="preserve">a esfera </w:t>
      </w:r>
      <w:r w:rsidRPr="003C14F6">
        <w:rPr>
          <w:lang w:val="pt-BR"/>
        </w:rPr>
        <w:t xml:space="preserve">da execução </w:t>
      </w:r>
      <w:r w:rsidR="00A16A9B">
        <w:rPr>
          <w:lang w:val="pt-BR"/>
        </w:rPr>
        <w:t>ao</w:t>
      </w:r>
      <w:r w:rsidRPr="003C14F6">
        <w:rPr>
          <w:lang w:val="pt-BR"/>
        </w:rPr>
        <w:t xml:space="preserve"> se apresenta</w:t>
      </w:r>
      <w:r w:rsidR="00A16A9B">
        <w:rPr>
          <w:lang w:val="pt-BR"/>
        </w:rPr>
        <w:t>r</w:t>
      </w:r>
      <w:r w:rsidRPr="003C14F6">
        <w:rPr>
          <w:lang w:val="pt-BR"/>
        </w:rPr>
        <w:t xml:space="preserve"> como técnica excepcional, dirigida a dano concretamente demonstrável e cercada por garantias compensatórias. Fora disso, o processo acelera não apenas a tutela, mas também o risco de censura processual.</w:t>
      </w:r>
    </w:p>
    <w:p w14:paraId="27857474" w14:textId="77777777" w:rsidR="000C1E4F" w:rsidRPr="003C14F6" w:rsidRDefault="00FE4F34" w:rsidP="00820A2C">
      <w:pPr>
        <w:pStyle w:val="SubHeading"/>
        <w:spacing w:before="200" w:after="80" w:line="240" w:lineRule="auto"/>
        <w:jc w:val="both"/>
        <w:rPr>
          <w:lang w:val="pt-BR"/>
        </w:rPr>
      </w:pPr>
      <w:r w:rsidRPr="003C14F6">
        <w:rPr>
          <w:lang w:val="pt-BR"/>
        </w:rPr>
        <w:t>6. JURISPRUDÊNCIA CONSTITUCIONAL E ESPELHO INSTITUCIONAL</w:t>
      </w:r>
    </w:p>
    <w:p w14:paraId="45D14ADA" w14:textId="2606EE4E" w:rsidR="000C1E4F" w:rsidRPr="003C14F6" w:rsidRDefault="00FE4F34">
      <w:pPr>
        <w:spacing w:after="120"/>
        <w:ind w:firstLine="709"/>
        <w:jc w:val="both"/>
        <w:rPr>
          <w:lang w:val="pt-BR"/>
        </w:rPr>
      </w:pPr>
      <w:r w:rsidRPr="003C14F6">
        <w:rPr>
          <w:lang w:val="pt-BR"/>
        </w:rPr>
        <w:t xml:space="preserve">A ADI 7261 oferece referência importante para a </w:t>
      </w:r>
      <w:r w:rsidR="00820A2C">
        <w:rPr>
          <w:lang w:val="pt-BR"/>
        </w:rPr>
        <w:t>compreensão</w:t>
      </w:r>
      <w:r w:rsidRPr="003C14F6">
        <w:rPr>
          <w:lang w:val="pt-BR"/>
        </w:rPr>
        <w:t xml:space="preserve"> da competência normativa do TSE no enfrentamento à desinformação eleitoral. Ao apreciar a Resolução n.º 23.714/2022, o Supremo Tribunal Federal afastou a ideia de inconstitucionalidade evidente do ato e reconheceu a possibilidade de atuação normativa da Justiça Eleitoral no tema. O precedente é relevante não porque autorize qualquer forma de intervenção, mas porque confirma dois pontos: a) a proteção da integridade do processo eleitoral é </w:t>
      </w:r>
      <w:r w:rsidR="00820A2C">
        <w:rPr>
          <w:lang w:val="pt-BR"/>
        </w:rPr>
        <w:t xml:space="preserve">um </w:t>
      </w:r>
      <w:r w:rsidRPr="003C14F6">
        <w:rPr>
          <w:lang w:val="pt-BR"/>
        </w:rPr>
        <w:t xml:space="preserve">bem constitucionalmente relevante; e b) a liberdade de expressão, embora </w:t>
      </w:r>
      <w:r w:rsidR="005C0842">
        <w:rPr>
          <w:lang w:val="pt-BR"/>
        </w:rPr>
        <w:t>importante</w:t>
      </w:r>
      <w:r w:rsidRPr="003C14F6">
        <w:rPr>
          <w:lang w:val="pt-BR"/>
        </w:rPr>
        <w:t xml:space="preserve">, não é absoluta quando confrontada com fraudes informacionais </w:t>
      </w:r>
      <w:r w:rsidR="005C0842">
        <w:rPr>
          <w:lang w:val="pt-BR"/>
        </w:rPr>
        <w:t xml:space="preserve">capazes de </w:t>
      </w:r>
      <w:r w:rsidRPr="003C14F6">
        <w:rPr>
          <w:lang w:val="pt-BR"/>
        </w:rPr>
        <w:t>comprometer a própria disputa democrática.</w:t>
      </w:r>
    </w:p>
    <w:p w14:paraId="09315654" w14:textId="40E79193" w:rsidR="000C1E4F" w:rsidRPr="003C14F6" w:rsidRDefault="005C0842">
      <w:pPr>
        <w:spacing w:after="120"/>
        <w:ind w:firstLine="709"/>
        <w:jc w:val="both"/>
        <w:rPr>
          <w:lang w:val="pt-BR"/>
        </w:rPr>
      </w:pPr>
      <w:r>
        <w:rPr>
          <w:lang w:val="pt-BR"/>
        </w:rPr>
        <w:t>Interpretado</w:t>
      </w:r>
      <w:r w:rsidR="00FE4F34" w:rsidRPr="003C14F6">
        <w:rPr>
          <w:lang w:val="pt-BR"/>
        </w:rPr>
        <w:t xml:space="preserve"> com cautela, porém, </w:t>
      </w:r>
      <w:r>
        <w:rPr>
          <w:lang w:val="pt-BR"/>
        </w:rPr>
        <w:t xml:space="preserve">a decisão </w:t>
      </w:r>
      <w:r w:rsidR="00FE4F34" w:rsidRPr="003C14F6">
        <w:rPr>
          <w:lang w:val="pt-BR"/>
        </w:rPr>
        <w:t>não elimina a necessidade de controle granular. A ADI 7261 não autoriza o TSE a substituir o legislador. O que sugere é que, dentro de bases legais identificáveis e com observância de proporcionalidade e controle jurisdicional, a Corte pode editar normas de execução para enfrentar fenômeno novo e de alto impacto democrático. Em outras palavras, o precedente valida a possibilidade do corredor</w:t>
      </w:r>
      <w:r w:rsidR="00BB7810">
        <w:rPr>
          <w:lang w:val="pt-BR"/>
        </w:rPr>
        <w:t xml:space="preserve"> de legalidade</w:t>
      </w:r>
      <w:r w:rsidR="00FE4F34" w:rsidRPr="003C14F6">
        <w:rPr>
          <w:lang w:val="pt-BR"/>
        </w:rPr>
        <w:t>; não dissolve seus limites.</w:t>
      </w:r>
    </w:p>
    <w:p w14:paraId="44C992C8" w14:textId="5BF064C2" w:rsidR="000C1E4F" w:rsidRPr="003C14F6" w:rsidRDefault="00FE4F34">
      <w:pPr>
        <w:spacing w:after="120"/>
        <w:ind w:firstLine="709"/>
        <w:jc w:val="both"/>
        <w:rPr>
          <w:lang w:val="pt-BR"/>
        </w:rPr>
      </w:pPr>
      <w:r w:rsidRPr="003C14F6">
        <w:rPr>
          <w:lang w:val="pt-BR"/>
        </w:rPr>
        <w:t xml:space="preserve">A experiência do CNJ com inteligência artificial oferece, por sua vez, um espelho institucional útil. A Resolução n.º 332/2020 foi importante ao introduzir princípios de ética, transparência e governança no uso de IA pelo Poder Judiciário. </w:t>
      </w:r>
      <w:r w:rsidR="00BB7810">
        <w:rPr>
          <w:lang w:val="pt-BR"/>
        </w:rPr>
        <w:t>De outra feita,</w:t>
      </w:r>
      <w:r w:rsidRPr="003C14F6">
        <w:rPr>
          <w:lang w:val="pt-BR"/>
        </w:rPr>
        <w:t xml:space="preserve"> a Resolução n.º 615/2025 </w:t>
      </w:r>
      <w:r w:rsidR="00D07A49">
        <w:rPr>
          <w:lang w:val="pt-BR"/>
        </w:rPr>
        <w:t>muda</w:t>
      </w:r>
      <w:r w:rsidRPr="003C14F6">
        <w:rPr>
          <w:lang w:val="pt-BR"/>
        </w:rPr>
        <w:t xml:space="preserve"> o enfoque para uma governança mais densa, com definições, classificação de riscos, auditoria, monitoramento, supervisão humana e transparência reforçada. O ponto interessante não é a identidade material entre os temas, mas a lógica institucional de resposta: </w:t>
      </w:r>
      <w:r w:rsidRPr="003C14F6">
        <w:rPr>
          <w:lang w:val="pt-BR"/>
        </w:rPr>
        <w:lastRenderedPageBreak/>
        <w:t>primeiro, estabelece-se um piso normativo</w:t>
      </w:r>
      <w:r w:rsidR="00D07A49">
        <w:rPr>
          <w:lang w:val="pt-BR"/>
        </w:rPr>
        <w:t>-principiológico</w:t>
      </w:r>
      <w:r w:rsidRPr="003C14F6">
        <w:rPr>
          <w:lang w:val="pt-BR"/>
        </w:rPr>
        <w:t xml:space="preserve"> para conter externalidades; depois, aperfeiçoa-se a governança com instrumentos mais específicos, métricas e rotinas de avaliação.</w:t>
      </w:r>
    </w:p>
    <w:p w14:paraId="0410DA54" w14:textId="77777777" w:rsidR="000C1E4F" w:rsidRPr="003C14F6" w:rsidRDefault="00FE4F34">
      <w:pPr>
        <w:spacing w:after="120"/>
        <w:ind w:firstLine="709"/>
        <w:jc w:val="both"/>
        <w:rPr>
          <w:lang w:val="pt-BR"/>
        </w:rPr>
      </w:pPr>
      <w:r w:rsidRPr="003C14F6">
        <w:rPr>
          <w:lang w:val="pt-BR"/>
        </w:rPr>
        <w:t xml:space="preserve">Para a integridade eleitoral, a lição é clara. Respostas emergenciais por resolução podem ser inevitáveis diante da velocidade da mudança tecnológica, mas não devem se eternizar como substituto permanente da lei. O amadurecimento institucional exige migração progressiva da pura reação para uma arquitetura mais estável de governança, com melhores definições, controles </w:t>
      </w:r>
      <w:r w:rsidRPr="00D07A49">
        <w:rPr>
          <w:i/>
          <w:iCs/>
          <w:lang w:val="pt-BR"/>
        </w:rPr>
        <w:t>ex ante</w:t>
      </w:r>
      <w:r w:rsidRPr="003C14F6">
        <w:rPr>
          <w:lang w:val="pt-BR"/>
        </w:rPr>
        <w:t>, transparência periódica e desenho cooperativo com plataformas, sociedade civil e órgãos de fiscalização.</w:t>
      </w:r>
    </w:p>
    <w:p w14:paraId="15946990" w14:textId="77777777" w:rsidR="000C1E4F" w:rsidRPr="003C14F6" w:rsidRDefault="00FE4F34" w:rsidP="009C7B59">
      <w:pPr>
        <w:pStyle w:val="SubHeading"/>
        <w:spacing w:before="200" w:after="80" w:line="240" w:lineRule="auto"/>
        <w:jc w:val="both"/>
        <w:rPr>
          <w:lang w:val="pt-BR"/>
        </w:rPr>
      </w:pPr>
      <w:r w:rsidRPr="003C14F6">
        <w:rPr>
          <w:lang w:val="pt-BR"/>
        </w:rPr>
        <w:t>7. PROPOSIÇÕES INSTITUCIONAIS</w:t>
      </w:r>
    </w:p>
    <w:p w14:paraId="79A270C2" w14:textId="77777777" w:rsidR="000C1E4F" w:rsidRPr="003C14F6" w:rsidRDefault="00FE4F34">
      <w:pPr>
        <w:spacing w:after="120"/>
        <w:ind w:firstLine="709"/>
        <w:jc w:val="both"/>
        <w:rPr>
          <w:lang w:val="pt-BR"/>
        </w:rPr>
      </w:pPr>
      <w:r w:rsidRPr="003C14F6">
        <w:rPr>
          <w:lang w:val="pt-BR"/>
        </w:rPr>
        <w:t>A análise conduz a três proposições principais para o aperfeiçoamento da política pública de integridade eleitoral digital.</w:t>
      </w:r>
    </w:p>
    <w:p w14:paraId="67CCAC33" w14:textId="4A3E0F1F" w:rsidR="000C1E4F" w:rsidRPr="003C14F6" w:rsidRDefault="00FE4F34">
      <w:pPr>
        <w:spacing w:after="120"/>
        <w:ind w:firstLine="709"/>
        <w:jc w:val="both"/>
        <w:rPr>
          <w:lang w:val="pt-BR"/>
        </w:rPr>
      </w:pPr>
      <w:r w:rsidRPr="003E0440">
        <w:rPr>
          <w:b/>
          <w:bCs/>
          <w:lang w:val="pt-BR"/>
        </w:rPr>
        <w:t xml:space="preserve">A primeira é legislativa. </w:t>
      </w:r>
      <w:r w:rsidRPr="003C14F6">
        <w:rPr>
          <w:lang w:val="pt-BR"/>
        </w:rPr>
        <w:t xml:space="preserve">O sistema brasileiro carece de base legal mais densa para disciplinar, com maior previsibilidade, temas como conteúdo sintético, </w:t>
      </w:r>
      <w:r w:rsidRPr="009C7B59">
        <w:rPr>
          <w:i/>
          <w:iCs/>
          <w:lang w:val="pt-BR"/>
        </w:rPr>
        <w:t>deepfakes</w:t>
      </w:r>
      <w:r w:rsidRPr="003C14F6">
        <w:rPr>
          <w:lang w:val="pt-BR"/>
        </w:rPr>
        <w:t xml:space="preserve"> eleitorais, deveres mínimos de transparência e critérios de atuação urgente em ambiente digital. O núcleo essencial dessas escolhas deve ser legislativo, sobretudo porque toca</w:t>
      </w:r>
      <w:r w:rsidR="009C7B59">
        <w:rPr>
          <w:lang w:val="pt-BR"/>
        </w:rPr>
        <w:t xml:space="preserve"> a</w:t>
      </w:r>
      <w:r w:rsidRPr="003C14F6">
        <w:rPr>
          <w:lang w:val="pt-BR"/>
        </w:rPr>
        <w:t xml:space="preserve"> liberdade de expressão, </w:t>
      </w:r>
      <w:r w:rsidR="009C7B59">
        <w:rPr>
          <w:lang w:val="pt-BR"/>
        </w:rPr>
        <w:t xml:space="preserve">a </w:t>
      </w:r>
      <w:r w:rsidRPr="003C14F6">
        <w:rPr>
          <w:lang w:val="pt-BR"/>
        </w:rPr>
        <w:t xml:space="preserve">competição política e </w:t>
      </w:r>
      <w:r w:rsidR="009C7B59">
        <w:rPr>
          <w:lang w:val="pt-BR"/>
        </w:rPr>
        <w:t xml:space="preserve">as </w:t>
      </w:r>
      <w:r w:rsidRPr="003C14F6">
        <w:rPr>
          <w:lang w:val="pt-BR"/>
        </w:rPr>
        <w:t>sanções eleitorais. À Justiça Eleitoral deve caber a camada executiva</w:t>
      </w:r>
      <w:r w:rsidR="009C7B59">
        <w:rPr>
          <w:lang w:val="pt-BR"/>
        </w:rPr>
        <w:t>, isto é, o</w:t>
      </w:r>
      <w:r w:rsidRPr="003C14F6">
        <w:rPr>
          <w:lang w:val="pt-BR"/>
        </w:rPr>
        <w:t xml:space="preserve"> detalhamento técnico, </w:t>
      </w:r>
      <w:r w:rsidR="009C7B59">
        <w:rPr>
          <w:lang w:val="pt-BR"/>
        </w:rPr>
        <w:t xml:space="preserve">a </w:t>
      </w:r>
      <w:r w:rsidRPr="003C14F6">
        <w:rPr>
          <w:lang w:val="pt-BR"/>
        </w:rPr>
        <w:t xml:space="preserve">padronização procedimental e </w:t>
      </w:r>
      <w:r w:rsidR="009C7B59">
        <w:rPr>
          <w:lang w:val="pt-BR"/>
        </w:rPr>
        <w:t xml:space="preserve">a </w:t>
      </w:r>
      <w:r w:rsidRPr="003C14F6">
        <w:rPr>
          <w:lang w:val="pt-BR"/>
        </w:rPr>
        <w:t>adaptação operacional.</w:t>
      </w:r>
    </w:p>
    <w:p w14:paraId="31F705C2" w14:textId="77777777" w:rsidR="000C1E4F" w:rsidRPr="003C14F6" w:rsidRDefault="00FE4F34">
      <w:pPr>
        <w:spacing w:after="120"/>
        <w:ind w:firstLine="709"/>
        <w:jc w:val="both"/>
        <w:rPr>
          <w:lang w:val="pt-BR"/>
        </w:rPr>
      </w:pPr>
      <w:r w:rsidRPr="003E0440">
        <w:rPr>
          <w:b/>
          <w:bCs/>
          <w:lang w:val="pt-BR"/>
        </w:rPr>
        <w:t>A segunda é procedimental.</w:t>
      </w:r>
      <w:r w:rsidRPr="003C14F6">
        <w:rPr>
          <w:lang w:val="pt-BR"/>
        </w:rPr>
        <w:t xml:space="preserve"> Toda atuação urgente sobre circulação de conteúdo em período eleitoral deveria vir acompanhada, sempre que tecnicamente possível, de protocolo reforçado de motivação, delimitação do objeto, revisão célere e transparência agregada. Não se trata de impedir a tutela rápida, mas de convertê-la em procedimento controlável.</w:t>
      </w:r>
    </w:p>
    <w:p w14:paraId="6CA4A629" w14:textId="77777777" w:rsidR="000C1E4F" w:rsidRPr="003C14F6" w:rsidRDefault="00FE4F34">
      <w:pPr>
        <w:spacing w:after="120"/>
        <w:ind w:firstLine="709"/>
        <w:jc w:val="both"/>
        <w:rPr>
          <w:lang w:val="pt-BR"/>
        </w:rPr>
      </w:pPr>
      <w:r w:rsidRPr="003E0440">
        <w:rPr>
          <w:b/>
          <w:bCs/>
          <w:lang w:val="pt-BR"/>
        </w:rPr>
        <w:t>A terceira é avaliativa.</w:t>
      </w:r>
      <w:r w:rsidRPr="003C14F6">
        <w:rPr>
          <w:lang w:val="pt-BR"/>
        </w:rPr>
        <w:t xml:space="preserve"> Uma política pública de integridade eleitoral não pode ser medida apenas pelo número de conteúdos removidos ou ordens expedidas. É necessário construir métricas que considerem tempos de resposta, taxa de reversão, grau de erro, impacto desigual sobre candidaturas e transparência do processo decisório. Sem avaliação, a política corre o risco de operar como caixa-preta normativa em nome de combater outras caixas-pretas.</w:t>
      </w:r>
    </w:p>
    <w:p w14:paraId="03876610" w14:textId="77777777" w:rsidR="000C1E4F" w:rsidRPr="003C14F6" w:rsidRDefault="00FE4F34">
      <w:pPr>
        <w:pStyle w:val="SectionHeading"/>
        <w:spacing w:before="240" w:after="160" w:line="240" w:lineRule="auto"/>
        <w:jc w:val="center"/>
        <w:rPr>
          <w:lang w:val="pt-BR"/>
        </w:rPr>
      </w:pPr>
      <w:r w:rsidRPr="003C14F6">
        <w:rPr>
          <w:lang w:val="pt-BR"/>
        </w:rPr>
        <w:t>CONCLUSÕES</w:t>
      </w:r>
    </w:p>
    <w:p w14:paraId="7C632E54" w14:textId="77777777" w:rsidR="000C1E4F" w:rsidRPr="003C14F6" w:rsidRDefault="00FE4F34">
      <w:pPr>
        <w:spacing w:after="120"/>
        <w:ind w:firstLine="709"/>
        <w:jc w:val="both"/>
        <w:rPr>
          <w:lang w:val="pt-BR"/>
        </w:rPr>
      </w:pPr>
      <w:r w:rsidRPr="003C14F6">
        <w:rPr>
          <w:lang w:val="pt-BR"/>
        </w:rPr>
        <w:t>A pesquisa permite sustentar três conclusões principais.</w:t>
      </w:r>
    </w:p>
    <w:p w14:paraId="03F54767" w14:textId="5EF608BA" w:rsidR="000C1E4F" w:rsidRPr="003C14F6" w:rsidRDefault="00FE4F34">
      <w:pPr>
        <w:spacing w:after="120"/>
        <w:ind w:firstLine="709"/>
        <w:jc w:val="both"/>
        <w:rPr>
          <w:lang w:val="pt-BR"/>
        </w:rPr>
      </w:pPr>
      <w:r w:rsidRPr="003C14F6">
        <w:rPr>
          <w:lang w:val="pt-BR"/>
        </w:rPr>
        <w:t xml:space="preserve">Primeiro, as Resoluções TSE n.º 23.732/2024 e n.º 23.735/2024, </w:t>
      </w:r>
      <w:r w:rsidR="003E0440">
        <w:rPr>
          <w:lang w:val="pt-BR"/>
        </w:rPr>
        <w:t>compreendidas</w:t>
      </w:r>
      <w:r w:rsidRPr="003C14F6">
        <w:rPr>
          <w:lang w:val="pt-BR"/>
        </w:rPr>
        <w:t xml:space="preserve"> em articulação com a Resolução n.º 23.733/2024, configuram predominantemente resposta regulatória de execução. Em</w:t>
      </w:r>
      <w:r w:rsidR="00C43003">
        <w:rPr>
          <w:lang w:val="pt-BR"/>
        </w:rPr>
        <w:t xml:space="preserve"> </w:t>
      </w:r>
      <w:r w:rsidR="00F64105">
        <w:rPr>
          <w:lang w:val="pt-BR"/>
        </w:rPr>
        <w:t>seu conteúdo basal</w:t>
      </w:r>
      <w:r w:rsidRPr="003C14F6">
        <w:rPr>
          <w:lang w:val="pt-BR"/>
        </w:rPr>
        <w:t>, não instauram regime sancionatório autônomo, mas procuram tornar operacionais comandos legais já existentes no ordenamento eleitoral, especialmente no Código Eleitoral, na Lei n.º 9.504/1997 e na LC n.º 64/1990.</w:t>
      </w:r>
    </w:p>
    <w:p w14:paraId="73C0E9B2" w14:textId="2312C1E9" w:rsidR="000C1E4F" w:rsidRPr="003C14F6" w:rsidRDefault="00FE4F34">
      <w:pPr>
        <w:spacing w:after="120"/>
        <w:ind w:firstLine="709"/>
        <w:jc w:val="both"/>
        <w:rPr>
          <w:lang w:val="pt-BR"/>
        </w:rPr>
      </w:pPr>
      <w:r w:rsidRPr="003C14F6">
        <w:rPr>
          <w:lang w:val="pt-BR"/>
        </w:rPr>
        <w:t xml:space="preserve">Segundo, a validade constitucional </w:t>
      </w:r>
      <w:r w:rsidR="00C43003">
        <w:rPr>
          <w:lang w:val="pt-BR"/>
        </w:rPr>
        <w:t>de tal</w:t>
      </w:r>
      <w:r w:rsidRPr="003C14F6">
        <w:rPr>
          <w:lang w:val="pt-BR"/>
        </w:rPr>
        <w:t xml:space="preserve"> resposta não é binária. O TFM mostrou que o problema real não está no conjunto normativo tomado em bloco, mas em núcleos específicos nos quais a densificação executiva se aproxima de inovação ou em que a urgência procedimental tensiona fortemente garantias. A rotulagem obrigatória de conteúdo sintético gerado por IA e a </w:t>
      </w:r>
      <w:r w:rsidRPr="003C14F6">
        <w:rPr>
          <w:lang w:val="pt-BR"/>
        </w:rPr>
        <w:lastRenderedPageBreak/>
        <w:t xml:space="preserve">compressão do tempo processual para neutralização de dano informacional são os principais casos-limite. </w:t>
      </w:r>
      <w:r w:rsidR="00AA5AB4">
        <w:rPr>
          <w:lang w:val="pt-BR"/>
        </w:rPr>
        <w:t>S</w:t>
      </w:r>
      <w:r w:rsidRPr="003C14F6">
        <w:rPr>
          <w:lang w:val="pt-BR"/>
        </w:rPr>
        <w:t>ão</w:t>
      </w:r>
      <w:r w:rsidR="00AA5AB4">
        <w:rPr>
          <w:lang w:val="pt-BR"/>
        </w:rPr>
        <w:t xml:space="preserve"> situações</w:t>
      </w:r>
      <w:r w:rsidRPr="003C14F6">
        <w:rPr>
          <w:lang w:val="pt-BR"/>
        </w:rPr>
        <w:t xml:space="preserve"> defensáveis, mas somente sob interpretação estrita, proporcionalidade rigorosa e salvaguardas procedimentais reforçadas.</w:t>
      </w:r>
    </w:p>
    <w:p w14:paraId="4AD2431B" w14:textId="02AB1B08" w:rsidR="000C1E4F" w:rsidRPr="003C14F6" w:rsidRDefault="00FE4F34">
      <w:pPr>
        <w:spacing w:after="120"/>
        <w:ind w:firstLine="709"/>
        <w:jc w:val="both"/>
        <w:rPr>
          <w:lang w:val="pt-BR"/>
        </w:rPr>
      </w:pPr>
      <w:r w:rsidRPr="003C14F6">
        <w:rPr>
          <w:lang w:val="pt-BR"/>
        </w:rPr>
        <w:t xml:space="preserve">Terceiro, a política pública de integridade eleitoral digital não pode permanecer indefinidamente apoiada em soluções emergenciais de baixa densidade legal. A resposta do TSE foi funcional e, em certo grau, necessária; mas sua estabilização futura exige </w:t>
      </w:r>
      <w:r w:rsidR="00261C2A">
        <w:rPr>
          <w:lang w:val="pt-BR"/>
        </w:rPr>
        <w:t>o transporte</w:t>
      </w:r>
      <w:r w:rsidRPr="003C14F6">
        <w:rPr>
          <w:lang w:val="pt-BR"/>
        </w:rPr>
        <w:t xml:space="preserve"> de parte relevante do conteúdo para lei formal, acompanhado de deveres de </w:t>
      </w:r>
      <w:r w:rsidRPr="00261C2A">
        <w:rPr>
          <w:i/>
          <w:iCs/>
          <w:lang w:val="pt-BR"/>
        </w:rPr>
        <w:t>accountability</w:t>
      </w:r>
      <w:r w:rsidRPr="003C14F6">
        <w:rPr>
          <w:lang w:val="pt-BR"/>
        </w:rPr>
        <w:t>, transparência, monitoramento e avaliação. Proteger a democracia contra riscos informacionais não autoriza esvaziar os limites que tornam a própria democracia juridicamente reconhecível.</w:t>
      </w:r>
    </w:p>
    <w:p w14:paraId="7F653CF2" w14:textId="77777777" w:rsidR="000C1E4F" w:rsidRPr="003C14F6" w:rsidRDefault="00FE4F34">
      <w:pPr>
        <w:pStyle w:val="SectionHeading"/>
        <w:spacing w:before="240" w:after="160" w:line="240" w:lineRule="auto"/>
        <w:jc w:val="center"/>
        <w:rPr>
          <w:lang w:val="pt-BR"/>
        </w:rPr>
      </w:pPr>
      <w:r w:rsidRPr="003C14F6">
        <w:rPr>
          <w:lang w:val="pt-BR"/>
        </w:rPr>
        <w:t>REFERÊNCIAS</w:t>
      </w:r>
    </w:p>
    <w:p w14:paraId="69DFFD75" w14:textId="77777777" w:rsidR="000C1E4F" w:rsidRPr="003C14F6" w:rsidRDefault="00FE4F34" w:rsidP="00261C2A">
      <w:pPr>
        <w:pStyle w:val="ReferenceStyle"/>
        <w:spacing w:after="120" w:line="360" w:lineRule="auto"/>
        <w:jc w:val="both"/>
        <w:rPr>
          <w:lang w:val="pt-BR"/>
        </w:rPr>
      </w:pPr>
      <w:r w:rsidRPr="003C14F6">
        <w:rPr>
          <w:lang w:val="pt-BR"/>
        </w:rPr>
        <w:t xml:space="preserve">ABBOTT, Kenneth W.; SNIDAL, Duncan. </w:t>
      </w:r>
      <w:r>
        <w:t xml:space="preserve">Hard and soft law in international governance. </w:t>
      </w:r>
      <w:r w:rsidRPr="003C14F6">
        <w:rPr>
          <w:lang w:val="pt-BR"/>
        </w:rPr>
        <w:t>International Organization, Cambridge, v. 54, n. 3, p. 421-456, 2000. Disponível em: https://doi.org/10.1162/002081800551280. Acesso em: 29 mar. 2026.</w:t>
      </w:r>
    </w:p>
    <w:p w14:paraId="510B60EC" w14:textId="77777777" w:rsidR="000C1E4F" w:rsidRPr="003C14F6" w:rsidRDefault="00FE4F34" w:rsidP="00261C2A">
      <w:pPr>
        <w:pStyle w:val="ReferenceStyle"/>
        <w:spacing w:after="120" w:line="360" w:lineRule="auto"/>
        <w:jc w:val="both"/>
        <w:rPr>
          <w:lang w:val="pt-BR"/>
        </w:rPr>
      </w:pPr>
      <w:r w:rsidRPr="003C14F6">
        <w:rPr>
          <w:lang w:val="pt-BR"/>
        </w:rPr>
        <w:t>ALEXY, Robert. Teoria dos direitos fundamentais. São Paulo: Malheiros, 2008.</w:t>
      </w:r>
    </w:p>
    <w:p w14:paraId="3C921B65" w14:textId="77777777" w:rsidR="000C1E4F" w:rsidRDefault="00FE4F34" w:rsidP="00261C2A">
      <w:pPr>
        <w:pStyle w:val="ReferenceStyle"/>
        <w:spacing w:after="120" w:line="360" w:lineRule="auto"/>
        <w:jc w:val="both"/>
      </w:pPr>
      <w:r>
        <w:t xml:space="preserve">ANANNY, Mike; CRAWFORD, Kate. Seeing without knowing: limitations of the transparency ideal and its application to algorithmic accountability. </w:t>
      </w:r>
      <w:r w:rsidRPr="003C14F6">
        <w:rPr>
          <w:lang w:val="pt-BR"/>
        </w:rPr>
        <w:t xml:space="preserve">New Media &amp; Society, v. 20, n. 3, p. 973-989, 2018. Disponível em: https://doi.org/10.1177/1461444816676645. </w:t>
      </w:r>
      <w:r>
        <w:t>Acesso em: 29 mar. 2026.</w:t>
      </w:r>
    </w:p>
    <w:p w14:paraId="4C31CD7A" w14:textId="77777777" w:rsidR="000C1E4F" w:rsidRPr="003C14F6" w:rsidRDefault="00FE4F34" w:rsidP="00261C2A">
      <w:pPr>
        <w:pStyle w:val="ReferenceStyle"/>
        <w:spacing w:after="120" w:line="360" w:lineRule="auto"/>
        <w:jc w:val="both"/>
        <w:rPr>
          <w:lang w:val="pt-BR"/>
        </w:rPr>
      </w:pPr>
      <w:r>
        <w:t xml:space="preserve">BENKLER, Yochai; FARIS, Robert; ROBERTS, Hal. Network propaganda: manipulation, disinformation, and radicalization in American politics. </w:t>
      </w:r>
      <w:r w:rsidRPr="003C14F6">
        <w:rPr>
          <w:lang w:val="pt-BR"/>
        </w:rPr>
        <w:t>New York: Oxford University Press, 2018.</w:t>
      </w:r>
    </w:p>
    <w:p w14:paraId="2DA4AEB8" w14:textId="77777777" w:rsidR="000C1E4F" w:rsidRPr="003C14F6" w:rsidRDefault="00FE4F34" w:rsidP="00261C2A">
      <w:pPr>
        <w:pStyle w:val="ReferenceStyle"/>
        <w:spacing w:after="120" w:line="360" w:lineRule="auto"/>
        <w:jc w:val="both"/>
        <w:rPr>
          <w:lang w:val="pt-BR"/>
        </w:rPr>
      </w:pPr>
      <w:r w:rsidRPr="003C14F6">
        <w:rPr>
          <w:lang w:val="pt-BR"/>
        </w:rPr>
        <w:t>BRASIL. Constituição (1988). Constituição da República Federativa do Brasil de 1988. Brasília, DF: Presidência da República, 1988. Disponível em: https://www.planalto.gov.br/ccivil_03/constituicao/constituicao.htm. Acesso em: 29 mar. 2026.</w:t>
      </w:r>
    </w:p>
    <w:p w14:paraId="21CF83D1" w14:textId="77777777" w:rsidR="000C1E4F" w:rsidRPr="003C14F6" w:rsidRDefault="00FE4F34" w:rsidP="00261C2A">
      <w:pPr>
        <w:pStyle w:val="ReferenceStyle"/>
        <w:spacing w:after="120" w:line="360" w:lineRule="auto"/>
        <w:jc w:val="both"/>
        <w:rPr>
          <w:lang w:val="pt-BR"/>
        </w:rPr>
      </w:pPr>
      <w:r w:rsidRPr="003C14F6">
        <w:rPr>
          <w:lang w:val="pt-BR"/>
        </w:rPr>
        <w:t>BRASIL. Lei Complementar n.º 64, de 18 de maio de 1990. Estabelece, de acordo com o art. 14, § 9.º, da Constituição Federal, casos de inelegibilidade. Brasília, DF: Presidência da República, 1990. Disponível em: https://www.planalto.gov.br/ccivil_03/leis/lcp/lcp64.htm. Acesso em: 29 mar. 2026.</w:t>
      </w:r>
    </w:p>
    <w:p w14:paraId="31009A88" w14:textId="77777777" w:rsidR="000C1E4F" w:rsidRPr="003C14F6" w:rsidRDefault="00FE4F34" w:rsidP="00261C2A">
      <w:pPr>
        <w:pStyle w:val="ReferenceStyle"/>
        <w:spacing w:after="120" w:line="360" w:lineRule="auto"/>
        <w:jc w:val="both"/>
        <w:rPr>
          <w:lang w:val="pt-BR"/>
        </w:rPr>
      </w:pPr>
      <w:r w:rsidRPr="003C14F6">
        <w:rPr>
          <w:lang w:val="pt-BR"/>
        </w:rPr>
        <w:t>BRASIL. Lei n.º 4.737, de 15 de julho de 1965. Institui o Código Eleitoral. Brasília, DF: Presidência da República, 1965. Disponível em: https://www.planalto.gov.br/ccivil_03/leis/l4737compilado.htm. Acesso em: 29 mar. 2026.</w:t>
      </w:r>
    </w:p>
    <w:p w14:paraId="7F351052" w14:textId="77777777" w:rsidR="000C1E4F" w:rsidRPr="003C14F6" w:rsidRDefault="00FE4F34" w:rsidP="00261C2A">
      <w:pPr>
        <w:pStyle w:val="ReferenceStyle"/>
        <w:spacing w:after="120" w:line="360" w:lineRule="auto"/>
        <w:jc w:val="both"/>
        <w:rPr>
          <w:lang w:val="pt-BR"/>
        </w:rPr>
      </w:pPr>
      <w:r w:rsidRPr="003C14F6">
        <w:rPr>
          <w:lang w:val="pt-BR"/>
        </w:rPr>
        <w:t>BRASIL. Lei n.º 9.504, de 30 de setembro de 1997. Estabelece normas para as eleições. Brasília, DF: Presidência da República, 1997. Disponível em: https://www.planalto.gov.br/ccivil_03/leis/l9504.htm. Acesso em: 29 mar. 2026.</w:t>
      </w:r>
    </w:p>
    <w:p w14:paraId="31C00D7B" w14:textId="77777777" w:rsidR="000C1E4F" w:rsidRPr="003C14F6" w:rsidRDefault="00FE4F34" w:rsidP="00261C2A">
      <w:pPr>
        <w:pStyle w:val="ReferenceStyle"/>
        <w:spacing w:after="120" w:line="360" w:lineRule="auto"/>
        <w:jc w:val="both"/>
        <w:rPr>
          <w:lang w:val="pt-BR"/>
        </w:rPr>
      </w:pPr>
      <w:r w:rsidRPr="003C14F6">
        <w:rPr>
          <w:lang w:val="pt-BR"/>
        </w:rPr>
        <w:t xml:space="preserve">BRASIL. Lei n.º 14.211, de 29 de setembro de 2021. Altera o Código Eleitoral para dispor sobre a competência normativa do Tribunal Superior Eleitoral. Brasília, DF: Presidência da República, 2021. </w:t>
      </w:r>
      <w:r w:rsidRPr="003C14F6">
        <w:rPr>
          <w:lang w:val="pt-BR"/>
        </w:rPr>
        <w:lastRenderedPageBreak/>
        <w:t>Disponível em: https://www.planalto.gov.br/ccivil_03/_ato2019-2022/2021/lei/l14211.htm. Acesso em: 29 mar. 2026.</w:t>
      </w:r>
    </w:p>
    <w:p w14:paraId="2FD1EC8B" w14:textId="77777777" w:rsidR="000C1E4F" w:rsidRDefault="00FE4F34" w:rsidP="00261C2A">
      <w:pPr>
        <w:pStyle w:val="ReferenceStyle"/>
        <w:spacing w:after="120" w:line="360" w:lineRule="auto"/>
        <w:jc w:val="both"/>
      </w:pPr>
      <w:r w:rsidRPr="003C14F6">
        <w:rPr>
          <w:lang w:val="pt-BR"/>
        </w:rPr>
        <w:t xml:space="preserve">BUCCI, Maria Paula Dallari. Fundamentos para uma teoria jurídica das políticas públicas. </w:t>
      </w:r>
      <w:r>
        <w:t>2. ed. São Paulo: Saraiva Educação, 2021.</w:t>
      </w:r>
    </w:p>
    <w:p w14:paraId="236C6791" w14:textId="77777777" w:rsidR="000C1E4F" w:rsidRPr="003C14F6" w:rsidRDefault="00FE4F34" w:rsidP="00261C2A">
      <w:pPr>
        <w:pStyle w:val="ReferenceStyle"/>
        <w:spacing w:after="120" w:line="360" w:lineRule="auto"/>
        <w:jc w:val="both"/>
        <w:rPr>
          <w:lang w:val="pt-BR"/>
        </w:rPr>
      </w:pPr>
      <w:r>
        <w:t xml:space="preserve">BUCHER, Taina. The algorithmic imaginary: exploring the ordinary affects of Facebook algorithms. </w:t>
      </w:r>
      <w:r w:rsidRPr="003C14F6">
        <w:rPr>
          <w:lang w:val="pt-BR"/>
        </w:rPr>
        <w:t>Information, Communication &amp; Society, v. 20, n. 1, p. 30-44, 2017. Disponível em: https://doi.org/10.1080/1369118X.2016.1154086. Acesso em: 29 mar. 2026.</w:t>
      </w:r>
    </w:p>
    <w:p w14:paraId="10CDDBB4" w14:textId="77777777" w:rsidR="000C1E4F" w:rsidRPr="003C14F6" w:rsidRDefault="00FE4F34" w:rsidP="00261C2A">
      <w:pPr>
        <w:pStyle w:val="ReferenceStyle"/>
        <w:spacing w:after="120" w:line="360" w:lineRule="auto"/>
        <w:jc w:val="both"/>
        <w:rPr>
          <w:lang w:val="pt-BR"/>
        </w:rPr>
      </w:pPr>
      <w:r>
        <w:t xml:space="preserve">BURRELL, Jenna. How the machine ‘thinks’: understanding opacity in machine learning algorithms. </w:t>
      </w:r>
      <w:r w:rsidRPr="003C14F6">
        <w:rPr>
          <w:lang w:val="pt-BR"/>
        </w:rPr>
        <w:t>Big Data &amp; Society, v. 3, n. 1, 2016. Disponível em: https://doi.org/10.1177/2053951715622512. Acesso em: 29 mar. 2026.</w:t>
      </w:r>
    </w:p>
    <w:p w14:paraId="44723A71" w14:textId="77777777" w:rsidR="000C1E4F" w:rsidRPr="003C14F6" w:rsidRDefault="00FE4F34" w:rsidP="00261C2A">
      <w:pPr>
        <w:pStyle w:val="ReferenceStyle"/>
        <w:spacing w:after="120" w:line="360" w:lineRule="auto"/>
        <w:jc w:val="both"/>
        <w:rPr>
          <w:lang w:val="pt-BR"/>
        </w:rPr>
      </w:pPr>
      <w:r w:rsidRPr="003C14F6">
        <w:rPr>
          <w:lang w:val="pt-BR"/>
        </w:rPr>
        <w:t>CONSELHO NACIONAL DE JUSTIÇA (Brasil). Resolução n.º 332, de 21 de agosto de 2020. Dispõe sobre a ética, a transparência e a governança na produção e no uso de inteligência artificial no Poder Judiciário. Brasília, DF: CNJ, 2020. Disponível em: https://atos.cnj.jus.br/atos/detalhar/3429. Acesso em: 29 mar. 2026.</w:t>
      </w:r>
    </w:p>
    <w:p w14:paraId="6D38E7C6" w14:textId="77777777" w:rsidR="000C1E4F" w:rsidRPr="003C14F6" w:rsidRDefault="00FE4F34" w:rsidP="00261C2A">
      <w:pPr>
        <w:pStyle w:val="ReferenceStyle"/>
        <w:spacing w:after="120" w:line="360" w:lineRule="auto"/>
        <w:jc w:val="both"/>
        <w:rPr>
          <w:lang w:val="pt-BR"/>
        </w:rPr>
      </w:pPr>
      <w:r w:rsidRPr="003C14F6">
        <w:rPr>
          <w:lang w:val="pt-BR"/>
        </w:rPr>
        <w:t>CONSELHO NACIONAL DE JUSTIÇA (Brasil). Resolução n.º 615, de 11 de março de 2025. Estabelece diretrizes para o desenvolvimento, utilização e governança de soluções desenvolvidas com recursos de inteligência artificial no Poder Judiciário. Brasília, DF: CNJ, 2025. Disponível em: https://atos.cnj.jus.br/files/original1555302025031467d4517244566.pdf. Acesso em: 29 mar. 2026.</w:t>
      </w:r>
    </w:p>
    <w:p w14:paraId="3B209842" w14:textId="77777777" w:rsidR="000C1E4F" w:rsidRPr="003C14F6" w:rsidRDefault="00FE4F34" w:rsidP="00261C2A">
      <w:pPr>
        <w:pStyle w:val="ReferenceStyle"/>
        <w:spacing w:after="120" w:line="360" w:lineRule="auto"/>
        <w:jc w:val="both"/>
        <w:rPr>
          <w:lang w:val="pt-BR"/>
        </w:rPr>
      </w:pPr>
      <w:r w:rsidRPr="003C14F6">
        <w:rPr>
          <w:lang w:val="pt-BR"/>
        </w:rPr>
        <w:t>COUTINHO, Diogo Rosenthal. O direito nas políticas públicas. In: MARQUES, Eduardo; FARIA, Carlos Aurélio Pimenta de (org.). Política pública como campo disciplinar. São Paulo: Editora Unesp; Rio de Janeiro: Editora Fiocruz, 2013. p. 181-200.</w:t>
      </w:r>
    </w:p>
    <w:p w14:paraId="6C7DE33B" w14:textId="77777777" w:rsidR="000C1E4F" w:rsidRPr="003C14F6" w:rsidRDefault="00FE4F34" w:rsidP="00261C2A">
      <w:pPr>
        <w:pStyle w:val="ReferenceStyle"/>
        <w:spacing w:after="120" w:line="360" w:lineRule="auto"/>
        <w:jc w:val="both"/>
        <w:rPr>
          <w:lang w:val="pt-BR"/>
        </w:rPr>
      </w:pPr>
      <w:r w:rsidRPr="003C14F6">
        <w:rPr>
          <w:lang w:val="pt-BR"/>
        </w:rPr>
        <w:t>DI PIETRO, Maria Sylvia Zanella. Direito administrativo. 32. ed. Rio de Janeiro: Forense, 2019.</w:t>
      </w:r>
    </w:p>
    <w:p w14:paraId="348344AC" w14:textId="77777777" w:rsidR="000C1E4F" w:rsidRDefault="00FE4F34" w:rsidP="00261C2A">
      <w:pPr>
        <w:pStyle w:val="ReferenceStyle"/>
        <w:spacing w:after="120" w:line="360" w:lineRule="auto"/>
        <w:jc w:val="both"/>
      </w:pPr>
      <w:r>
        <w:t>DYE, Thomas R. Understanding public policy. 15th ed. Boston: Pearson, 2017.</w:t>
      </w:r>
    </w:p>
    <w:p w14:paraId="2AEE463D" w14:textId="77777777" w:rsidR="000C1E4F" w:rsidRDefault="00FE4F34" w:rsidP="00261C2A">
      <w:pPr>
        <w:pStyle w:val="ReferenceStyle"/>
        <w:spacing w:after="120" w:line="360" w:lineRule="auto"/>
        <w:jc w:val="both"/>
      </w:pPr>
      <w:r>
        <w:t>GILLESPIE, Tarleton. Custodians of the internet: platforms, content moderation, and the hidden decisions that shape social media. New Haven: Yale University Press, 2018.</w:t>
      </w:r>
    </w:p>
    <w:p w14:paraId="12095E24" w14:textId="77777777" w:rsidR="000C1E4F" w:rsidRPr="003C14F6" w:rsidRDefault="00FE4F34" w:rsidP="00261C2A">
      <w:pPr>
        <w:pStyle w:val="ReferenceStyle"/>
        <w:spacing w:after="120" w:line="360" w:lineRule="auto"/>
        <w:jc w:val="both"/>
        <w:rPr>
          <w:lang w:val="pt-BR"/>
        </w:rPr>
      </w:pPr>
      <w:r>
        <w:t xml:space="preserve">GILLESPIE, Tarleton. The relevance of algorithms. In: GILLESPIE, Tarleton; BOCZKOWSKI, Pablo J.; FOOT, Kirsten A. (org.). Media technologies: essays on communication, materiality, and society. Cambridge, MA: MIT Press, 2014. p. 167-194. </w:t>
      </w:r>
      <w:r w:rsidRPr="003C14F6">
        <w:rPr>
          <w:lang w:val="pt-BR"/>
        </w:rPr>
        <w:t>Disponível em: https://doi.org/10.7551/mitpress/9780262525374.003.0009. Acesso em: 29 mar. 2026.</w:t>
      </w:r>
    </w:p>
    <w:p w14:paraId="0C6D459A" w14:textId="77777777" w:rsidR="000C1E4F" w:rsidRPr="003C14F6" w:rsidRDefault="00FE4F34" w:rsidP="00261C2A">
      <w:pPr>
        <w:pStyle w:val="ReferenceStyle"/>
        <w:spacing w:after="120" w:line="360" w:lineRule="auto"/>
        <w:jc w:val="both"/>
        <w:rPr>
          <w:lang w:val="pt-BR"/>
        </w:rPr>
      </w:pPr>
      <w:r w:rsidRPr="003C14F6">
        <w:rPr>
          <w:lang w:val="pt-BR"/>
        </w:rPr>
        <w:t>HABERMAS, Jürgen. Direito e democracia: entre facticidade e validade. Rio de Janeiro: Tempo Brasileiro, 1997.</w:t>
      </w:r>
    </w:p>
    <w:p w14:paraId="5713D31A" w14:textId="77777777" w:rsidR="000C1E4F" w:rsidRDefault="00FE4F34" w:rsidP="00261C2A">
      <w:pPr>
        <w:pStyle w:val="ReferenceStyle"/>
        <w:spacing w:after="120" w:line="360" w:lineRule="auto"/>
        <w:jc w:val="both"/>
      </w:pPr>
      <w:r w:rsidRPr="003C14F6">
        <w:rPr>
          <w:lang w:val="pt-BR"/>
        </w:rPr>
        <w:lastRenderedPageBreak/>
        <w:t xml:space="preserve">LASSWELL, Harold D. A pre-view of policy sciences. </w:t>
      </w:r>
      <w:r>
        <w:t>New York: American Elsevier, 1971.</w:t>
      </w:r>
    </w:p>
    <w:p w14:paraId="2E966217" w14:textId="77777777" w:rsidR="000C1E4F" w:rsidRDefault="00FE4F34" w:rsidP="00261C2A">
      <w:pPr>
        <w:pStyle w:val="ReferenceStyle"/>
        <w:spacing w:after="120" w:line="360" w:lineRule="auto"/>
        <w:jc w:val="both"/>
      </w:pPr>
      <w:r>
        <w:t>LASSWELL, Harold D. The policy orientation. In: LERNER, Daniel; LASSWELL, Harold D. (ed.). The policy sciences: recent developments in scope and method. Stanford: Stanford University Press, 1951. p. 3-15.</w:t>
      </w:r>
    </w:p>
    <w:p w14:paraId="5A3DD76F" w14:textId="77777777" w:rsidR="000C1E4F" w:rsidRDefault="00FE4F34" w:rsidP="00261C2A">
      <w:pPr>
        <w:pStyle w:val="ReferenceStyle"/>
        <w:spacing w:after="120" w:line="360" w:lineRule="auto"/>
        <w:jc w:val="both"/>
      </w:pPr>
      <w:r>
        <w:t>LOWI, Theodore J. Four systems of policy, politics, and choice. Public Administration Review, Washington, DC, v. 32, n. 4, p. 298-310, 1972.</w:t>
      </w:r>
    </w:p>
    <w:p w14:paraId="117E9751" w14:textId="77777777" w:rsidR="000C1E4F" w:rsidRPr="003C14F6" w:rsidRDefault="00FE4F34" w:rsidP="00261C2A">
      <w:pPr>
        <w:pStyle w:val="ReferenceStyle"/>
        <w:spacing w:after="120" w:line="360" w:lineRule="auto"/>
        <w:jc w:val="both"/>
        <w:rPr>
          <w:lang w:val="pt-BR"/>
        </w:rPr>
      </w:pPr>
      <w:r>
        <w:t xml:space="preserve">MAJONE, Giandomenico. From the positive to the regulatory state: causes and consequences of changes in the mode of governance. Journal of Public Policy, Cambridge, v. 17, n. 2, p. 139-167, 1997. Disponível em: https://doi.org/10.1017/S0143814X00003524. </w:t>
      </w:r>
      <w:r w:rsidRPr="003C14F6">
        <w:rPr>
          <w:lang w:val="pt-BR"/>
        </w:rPr>
        <w:t>Acesso em: 29 mar. 2026.</w:t>
      </w:r>
    </w:p>
    <w:p w14:paraId="407FB7AC" w14:textId="77777777" w:rsidR="000C1E4F" w:rsidRPr="003C14F6" w:rsidRDefault="00FE4F34" w:rsidP="00261C2A">
      <w:pPr>
        <w:pStyle w:val="ReferenceStyle"/>
        <w:spacing w:after="120" w:line="360" w:lineRule="auto"/>
        <w:jc w:val="both"/>
        <w:rPr>
          <w:lang w:val="pt-BR"/>
        </w:rPr>
      </w:pPr>
      <w:r w:rsidRPr="003C14F6">
        <w:rPr>
          <w:lang w:val="pt-BR"/>
        </w:rPr>
        <w:t>MELLO, Celso Antônio Bandeira de. Curso de direito administrativo. 27. ed. São Paulo: Malheiros, 2010.</w:t>
      </w:r>
    </w:p>
    <w:p w14:paraId="7EB612A1" w14:textId="77777777" w:rsidR="000C1E4F" w:rsidRDefault="00FE4F34" w:rsidP="00261C2A">
      <w:pPr>
        <w:pStyle w:val="ReferenceStyle"/>
        <w:spacing w:after="120" w:line="360" w:lineRule="auto"/>
        <w:jc w:val="both"/>
      </w:pPr>
      <w:r w:rsidRPr="003C14F6">
        <w:rPr>
          <w:lang w:val="pt-BR"/>
        </w:rPr>
        <w:t xml:space="preserve">NETTESHEIM, Martin. A regulação de grandes plataformas da internet no Direito da União Europeia: as propostas da Comissão para um Digital Markets Act e um Digital Services Act. Revista Brasileira de Direitos Fundamentais &amp; Justiça, v. 17, n. 47, 2023. Disponível em: https://dfj.emnuvens.com.br/dfj/article/view/1355. </w:t>
      </w:r>
      <w:r>
        <w:t>Acesso em: 29 mar. 2026.</w:t>
      </w:r>
    </w:p>
    <w:p w14:paraId="29F59FD4" w14:textId="77777777" w:rsidR="000C1E4F" w:rsidRPr="003C14F6" w:rsidRDefault="00FE4F34" w:rsidP="00261C2A">
      <w:pPr>
        <w:pStyle w:val="ReferenceStyle"/>
        <w:spacing w:after="120" w:line="360" w:lineRule="auto"/>
        <w:jc w:val="both"/>
        <w:rPr>
          <w:lang w:val="pt-BR"/>
        </w:rPr>
      </w:pPr>
      <w:r>
        <w:t xml:space="preserve">PASQUALE, Frank. The black box society: the secret algorithms that control money and information. </w:t>
      </w:r>
      <w:r w:rsidRPr="003C14F6">
        <w:rPr>
          <w:lang w:val="pt-BR"/>
        </w:rPr>
        <w:t>Cambridge, MA: Harvard University Press, 2015.</w:t>
      </w:r>
    </w:p>
    <w:p w14:paraId="4F014CE0" w14:textId="77777777" w:rsidR="000C1E4F" w:rsidRPr="003C14F6" w:rsidRDefault="00FE4F34" w:rsidP="00261C2A">
      <w:pPr>
        <w:pStyle w:val="ReferenceStyle"/>
        <w:spacing w:after="120" w:line="360" w:lineRule="auto"/>
        <w:jc w:val="both"/>
        <w:rPr>
          <w:lang w:val="pt-BR"/>
        </w:rPr>
      </w:pPr>
      <w:r w:rsidRPr="003C14F6">
        <w:rPr>
          <w:lang w:val="pt-BR"/>
        </w:rPr>
        <w:t>SECCHI, Leonardo; COELHO, Fernando de Souza; PIRES, Valdemir. Políticas públicas: conceitos, casos práticos e questões de concursos. 3. ed. São Paulo: Cengage Learning, 2019.</w:t>
      </w:r>
    </w:p>
    <w:p w14:paraId="7FEF0470" w14:textId="77777777" w:rsidR="000C1E4F" w:rsidRPr="003C14F6" w:rsidRDefault="00FE4F34" w:rsidP="00261C2A">
      <w:pPr>
        <w:pStyle w:val="ReferenceStyle"/>
        <w:spacing w:after="120" w:line="360" w:lineRule="auto"/>
        <w:jc w:val="both"/>
        <w:rPr>
          <w:lang w:val="pt-BR"/>
        </w:rPr>
      </w:pPr>
      <w:r w:rsidRPr="003C14F6">
        <w:rPr>
          <w:lang w:val="pt-BR"/>
        </w:rPr>
        <w:t>SILVA, Virgílio Afonso da. O proporcional e o razoável. Revista dos Tribunais, São Paulo, v. 91, n. 798, p. 23-50, 2002. Disponível em: https://constituicao.direito.usp.br/wp-content/uploads/2002-RT798-Proporcionalidade.pdf. Acesso em: 29 mar. 2026.</w:t>
      </w:r>
    </w:p>
    <w:p w14:paraId="0F8A3F71" w14:textId="77777777" w:rsidR="000C1E4F" w:rsidRPr="003C14F6" w:rsidRDefault="00FE4F34" w:rsidP="00261C2A">
      <w:pPr>
        <w:pStyle w:val="ReferenceStyle"/>
        <w:spacing w:after="120" w:line="360" w:lineRule="auto"/>
        <w:jc w:val="both"/>
        <w:rPr>
          <w:lang w:val="pt-BR"/>
        </w:rPr>
      </w:pPr>
      <w:r>
        <w:t xml:space="preserve">SIMON, Herbert A. Designing organizations for an information-rich world. In: GREENBERGER, Martin (ed.). Computers, communications, and the public interest. </w:t>
      </w:r>
      <w:r w:rsidRPr="003C14F6">
        <w:rPr>
          <w:lang w:val="pt-BR"/>
        </w:rPr>
        <w:t>Baltimore: Johns Hopkins Press, 1971. p. 37-72.</w:t>
      </w:r>
    </w:p>
    <w:p w14:paraId="45B0842E" w14:textId="77777777" w:rsidR="000C1E4F" w:rsidRPr="003C14F6" w:rsidRDefault="00FE4F34" w:rsidP="00261C2A">
      <w:pPr>
        <w:pStyle w:val="ReferenceStyle"/>
        <w:spacing w:after="120" w:line="360" w:lineRule="auto"/>
        <w:jc w:val="both"/>
        <w:rPr>
          <w:lang w:val="pt-BR"/>
        </w:rPr>
      </w:pPr>
      <w:r w:rsidRPr="003C14F6">
        <w:rPr>
          <w:lang w:val="pt-BR"/>
        </w:rPr>
        <w:t>SOUZA, Celina. Políticas públicas: uma revisão da literatura. Sociologias, Porto Alegre, v. 8, n. 16, p. 20-45, 2006. Disponível em: https://doi.org/10.1590/S1517-45222006000200003. Acesso em: 29 mar. 2026.</w:t>
      </w:r>
    </w:p>
    <w:p w14:paraId="1FCBA00C" w14:textId="77777777" w:rsidR="000C1E4F" w:rsidRPr="003C14F6" w:rsidRDefault="00FE4F34" w:rsidP="00261C2A">
      <w:pPr>
        <w:pStyle w:val="ReferenceStyle"/>
        <w:spacing w:after="120" w:line="360" w:lineRule="auto"/>
        <w:jc w:val="both"/>
        <w:rPr>
          <w:lang w:val="pt-BR"/>
        </w:rPr>
      </w:pPr>
      <w:r w:rsidRPr="003C14F6">
        <w:rPr>
          <w:lang w:val="pt-BR"/>
        </w:rPr>
        <w:t>SUPREMO TRIBUNAL FEDERAL (Brasil). Ação Direta de Inconstitucionalidade n.º 7261/DF. Relator: Min. Edson Fachin. Julgamento em 19 dez. 2023. Diário da Justiça Eletrônico, 6 mar. 2024. Disponível em: https://portal.stf.jus.br/noticias/verNoticiaDetalhe.asp?idConteudo=522844&amp;ori=1. Acesso em: 29 mar. 2026.</w:t>
      </w:r>
    </w:p>
    <w:p w14:paraId="61C79CD6" w14:textId="77777777" w:rsidR="000C1E4F" w:rsidRPr="003C14F6" w:rsidRDefault="00FE4F34" w:rsidP="00261C2A">
      <w:pPr>
        <w:pStyle w:val="ReferenceStyle"/>
        <w:spacing w:after="120" w:line="360" w:lineRule="auto"/>
        <w:jc w:val="both"/>
        <w:rPr>
          <w:lang w:val="pt-BR"/>
        </w:rPr>
      </w:pPr>
      <w:r w:rsidRPr="003C14F6">
        <w:rPr>
          <w:lang w:val="pt-BR"/>
        </w:rPr>
        <w:lastRenderedPageBreak/>
        <w:t>TRIBUNAL SUPERIOR ELEITORAL (Brasil). Resolução n.º 23.610, de 18 de dezembro de 2019. Dispõe sobre propaganda eleitoral, utilização e geração do horário gratuito e condutas ilícitas em campanha eleitoral. Brasília, DF: TSE, 2019. Disponível em: https://www.tse.jus.br/legislacao/compilada/res/2019/resolucao-no-23-610-de-18-de-dezembro-de-2019. Acesso em: 29 mar. 2026.</w:t>
      </w:r>
    </w:p>
    <w:p w14:paraId="41D8AB96" w14:textId="77777777" w:rsidR="000C1E4F" w:rsidRPr="003C14F6" w:rsidRDefault="00FE4F34" w:rsidP="00261C2A">
      <w:pPr>
        <w:pStyle w:val="ReferenceStyle"/>
        <w:spacing w:after="120" w:line="360" w:lineRule="auto"/>
        <w:jc w:val="both"/>
        <w:rPr>
          <w:lang w:val="pt-BR"/>
        </w:rPr>
      </w:pPr>
      <w:r w:rsidRPr="003C14F6">
        <w:rPr>
          <w:lang w:val="pt-BR"/>
        </w:rPr>
        <w:t>TRIBUNAL SUPERIOR ELEITORAL (Brasil). Resolução n.º 23.714, de 20 de outubro de 2022. Dispõe sobre o enfrentamento à desinformação que atinja a integridade do processo eleitoral. Brasília, DF: TSE, 2022. Disponível em: https://www.tse.jus.br/legislacao/compilada/res/2022/resolucao-no-23-714-de-20-de-outubro-de-2022. Acesso em: 29 mar. 2026.</w:t>
      </w:r>
    </w:p>
    <w:p w14:paraId="303B7E46" w14:textId="77777777" w:rsidR="000C1E4F" w:rsidRPr="003C14F6" w:rsidRDefault="00FE4F34" w:rsidP="00261C2A">
      <w:pPr>
        <w:pStyle w:val="ReferenceStyle"/>
        <w:spacing w:after="120" w:line="360" w:lineRule="auto"/>
        <w:jc w:val="both"/>
        <w:rPr>
          <w:lang w:val="pt-BR"/>
        </w:rPr>
      </w:pPr>
      <w:r w:rsidRPr="003C14F6">
        <w:rPr>
          <w:lang w:val="pt-BR"/>
        </w:rPr>
        <w:t>TRIBUNAL SUPERIOR ELEITORAL (Brasil). Resolução n.º 23.732, de 27 de fevereiro de 2024. Altera a Res.-TSE n.º 23.610, de 18 de dezembro de 2019, dispondo sobre a propaganda eleitoral. Brasília, DF: TSE, 2024. Disponível em: https://www.tse.jus.br/legislacao/compilada/res/2024/resolucao-no-23-732-de-27-de-fevereiro-de-2024. Acesso em: 29 mar. 2026.</w:t>
      </w:r>
    </w:p>
    <w:p w14:paraId="756802AB" w14:textId="77777777" w:rsidR="000C1E4F" w:rsidRPr="003C14F6" w:rsidRDefault="00FE4F34" w:rsidP="00261C2A">
      <w:pPr>
        <w:pStyle w:val="ReferenceStyle"/>
        <w:spacing w:after="120" w:line="360" w:lineRule="auto"/>
        <w:jc w:val="both"/>
        <w:rPr>
          <w:lang w:val="pt-BR"/>
        </w:rPr>
      </w:pPr>
      <w:r w:rsidRPr="003C14F6">
        <w:rPr>
          <w:lang w:val="pt-BR"/>
        </w:rPr>
        <w:t>TRIBUNAL SUPERIOR ELEITORAL (Brasil). Resolução n.º 23.733, de 27 de fevereiro de 2024. Altera a Res.-TSE n.º 23.608, de 18 de dezembro de 2019, que dispõe sobre representações, reclamações e pedidos de direito de resposta previstos na Lei n.º 9.504, de 30 de setembro de 1997, para as eleições. Brasília, DF: TSE, 2024. Disponível em: https://www.tse.jus.br/legislacao/compilada/res/2024/resolucao-no-23-733-de-27-de-fevereiro-de-2024. Acesso em: 29 mar. 2026.</w:t>
      </w:r>
    </w:p>
    <w:p w14:paraId="323B3FA6" w14:textId="77777777" w:rsidR="000C1E4F" w:rsidRDefault="00FE4F34" w:rsidP="00261C2A">
      <w:pPr>
        <w:pStyle w:val="ReferenceStyle"/>
        <w:spacing w:after="120" w:line="360" w:lineRule="auto"/>
        <w:jc w:val="both"/>
      </w:pPr>
      <w:r w:rsidRPr="003C14F6">
        <w:rPr>
          <w:lang w:val="pt-BR"/>
        </w:rPr>
        <w:t xml:space="preserve">TRIBUNAL SUPERIOR ELEITORAL (Brasil). Resolução n.º 23.735, de 27 de fevereiro de 2024. Dispõe sobre os ilícitos eleitorais. Brasília, DF: TSE, 2024. Disponível em: https://www.tse.jus.br/legislacao/compilada/res/2024/resolucao-no-23-735-de-27-de-fevereiro-de-2024. </w:t>
      </w:r>
      <w:r>
        <w:t>Acesso em: 29 mar. 2026.</w:t>
      </w:r>
    </w:p>
    <w:p w14:paraId="2605A1F1" w14:textId="77777777" w:rsidR="000C1E4F" w:rsidRDefault="00FE4F34" w:rsidP="00261C2A">
      <w:pPr>
        <w:pStyle w:val="ReferenceStyle"/>
        <w:spacing w:after="120" w:line="360" w:lineRule="auto"/>
        <w:jc w:val="both"/>
      </w:pPr>
      <w:r>
        <w:t>TUFEKCI, Zeynep. Twitter and tear gas: the power and fragility of networked protest. New Haven: Yale University Press, 2017.</w:t>
      </w:r>
    </w:p>
    <w:p w14:paraId="41225DD6" w14:textId="77777777" w:rsidR="000C1E4F" w:rsidRPr="003C14F6" w:rsidRDefault="00FE4F34" w:rsidP="00261C2A">
      <w:pPr>
        <w:pStyle w:val="ReferenceStyle"/>
        <w:spacing w:after="120" w:line="360" w:lineRule="auto"/>
        <w:jc w:val="both"/>
        <w:rPr>
          <w:lang w:val="pt-BR"/>
        </w:rPr>
      </w:pPr>
      <w:r>
        <w:t xml:space="preserve">WALTER, Clarissa Elisa; FRIESIKE, Sascha. Behind the screens: how algorithmic imaginaries shape science content on social media. </w:t>
      </w:r>
      <w:r w:rsidRPr="003C14F6">
        <w:rPr>
          <w:lang w:val="pt-BR"/>
        </w:rPr>
        <w:t>Journal of Science Communication, v. 24, n. 2, A02, 2025. Disponível em: https://doi.org/10.22323/2.24020202. Acesso em: 29 mar. 2026.</w:t>
      </w:r>
    </w:p>
    <w:p w14:paraId="5E76B8ED" w14:textId="018D6F12" w:rsidR="000C1E4F" w:rsidRPr="003C14F6" w:rsidRDefault="00FE4F34" w:rsidP="00261C2A">
      <w:pPr>
        <w:pStyle w:val="ReferenceStyle"/>
        <w:spacing w:after="120" w:line="360" w:lineRule="auto"/>
        <w:jc w:val="both"/>
        <w:rPr>
          <w:lang w:val="pt-BR"/>
        </w:rPr>
      </w:pPr>
      <w:r w:rsidRPr="003C14F6">
        <w:rPr>
          <w:lang w:val="pt-BR"/>
        </w:rPr>
        <w:t xml:space="preserve">WARDLE, Claire; DERAKHSHAN, Hossein. Desordem informacional: para um quadro interdisciplinar de investigação e elaboração de políticas públicas. Estrasburgo: Council of Europe, </w:t>
      </w:r>
      <w:r w:rsidR="000D48E0">
        <w:rPr>
          <w:lang w:val="pt-BR"/>
        </w:rPr>
        <w:t>2023</w:t>
      </w:r>
      <w:r w:rsidRPr="003C14F6">
        <w:rPr>
          <w:lang w:val="pt-BR"/>
        </w:rPr>
        <w:t>. Disponível em: https://edoc.coe.int/en/media/11609-desordem-informacional-para-um-quadro-interdisciplinar-de-investigacao-e-elaboracao-de-politicas-publicas.html. Acesso em: 29 mar. 2026.</w:t>
      </w:r>
    </w:p>
    <w:sectPr w:rsidR="000C1E4F" w:rsidRPr="003C14F6" w:rsidSect="00034616">
      <w:pgSz w:w="12240" w:h="15840"/>
      <w:pgMar w:top="1304" w:right="1417" w:bottom="130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erad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erad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Commarcadore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Commarcadore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erad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140149966">
    <w:abstractNumId w:val="8"/>
  </w:num>
  <w:num w:numId="2" w16cid:durableId="1379551612">
    <w:abstractNumId w:val="6"/>
  </w:num>
  <w:num w:numId="3" w16cid:durableId="796484070">
    <w:abstractNumId w:val="5"/>
  </w:num>
  <w:num w:numId="4" w16cid:durableId="1732383838">
    <w:abstractNumId w:val="4"/>
  </w:num>
  <w:num w:numId="5" w16cid:durableId="687832627">
    <w:abstractNumId w:val="7"/>
  </w:num>
  <w:num w:numId="6" w16cid:durableId="1066490847">
    <w:abstractNumId w:val="3"/>
  </w:num>
  <w:num w:numId="7" w16cid:durableId="348332421">
    <w:abstractNumId w:val="2"/>
  </w:num>
  <w:num w:numId="8" w16cid:durableId="1161962706">
    <w:abstractNumId w:val="1"/>
  </w:num>
  <w:num w:numId="9" w16cid:durableId="4828955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80B23"/>
    <w:rsid w:val="000C1E4F"/>
    <w:rsid w:val="000D48E0"/>
    <w:rsid w:val="000E0859"/>
    <w:rsid w:val="001247FA"/>
    <w:rsid w:val="001255C3"/>
    <w:rsid w:val="00135C4A"/>
    <w:rsid w:val="001407F8"/>
    <w:rsid w:val="0015074B"/>
    <w:rsid w:val="00172739"/>
    <w:rsid w:val="0019669D"/>
    <w:rsid w:val="001D2764"/>
    <w:rsid w:val="001D6160"/>
    <w:rsid w:val="0020262E"/>
    <w:rsid w:val="00261C2A"/>
    <w:rsid w:val="0029639D"/>
    <w:rsid w:val="002F554A"/>
    <w:rsid w:val="00326F90"/>
    <w:rsid w:val="00354BE9"/>
    <w:rsid w:val="00363F2F"/>
    <w:rsid w:val="003B720B"/>
    <w:rsid w:val="003C14F6"/>
    <w:rsid w:val="003D3980"/>
    <w:rsid w:val="003E0440"/>
    <w:rsid w:val="003E4557"/>
    <w:rsid w:val="003F237F"/>
    <w:rsid w:val="003F7E57"/>
    <w:rsid w:val="0041385F"/>
    <w:rsid w:val="00476FEB"/>
    <w:rsid w:val="00501342"/>
    <w:rsid w:val="0050216B"/>
    <w:rsid w:val="0055458C"/>
    <w:rsid w:val="00556508"/>
    <w:rsid w:val="005A6CDA"/>
    <w:rsid w:val="005C0842"/>
    <w:rsid w:val="005C38D3"/>
    <w:rsid w:val="005F2EE9"/>
    <w:rsid w:val="00603735"/>
    <w:rsid w:val="0061494C"/>
    <w:rsid w:val="00633F2A"/>
    <w:rsid w:val="006A72D2"/>
    <w:rsid w:val="006C1B6B"/>
    <w:rsid w:val="006D31FF"/>
    <w:rsid w:val="006D761D"/>
    <w:rsid w:val="00735596"/>
    <w:rsid w:val="0075051A"/>
    <w:rsid w:val="00766B22"/>
    <w:rsid w:val="00771080"/>
    <w:rsid w:val="007740F0"/>
    <w:rsid w:val="00780170"/>
    <w:rsid w:val="0078762B"/>
    <w:rsid w:val="007B55D5"/>
    <w:rsid w:val="008067F5"/>
    <w:rsid w:val="00816DD1"/>
    <w:rsid w:val="00820A2C"/>
    <w:rsid w:val="008337A6"/>
    <w:rsid w:val="00863727"/>
    <w:rsid w:val="00871BA2"/>
    <w:rsid w:val="008A415A"/>
    <w:rsid w:val="008A63CA"/>
    <w:rsid w:val="009C7B59"/>
    <w:rsid w:val="009D4C6A"/>
    <w:rsid w:val="00A16A9B"/>
    <w:rsid w:val="00A221AD"/>
    <w:rsid w:val="00AA1D8D"/>
    <w:rsid w:val="00AA5AB4"/>
    <w:rsid w:val="00AC42B7"/>
    <w:rsid w:val="00B052B6"/>
    <w:rsid w:val="00B065FB"/>
    <w:rsid w:val="00B4684C"/>
    <w:rsid w:val="00B47730"/>
    <w:rsid w:val="00B50F50"/>
    <w:rsid w:val="00B549A9"/>
    <w:rsid w:val="00B652CE"/>
    <w:rsid w:val="00B6695D"/>
    <w:rsid w:val="00BB7810"/>
    <w:rsid w:val="00BE2829"/>
    <w:rsid w:val="00BF1B34"/>
    <w:rsid w:val="00C24E99"/>
    <w:rsid w:val="00C43003"/>
    <w:rsid w:val="00C50D50"/>
    <w:rsid w:val="00C9124C"/>
    <w:rsid w:val="00CA7E56"/>
    <w:rsid w:val="00CB0664"/>
    <w:rsid w:val="00CC11D6"/>
    <w:rsid w:val="00D07A49"/>
    <w:rsid w:val="00DF08BB"/>
    <w:rsid w:val="00E00AD0"/>
    <w:rsid w:val="00E31710"/>
    <w:rsid w:val="00E3290D"/>
    <w:rsid w:val="00E72A1B"/>
    <w:rsid w:val="00E74D7B"/>
    <w:rsid w:val="00E93D7A"/>
    <w:rsid w:val="00ED5861"/>
    <w:rsid w:val="00F60362"/>
    <w:rsid w:val="00F61523"/>
    <w:rsid w:val="00F64105"/>
    <w:rsid w:val="00FC368C"/>
    <w:rsid w:val="00FC693F"/>
    <w:rsid w:val="00FE4F34"/>
    <w:rsid w:val="00FF1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4062061"/>
  <w14:defaultImageDpi w14:val="300"/>
  <w15:docId w15:val="{0CFFE7D2-391E-4AC3-8A0F-B70ADAFB0B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Times New Roman" w:eastAsia="Times New Roman" w:hAnsi="Times New Roman"/>
      <w:sz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618BF"/>
  </w:style>
  <w:style w:type="paragraph" w:styleId="Rodap">
    <w:name w:val="footer"/>
    <w:basedOn w:val="Normal"/>
    <w:link w:val="Rodap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618BF"/>
  </w:style>
  <w:style w:type="paragraph" w:styleId="SemEspaament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har">
    <w:name w:val="Título 1 Char"/>
    <w:basedOn w:val="Fontepargpadro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grafoda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odetexto">
    <w:name w:val="Body Text"/>
    <w:basedOn w:val="Normal"/>
    <w:link w:val="CorpodetextoChar"/>
    <w:uiPriority w:val="99"/>
    <w:unhideWhenUsed/>
    <w:rsid w:val="00AA1D8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AA1D8D"/>
  </w:style>
  <w:style w:type="paragraph" w:styleId="Corpodetexto2">
    <w:name w:val="Body Text 2"/>
    <w:basedOn w:val="Normal"/>
    <w:link w:val="Corpodetexto2Char"/>
    <w:uiPriority w:val="99"/>
    <w:unhideWhenUsed/>
    <w:rsid w:val="00AA1D8D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AA1D8D"/>
  </w:style>
  <w:style w:type="paragraph" w:styleId="Corpodetexto3">
    <w:name w:val="Body Text 3"/>
    <w:basedOn w:val="Normal"/>
    <w:link w:val="Corpodetexto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Commarcadore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Commarcadore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Commarcadore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Numerada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Numerada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Numerada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adecontinuao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adecontinuao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adecontinuao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demacro">
    <w:name w:val="macro"/>
    <w:link w:val="Textodemacro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demacroChar">
    <w:name w:val="Texto de macro Char"/>
    <w:basedOn w:val="Fontepargpadro"/>
    <w:link w:val="Textodemacro"/>
    <w:uiPriority w:val="99"/>
    <w:rsid w:val="0029639D"/>
    <w:rPr>
      <w:rFonts w:ascii="Courier" w:hAnsi="Courier"/>
      <w:sz w:val="20"/>
      <w:szCs w:val="20"/>
    </w:rPr>
  </w:style>
  <w:style w:type="paragraph" w:styleId="Citao">
    <w:name w:val="Quote"/>
    <w:basedOn w:val="Normal"/>
    <w:next w:val="Normal"/>
    <w:link w:val="CitaoChar"/>
    <w:uiPriority w:val="29"/>
    <w:qFormat/>
    <w:rsid w:val="00FC693F"/>
    <w:rPr>
      <w:i/>
      <w:iCs/>
      <w:color w:val="000000" w:themeColor="text1"/>
    </w:rPr>
  </w:style>
  <w:style w:type="character" w:customStyle="1" w:styleId="CitaoChar">
    <w:name w:val="Citação Char"/>
    <w:basedOn w:val="Fontepargpadro"/>
    <w:link w:val="Citao"/>
    <w:uiPriority w:val="29"/>
    <w:rsid w:val="00FC693F"/>
    <w:rPr>
      <w:i/>
      <w:iCs/>
      <w:color w:val="000000" w:themeColor="text1"/>
    </w:rPr>
  </w:style>
  <w:style w:type="character" w:customStyle="1" w:styleId="Ttulo4Char">
    <w:name w:val="Título 4 Char"/>
    <w:basedOn w:val="Fontepargpadro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har">
    <w:name w:val="Título 5 Char"/>
    <w:basedOn w:val="Fontepargpadro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orte">
    <w:name w:val="Strong"/>
    <w:basedOn w:val="Fontepargpadro"/>
    <w:uiPriority w:val="22"/>
    <w:qFormat/>
    <w:rsid w:val="00FC693F"/>
    <w:rPr>
      <w:b/>
      <w:bCs/>
    </w:rPr>
  </w:style>
  <w:style w:type="character" w:styleId="nfase">
    <w:name w:val="Emphasis"/>
    <w:basedOn w:val="Fontepargpadro"/>
    <w:uiPriority w:val="20"/>
    <w:qFormat/>
    <w:rsid w:val="00FC693F"/>
    <w:rPr>
      <w:i/>
      <w:iCs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FC693F"/>
    <w:rPr>
      <w:b/>
      <w:bCs/>
      <w:i/>
      <w:iCs/>
      <w:color w:val="4F81BD" w:themeColor="accent1"/>
    </w:rPr>
  </w:style>
  <w:style w:type="character" w:styleId="nfaseSutil">
    <w:name w:val="Subtle Emphasis"/>
    <w:basedOn w:val="Fontepargpadro"/>
    <w:uiPriority w:val="19"/>
    <w:qFormat/>
    <w:rsid w:val="00FC693F"/>
    <w:rPr>
      <w:i/>
      <w:iCs/>
      <w:color w:val="808080" w:themeColor="text1" w:themeTint="7F"/>
    </w:rPr>
  </w:style>
  <w:style w:type="character" w:styleId="nfaseIntensa">
    <w:name w:val="Intense Emphasis"/>
    <w:basedOn w:val="Fontepargpadro"/>
    <w:uiPriority w:val="21"/>
    <w:qFormat/>
    <w:rsid w:val="00FC693F"/>
    <w:rPr>
      <w:b/>
      <w:bCs/>
      <w:i/>
      <w:iCs/>
      <w:color w:val="4F81BD" w:themeColor="accent1"/>
    </w:rPr>
  </w:style>
  <w:style w:type="character" w:styleId="RefernciaSutil">
    <w:name w:val="Subtle Reference"/>
    <w:basedOn w:val="Fontepargpadro"/>
    <w:uiPriority w:val="31"/>
    <w:qFormat/>
    <w:rsid w:val="00FC693F"/>
    <w:rPr>
      <w:smallCaps/>
      <w:color w:val="C0504D" w:themeColor="accent2"/>
      <w:u w:val="single"/>
    </w:rPr>
  </w:style>
  <w:style w:type="character" w:styleId="RefernciaIntensa">
    <w:name w:val="Intense Reference"/>
    <w:basedOn w:val="Fontepargpadr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oLivro">
    <w:name w:val="Book Title"/>
    <w:basedOn w:val="Fontepargpadro"/>
    <w:uiPriority w:val="33"/>
    <w:qFormat/>
    <w:rsid w:val="00FC693F"/>
    <w:rPr>
      <w:b/>
      <w:bCs/>
      <w:smallCaps/>
      <w:spacing w:val="5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elacomgrade">
    <w:name w:val="Table Grid"/>
    <w:basedOn w:val="Tabe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mentoClaro">
    <w:name w:val="Light Shading"/>
    <w:basedOn w:val="Tabe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mentoClaro-nfase1">
    <w:name w:val="Light Shading Accent 1"/>
    <w:basedOn w:val="Tabe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mentoClaro-nfase2">
    <w:name w:val="Light Shading Accent 2"/>
    <w:basedOn w:val="Tabe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mentoClaro-nfase3">
    <w:name w:val="Light Shading Accent 3"/>
    <w:basedOn w:val="Tabe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mentoClaro-nfase4">
    <w:name w:val="Light Shading Accent 4"/>
    <w:basedOn w:val="Tabe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mentoClaro-nfase5">
    <w:name w:val="Light Shading Accent 5"/>
    <w:basedOn w:val="Tabe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mentoClaro-nfase6">
    <w:name w:val="Light Shading Accent 6"/>
    <w:basedOn w:val="Tabe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e1">
    <w:name w:val="Light List Accent 1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e2">
    <w:name w:val="Light List Accent 2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e3">
    <w:name w:val="Light List Accent 3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e4">
    <w:name w:val="Light List Accent 4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e5">
    <w:name w:val="Light List Accent 5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e6">
    <w:name w:val="Light List Accent 6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adeClara">
    <w:name w:val="Light Grid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adeClara-nfase1">
    <w:name w:val="Light Grid Accent 1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adeClara-nfase2">
    <w:name w:val="Light Grid Accent 2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adeClara-nfase3">
    <w:name w:val="Light Grid Accent 3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adeClara-nfase4">
    <w:name w:val="Light Grid Accent 4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adeClara-nfase5">
    <w:name w:val="Light Grid Accent 5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adeClara-nfase6">
    <w:name w:val="Light Grid Accent 6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mentoMdio1">
    <w:name w:val="Medium Shading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1">
    <w:name w:val="Medium Shading 1 Accent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2">
    <w:name w:val="Medium Shading 1 Accent 2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3">
    <w:name w:val="Medium Shading 1 Accent 3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4">
    <w:name w:val="Medium Shading 1 Accent 4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5">
    <w:name w:val="Medium Shading 1 Accent 5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6">
    <w:name w:val="Medium Shading 1 Accent 6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2">
    <w:name w:val="Medium Shading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1">
    <w:name w:val="Medium Shading 2 Accent 1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2">
    <w:name w:val="Medium Shading 2 Accent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3">
    <w:name w:val="Medium Shading 2 Accent 3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4">
    <w:name w:val="Medium Shading 2 Accent 4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5">
    <w:name w:val="Medium Shading 2 Accent 5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6">
    <w:name w:val="Medium Shading 2 Accent 6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dia1">
    <w:name w:val="Medium Lis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dia1-nfase1">
    <w:name w:val="Medium List 1 Accen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dia1-nfase2">
    <w:name w:val="Medium List 1 Accent 2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dia1-nfase3">
    <w:name w:val="Medium List 1 Accent 3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dia1-nfase4">
    <w:name w:val="Medium List 1 Accent 4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dia1-nfase5">
    <w:name w:val="Medium List 1 Accent 5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dia1-nfase6">
    <w:name w:val="Medium List 1 Accent 6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dia2">
    <w:name w:val="Medium Lis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1">
    <w:name w:val="Medium List 2 Accent 1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2">
    <w:name w:val="Medium List 2 Accen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3">
    <w:name w:val="Medium List 2 Accent 3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4">
    <w:name w:val="Medium List 2 Accent 4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5">
    <w:name w:val="Medium List 2 Accent 5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6">
    <w:name w:val="Medium List 2 Accent 6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adeMdia1">
    <w:name w:val="Medium Grid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Mdia1-nfase1">
    <w:name w:val="Medium Grid 1 Accent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Mdia1-nfase2">
    <w:name w:val="Medium Grid 1 Accent 2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Mdia1-nfase3">
    <w:name w:val="Medium Grid 1 Accent 3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Mdia1-nfase4">
    <w:name w:val="Medium Grid 1 Accent 4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Mdia1-nfase5">
    <w:name w:val="Medium Grid 1 Accent 5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Mdia1-nfase6">
    <w:name w:val="Medium Grid 1 Accent 6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adeMdia2">
    <w:name w:val="Medium Grid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1">
    <w:name w:val="Medium Grid 2 Accent 1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2">
    <w:name w:val="Medium Grid 2 Accent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3">
    <w:name w:val="Medium Grid 2 Accent 3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4">
    <w:name w:val="Medium Grid 2 Accent 4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5">
    <w:name w:val="Medium Grid 2 Accent 5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6">
    <w:name w:val="Medium Grid 2 Accent 6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3">
    <w:name w:val="Medium Grid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adeMdia3-nfase1">
    <w:name w:val="Medium Grid 3 Accent 1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adeMdia3-nfase2">
    <w:name w:val="Medium Grid 3 Accent 2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adeMdia3-nfase3">
    <w:name w:val="Medium Grid 3 Accent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adeMdia3-nfase4">
    <w:name w:val="Medium Grid 3 Accent 4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adeMdia3-nfase5">
    <w:name w:val="Medium Grid 3 Accent 5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adeMdia3-nfase6">
    <w:name w:val="Medium Grid 3 Accent 6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Escura">
    <w:name w:val="Dark List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Escura-nfase1">
    <w:name w:val="Dark List Accent 1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Escura-nfase2">
    <w:name w:val="Dark List Accent 2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Escura-nfase3">
    <w:name w:val="Dark List Accent 3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Escura-nfase4">
    <w:name w:val="Dark List Accent 4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Escura-nfase5">
    <w:name w:val="Dark List Accent 5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Escura-nfase6">
    <w:name w:val="Dark List Accent 6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mentoColorido">
    <w:name w:val="Colorful Shading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Escuro-nfase1">
    <w:name w:val="Colorful Shading Accent 1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2">
    <w:name w:val="Colorful Shading Accent 2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3">
    <w:name w:val="Colorful Shading Accent 3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mentoColorido-nfase4">
    <w:name w:val="Colorful Shading Accent 4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5">
    <w:name w:val="Colorful Shading Accent 5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6">
    <w:name w:val="Colorful Shading Accent 6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Colorida">
    <w:name w:val="Colorful List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Colorida-nfase1">
    <w:name w:val="Colorful List Accent 1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Colorida-nfase2">
    <w:name w:val="Colorful List Accent 2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Colorida-nfase3">
    <w:name w:val="Colorful List Accent 3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Colorida-nfase4">
    <w:name w:val="Colorful List Accent 4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Colorida-nfase5">
    <w:name w:val="Colorful List Accent 5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Colorida-nfase6">
    <w:name w:val="Colorful List Accent 6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adeColorida">
    <w:name w:val="Colorful Grid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Colorida-nfase1">
    <w:name w:val="Colorful Grid Accent 1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Colorida-nfase2">
    <w:name w:val="Colorful Grid Accent 2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Colorida-nfase3">
    <w:name w:val="Colorful Grid Accent 3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Colorida-nfase4">
    <w:name w:val="Colorful Grid Accent 4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Colorida-nfase5">
    <w:name w:val="Colorful Grid Accent 5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Colorida-nfase6">
    <w:name w:val="Colorful Grid Accent 6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SectionHeading">
    <w:name w:val="SectionHeading"/>
    <w:basedOn w:val="Normal"/>
    <w:rPr>
      <w:b/>
    </w:rPr>
  </w:style>
  <w:style w:type="paragraph" w:customStyle="1" w:styleId="SubHeading">
    <w:name w:val="SubHeading"/>
    <w:basedOn w:val="Normal"/>
    <w:rPr>
      <w:b/>
    </w:rPr>
  </w:style>
  <w:style w:type="paragraph" w:customStyle="1" w:styleId="CaptionCustom">
    <w:name w:val="CaptionCustom"/>
    <w:basedOn w:val="Normal"/>
    <w:rPr>
      <w:b/>
    </w:rPr>
  </w:style>
  <w:style w:type="paragraph" w:customStyle="1" w:styleId="ReferenceStyle">
    <w:name w:val="ReferenceStyle"/>
    <w:basedOn w:val="Normal"/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2056</TotalTime>
  <Pages>20</Pages>
  <Words>9417</Words>
  <Characters>50857</Characters>
  <Application>Microsoft Office Word</Application>
  <DocSecurity>0</DocSecurity>
  <Lines>423</Lines>
  <Paragraphs>120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60154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Oswaldo Pereira de Lima Junior</cp:lastModifiedBy>
  <cp:revision>92</cp:revision>
  <dcterms:created xsi:type="dcterms:W3CDTF">2013-12-23T23:15:00Z</dcterms:created>
  <dcterms:modified xsi:type="dcterms:W3CDTF">2026-04-01T14:19:00Z</dcterms:modified>
  <cp:category/>
</cp:coreProperties>
</file>