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DB855" w14:textId="77777777" w:rsidR="009C7C4A" w:rsidRPr="008F5D87" w:rsidRDefault="00000000">
      <w:pPr>
        <w:spacing w:line="360" w:lineRule="auto"/>
        <w:jc w:val="center"/>
      </w:pPr>
      <w:r w:rsidRPr="008F5D87">
        <w:rPr>
          <w:b/>
        </w:rPr>
        <w:t>SANDBOX REGULATÓRIO NO BRASIL: ANÁLISE DA IMPLEMENTAÇÃO, DOS MODELOS E DA MATURIDADE NAS AGÊNCIAS REGULADORAS FEDERAIS</w:t>
      </w:r>
    </w:p>
    <w:p w14:paraId="3285899E" w14:textId="77777777" w:rsidR="009C7C4A" w:rsidRPr="008F5D87" w:rsidRDefault="009C7C4A">
      <w:pPr>
        <w:spacing w:line="360" w:lineRule="auto"/>
      </w:pPr>
    </w:p>
    <w:p w14:paraId="20AA68C3" w14:textId="77777777" w:rsidR="009C7C4A" w:rsidRPr="008F5D87" w:rsidRDefault="00000000">
      <w:pPr>
        <w:spacing w:line="360" w:lineRule="auto"/>
      </w:pPr>
      <w:r w:rsidRPr="008F5D87">
        <w:rPr>
          <w:b/>
        </w:rPr>
        <w:t>Eixo temático</w:t>
      </w:r>
    </w:p>
    <w:p w14:paraId="4481CFAA" w14:textId="77777777" w:rsidR="009C7C4A" w:rsidRPr="008F5D87" w:rsidRDefault="00000000">
      <w:pPr>
        <w:spacing w:line="360" w:lineRule="auto"/>
      </w:pPr>
      <w:r w:rsidRPr="008F5D87">
        <w:t>Políticas Públicas e Inovação Regulatória</w:t>
      </w:r>
    </w:p>
    <w:p w14:paraId="399EE790" w14:textId="77777777" w:rsidR="009C7C4A" w:rsidRPr="008F5D87" w:rsidRDefault="00000000">
      <w:pPr>
        <w:spacing w:line="360" w:lineRule="auto"/>
      </w:pPr>
      <w:r w:rsidRPr="008F5D87">
        <w:t>—</w:t>
      </w:r>
    </w:p>
    <w:p w14:paraId="20266332" w14:textId="77777777" w:rsidR="009C7C4A" w:rsidRPr="008F5D87" w:rsidRDefault="00000000">
      <w:pPr>
        <w:spacing w:line="360" w:lineRule="auto"/>
      </w:pPr>
      <w:r w:rsidRPr="008F5D87">
        <w:rPr>
          <w:b/>
        </w:rPr>
        <w:t>RESUMO</w:t>
      </w:r>
    </w:p>
    <w:p w14:paraId="7BB82D82" w14:textId="12BD97E1" w:rsidR="009C7C4A" w:rsidRPr="008F5D87" w:rsidRDefault="00000000" w:rsidP="00BD1F36">
      <w:pPr>
        <w:spacing w:line="360" w:lineRule="auto"/>
        <w:jc w:val="both"/>
      </w:pPr>
      <w:r w:rsidRPr="008F5D87">
        <w:t xml:space="preserve">Este estudo apresenta uma análise abrangente do sandbox regulatório no Brasil, combinando uma revisão sistemática das experiências internacionais com uma avaliação detalhada de sua implementação nas Agências Reguladoras brasileiras. A pesquisa estrutura-se em três capítulos complementares que examinam desde o panorama global até propostas específicas para o contexto brasileiro. O estudo inicia com uma revisão sistemática que analisa experiências internacionais, revelando que os sandboxes contribuem positivamente para a inovação, reduzindo riscos regulatórios e estimulando o crescimento econômico. A análise identificou que 79% dos casos estudados demonstram impacto direto na inovação, com predominância no setor financeiro (60% dos casos). Na sequência, examina-se a implementação do sandbox nas Agências Reguladoras brasileiras, onde se observa significativa heterogeneidade. Até </w:t>
      </w:r>
      <w:r w:rsidR="00BD1F36" w:rsidRPr="008F5D87">
        <w:t xml:space="preserve">dezembro de </w:t>
      </w:r>
      <w:r w:rsidRPr="008F5D87">
        <w:t>2024, apenas 55% das Agências haviam implementado o sandbox, revelando diferentes níveis de estágios e abordagens regulatórias. Por fim, foi realizada a avaliação da maturidade dos processos de sandbox das Agências, realizada através do Framework das Sete Dimensões e análise de aderência ao Guia da AGU. A análise documental e comparativa demonstrou que há desafios significativos na fase de encerramento dos projetos, principalmente nas etapas Decisão Regulatória (39% de aderência) e Consulta Interna (51%). Por outro lado, as Agências destacaram-se positivamente nas etapas de Elaboração dos Instrumentos Normativos (85%) e Análise Jurídica (83%). Como contribuição final, o estudo desenvolve um framework analítico adaptado ao contexto brasileiro, integrando as melhores práticas internacionais com as especificidades locais. Os resultados indicam que, embora o Brasil demonstre avanços na adoção de sandboxes regulatórios, ainda existem oportunidades significativas de melhoria, especialmente na harmonização de procedimentos entre as Agências e no fortalecimento das fases de monitoramento e encerramento dos projetos.</w:t>
      </w:r>
    </w:p>
    <w:p w14:paraId="63B6C4D8" w14:textId="77777777" w:rsidR="009C7C4A" w:rsidRDefault="00000000">
      <w:pPr>
        <w:spacing w:line="360" w:lineRule="auto"/>
      </w:pPr>
      <w:r w:rsidRPr="008F5D87">
        <w:t>Palavras-chave: Sandbox Regulatório; Inovação; Regulação Experimental; Agências Reguladoras; Framework Analítico.</w:t>
      </w:r>
    </w:p>
    <w:p w14:paraId="6DEB7717" w14:textId="77777777" w:rsidR="005E156D" w:rsidRPr="008F5D87" w:rsidRDefault="005E156D">
      <w:pPr>
        <w:spacing w:line="360" w:lineRule="auto"/>
      </w:pPr>
    </w:p>
    <w:p w14:paraId="034FD17E" w14:textId="77777777" w:rsidR="007F69E6" w:rsidRPr="008F5D87" w:rsidRDefault="007F69E6">
      <w:pPr>
        <w:spacing w:line="360" w:lineRule="auto"/>
      </w:pPr>
    </w:p>
    <w:p w14:paraId="46D5CC94" w14:textId="71F90657" w:rsidR="009C7C4A" w:rsidRPr="008F5D87" w:rsidRDefault="000C4A9F">
      <w:pPr>
        <w:spacing w:line="360" w:lineRule="auto"/>
        <w:rPr>
          <w:b/>
        </w:rPr>
      </w:pPr>
      <w:r w:rsidRPr="008F5D87">
        <w:rPr>
          <w:b/>
        </w:rPr>
        <w:lastRenderedPageBreak/>
        <w:t xml:space="preserve">1 - </w:t>
      </w:r>
      <w:r w:rsidR="00000000" w:rsidRPr="008F5D87">
        <w:rPr>
          <w:b/>
        </w:rPr>
        <w:t>INTRODUÇÃO</w:t>
      </w:r>
      <w:r w:rsidR="00BD1F36" w:rsidRPr="008F5D87">
        <w:rPr>
          <w:b/>
        </w:rPr>
        <w:t xml:space="preserve"> (contextualização, justificativa, problema de pesquisa e objetivos)</w:t>
      </w:r>
    </w:p>
    <w:p w14:paraId="49581621" w14:textId="77777777" w:rsidR="008E1A23" w:rsidRPr="008F5D87" w:rsidRDefault="008E1A23" w:rsidP="008E1A23">
      <w:pPr>
        <w:spacing w:before="240" w:line="360" w:lineRule="auto"/>
        <w:ind w:firstLine="720"/>
        <w:jc w:val="both"/>
        <w:rPr>
          <w:b/>
          <w:bCs/>
        </w:rPr>
      </w:pPr>
      <w:r w:rsidRPr="008F5D87">
        <w:rPr>
          <w:b/>
          <w:bCs/>
        </w:rPr>
        <w:t>1.1 - Contextualização</w:t>
      </w:r>
    </w:p>
    <w:p w14:paraId="69F6A8B1" w14:textId="3484CF70" w:rsidR="005257AC" w:rsidRPr="005257AC" w:rsidRDefault="008E1A23" w:rsidP="008E1A23">
      <w:pPr>
        <w:spacing w:before="240" w:after="200" w:line="360" w:lineRule="auto"/>
        <w:ind w:firstLine="720"/>
        <w:jc w:val="both"/>
        <w:rPr>
          <w:lang w:eastAsia="en-US"/>
        </w:rPr>
      </w:pPr>
      <w:r w:rsidRPr="008F5D87">
        <w:rPr>
          <w:lang w:eastAsia="en-US"/>
        </w:rPr>
        <w:t>O</w:t>
      </w:r>
      <w:r w:rsidRPr="008F5D87">
        <w:rPr>
          <w:lang w:eastAsia="en-US"/>
        </w:rPr>
        <w:t xml:space="preserve"> presente relato</w:t>
      </w:r>
      <w:r w:rsidRPr="008F5D87">
        <w:rPr>
          <w:lang w:eastAsia="en-US"/>
        </w:rPr>
        <w:t xml:space="preserve"> de pesquisa</w:t>
      </w:r>
      <w:r w:rsidRPr="008F5D87">
        <w:rPr>
          <w:lang w:eastAsia="en-US"/>
        </w:rPr>
        <w:t xml:space="preserve"> sintetiza </w:t>
      </w:r>
      <w:r w:rsidRPr="008F5D87">
        <w:rPr>
          <w:lang w:eastAsia="en-US"/>
        </w:rPr>
        <w:t>a trajetória e</w:t>
      </w:r>
      <w:r w:rsidRPr="008F5D87">
        <w:rPr>
          <w:lang w:eastAsia="en-US"/>
        </w:rPr>
        <w:t xml:space="preserve"> achados da tese de </w:t>
      </w:r>
      <w:r w:rsidRPr="008F5D87">
        <w:rPr>
          <w:lang w:eastAsia="en-US"/>
        </w:rPr>
        <w:t>um doutorado sobre o s</w:t>
      </w:r>
      <w:r w:rsidRPr="008F5D87">
        <w:rPr>
          <w:lang w:eastAsia="en-US"/>
        </w:rPr>
        <w:t xml:space="preserve">andbox </w:t>
      </w:r>
      <w:r w:rsidRPr="008F5D87">
        <w:rPr>
          <w:lang w:eastAsia="en-US"/>
        </w:rPr>
        <w:t>r</w:t>
      </w:r>
      <w:r w:rsidRPr="008F5D87">
        <w:rPr>
          <w:lang w:eastAsia="en-US"/>
        </w:rPr>
        <w:t>egulatório no Brasil</w:t>
      </w:r>
      <w:r w:rsidRPr="008F5D87">
        <w:rPr>
          <w:lang w:eastAsia="en-US"/>
        </w:rPr>
        <w:t>.</w:t>
      </w:r>
      <w:r w:rsidRPr="008F5D87">
        <w:rPr>
          <w:lang w:eastAsia="en-US"/>
        </w:rPr>
        <w:t xml:space="preserve"> A pesquisa investigou como exercer a função regulatória em um </w:t>
      </w:r>
      <w:r w:rsidRPr="008F5D87">
        <w:rPr>
          <w:lang w:eastAsia="en-US"/>
        </w:rPr>
        <w:t>cenário</w:t>
      </w:r>
      <w:r w:rsidRPr="008F5D87">
        <w:rPr>
          <w:lang w:eastAsia="en-US"/>
        </w:rPr>
        <w:t xml:space="preserve"> marcado por transformações tecnológicas</w:t>
      </w:r>
      <w:r w:rsidRPr="008F5D87">
        <w:rPr>
          <w:lang w:eastAsia="en-US"/>
        </w:rPr>
        <w:t xml:space="preserve">, o qual </w:t>
      </w:r>
      <w:r w:rsidR="005257AC" w:rsidRPr="005257AC">
        <w:rPr>
          <w:lang w:eastAsia="en-US"/>
        </w:rPr>
        <w:t xml:space="preserve">impõe ao Estado </w:t>
      </w:r>
      <w:r w:rsidRPr="008F5D87">
        <w:rPr>
          <w:lang w:eastAsia="en-US"/>
        </w:rPr>
        <w:t>o</w:t>
      </w:r>
      <w:r w:rsidR="005257AC" w:rsidRPr="005257AC">
        <w:rPr>
          <w:lang w:eastAsia="en-US"/>
        </w:rPr>
        <w:t xml:space="preserve"> desafio </w:t>
      </w:r>
      <w:r w:rsidRPr="008F5D87">
        <w:rPr>
          <w:lang w:eastAsia="en-US"/>
        </w:rPr>
        <w:t>de</w:t>
      </w:r>
      <w:r w:rsidR="005257AC" w:rsidRPr="005257AC">
        <w:rPr>
          <w:lang w:eastAsia="en-US"/>
        </w:rPr>
        <w:t xml:space="preserve"> exercer a função regulatória </w:t>
      </w:r>
      <w:r w:rsidRPr="008F5D87">
        <w:rPr>
          <w:lang w:eastAsia="en-US"/>
        </w:rPr>
        <w:t xml:space="preserve">em </w:t>
      </w:r>
      <w:r w:rsidR="005257AC" w:rsidRPr="005257AC">
        <w:rPr>
          <w:lang w:eastAsia="en-US"/>
        </w:rPr>
        <w:t>níveis crescentes de incerteza (Majone, 1997). Essa tarefa exige, ao mesmo tempo, que o poder público proteja os cidadãos dos riscos emergentes e preserve as condições necessárias ao avanço da inovação — o que demanda uma reconfiguração profunda do papel estatal. Nesse sentido, Mazzucato (2014) propõe a figura do "Estado Empreendedor", cuja atuação transcende a mera correção de falhas de mercado para alcançar a criação e a orientação ativa dos próprios mercados. Trata-se de um Estado que assume riscos estratégicos e induz trajetórias de inovação (Cavalcante, 2017; OCDE, 2007) — perspectiva que entra em tensão direta com o modelo regulatório herdado do século XX, estruturado sob a lógica de comando e controle (Majone, 1997).</w:t>
      </w:r>
    </w:p>
    <w:p w14:paraId="36B29001" w14:textId="77777777" w:rsidR="005257AC" w:rsidRPr="005257AC" w:rsidRDefault="005257AC" w:rsidP="005257AC">
      <w:pPr>
        <w:spacing w:after="200" w:line="360" w:lineRule="auto"/>
        <w:ind w:firstLine="720"/>
        <w:jc w:val="both"/>
        <w:rPr>
          <w:lang w:eastAsia="en-US"/>
        </w:rPr>
      </w:pPr>
      <w:r w:rsidRPr="005257AC">
        <w:rPr>
          <w:lang w:eastAsia="en-US"/>
        </w:rPr>
        <w:t xml:space="preserve">Esse modelo tradicional, caracterizado por normas prescritivas e estruturas decisórias centralizadas, revela-se progressivamente inadequado diante do ritmo das mudanças tecnológicas. O fenômeno identificado na literatura como </w:t>
      </w:r>
      <w:r w:rsidRPr="005257AC">
        <w:rPr>
          <w:i/>
          <w:iCs/>
          <w:lang w:eastAsia="en-US"/>
        </w:rPr>
        <w:t xml:space="preserve">pacing problem </w:t>
      </w:r>
      <w:r w:rsidRPr="005257AC">
        <w:rPr>
          <w:lang w:eastAsia="en-US"/>
        </w:rPr>
        <w:t>traduz justamente esse descompasso crônico entre a velocidade da inovação e a capacidade de resposta das instituições regulatórias (Marcus, 2020). A rigidez estrutural desse arranjo não apenas impõe barreiras ao desenvolvimento, mas tende a produzir normas obsoletas e ineficazes, incapazes de cumprir sua função precípua de tutela do interesse público. Mais do que isso, pode comprometer a própria inovação — entendida aqui como a aplicação prática de novas ideias orientada à geração de valor público, seja por meio da melhoria de processos internos ou da qualificação dos serviços prestados à sociedade (Comissão Europeia, 2013).</w:t>
      </w:r>
    </w:p>
    <w:p w14:paraId="7B4B39F2" w14:textId="77777777" w:rsidR="005257AC" w:rsidRPr="005257AC" w:rsidRDefault="005257AC" w:rsidP="005257AC">
      <w:pPr>
        <w:spacing w:after="200" w:line="360" w:lineRule="auto"/>
        <w:ind w:firstLine="720"/>
        <w:jc w:val="both"/>
        <w:rPr>
          <w:lang w:eastAsia="en-US"/>
        </w:rPr>
      </w:pPr>
      <w:r w:rsidRPr="005257AC">
        <w:rPr>
          <w:lang w:eastAsia="en-US"/>
        </w:rPr>
        <w:t>No âmbito do Direito e das Políticas Públicas (DPP), esse movimento regulatório reflete a superação de um paradigma positivista que se mostrou insuficiente para dar conta da complexidade contemporânea. Em seu lugar, emergem arranjos institucionais e instrumentos voltados à construção de consensos (Ximenes, 2022). Essa transição pode ser compreendida como a passagem de uma "Cultura da Sentença" — fundada na imposição unilateral de comandos normativos — para uma "Cultura do Consensualismo", orientada por uma administração dialógica que privilegia acordos, negociação, coordenação e colaboração entre os atores envolvidos (Ximenes, 2022).</w:t>
      </w:r>
    </w:p>
    <w:p w14:paraId="1AD5B6F4" w14:textId="02119D68" w:rsidR="00F969FA" w:rsidRPr="005257AC" w:rsidRDefault="005257AC" w:rsidP="00F969FA">
      <w:pPr>
        <w:spacing w:after="200" w:line="360" w:lineRule="auto"/>
        <w:ind w:firstLine="720"/>
        <w:jc w:val="both"/>
        <w:rPr>
          <w:lang w:eastAsia="en-US"/>
        </w:rPr>
      </w:pPr>
      <w:r w:rsidRPr="005257AC">
        <w:rPr>
          <w:lang w:eastAsia="en-US"/>
        </w:rPr>
        <w:lastRenderedPageBreak/>
        <w:t>Em diálogo com essa perspectiva jurídica, a abordagem da governança experimentalista, desenvolvida por Sabel e Dorf (2009), oferece um referencial complementar ao propor que as políticas públicas sejam concebidas de forma provisória, implementadas em contextos locais específicos e continuamente revisadas a partir dos resultados obtidos e do aprendizado compartilhado entre os participantes. Para Jordão (2017), essa lógica representa "um novo modo de governar", no qual a imposição de soluções padronizadas cede espaço a um processo iterativo de descoberta e adaptação institucional.</w:t>
      </w:r>
    </w:p>
    <w:p w14:paraId="67E3F51E" w14:textId="35733136" w:rsidR="000C4A9F" w:rsidRPr="008F5D87" w:rsidRDefault="000C4A9F" w:rsidP="005E156D">
      <w:pPr>
        <w:spacing w:after="240" w:line="360" w:lineRule="auto"/>
        <w:ind w:firstLine="720"/>
        <w:jc w:val="both"/>
        <w:rPr>
          <w:b/>
          <w:bCs/>
        </w:rPr>
      </w:pPr>
      <w:r w:rsidRPr="008F5D87">
        <w:rPr>
          <w:b/>
          <w:bCs/>
        </w:rPr>
        <w:t>1.2 - Justificativa</w:t>
      </w:r>
    </w:p>
    <w:p w14:paraId="27F6D8F5" w14:textId="11F8570E" w:rsidR="005257AC" w:rsidRPr="008F5D87" w:rsidRDefault="005257AC" w:rsidP="000C4A9F">
      <w:pPr>
        <w:spacing w:line="360" w:lineRule="auto"/>
        <w:ind w:firstLine="720"/>
        <w:jc w:val="both"/>
      </w:pPr>
      <w:r w:rsidRPr="008F5D87">
        <w:t>É a partir desse cenário de transformação que emergem</w:t>
      </w:r>
      <w:r w:rsidRPr="008F5D87">
        <w:t xml:space="preserve"> novos</w:t>
      </w:r>
      <w:r w:rsidRPr="008F5D87">
        <w:t xml:space="preserve"> modelos regulatórios</w:t>
      </w:r>
      <w:r w:rsidRPr="008F5D87">
        <w:t xml:space="preserve">, </w:t>
      </w:r>
      <w:r w:rsidRPr="008F5D87">
        <w:t>mais flexíveis, adaptativos e orientados à colaboração</w:t>
      </w:r>
      <w:r w:rsidRPr="008F5D87">
        <w:t xml:space="preserve">. </w:t>
      </w:r>
      <w:r w:rsidR="004E491B" w:rsidRPr="008F5D87">
        <w:t>Esses modelos</w:t>
      </w:r>
      <w:r w:rsidRPr="008F5D87">
        <w:t xml:space="preserve"> surgem mais a</w:t>
      </w:r>
      <w:r w:rsidRPr="008F5D87">
        <w:t>linhados à compreensão da política pública como um arranjo jurídico no qual o ordenamento legal é concebido para habilitar a ação estatal, e não apenas para limitá-la (Bucci, 2002). Nesse quadro, a regulação experimental ganha protagonismo, e o sandbox regulatório se destaca como um de seus instrumentos mais representativos. Sua relevância reside na capacidade de formalizar a lógica da experimentação, ao instituir "espaços seguros" nos quais inovações podem ser testadas em ambiente real, porém controlado, sob acompanhamento direto do regulador (Zetzsche et al., 2017).</w:t>
      </w:r>
    </w:p>
    <w:p w14:paraId="688CDFED" w14:textId="45E8A6F6" w:rsidR="005257AC" w:rsidRPr="008F5D87" w:rsidRDefault="005257AC" w:rsidP="000C4A9F">
      <w:pPr>
        <w:spacing w:line="360" w:lineRule="auto"/>
        <w:ind w:firstLine="720"/>
        <w:jc w:val="both"/>
      </w:pPr>
      <w:r w:rsidRPr="008F5D87">
        <w:t>Esse formato viabiliza um processo de aprendizado mútuo e contínuo entre reguladores e regulados: as empresas obtêm segurança jurídica para testar e validar modelos de negócio, produtos ou serviços, enquanto o Estado acumula evidências empíricas para fundamentar uma regulação futura mais qualificada e orientada por dados (Schittekatte, 2021). Nessa perspectiva, Gillot (2024) aponta que um dos principais objetivos da regulação experimental é justamente apoiar o setor privado no desenvolvimento de inovações de forma responsável.</w:t>
      </w:r>
    </w:p>
    <w:p w14:paraId="7C109B98" w14:textId="77777777" w:rsidR="00EA239D" w:rsidRPr="00EA239D" w:rsidRDefault="00EA239D" w:rsidP="00EA239D">
      <w:pPr>
        <w:spacing w:after="200" w:line="360" w:lineRule="auto"/>
        <w:ind w:firstLine="720"/>
        <w:jc w:val="both"/>
        <w:rPr>
          <w:lang w:eastAsia="en-US"/>
        </w:rPr>
      </w:pPr>
      <w:r w:rsidRPr="00EA239D">
        <w:rPr>
          <w:lang w:eastAsia="en-US"/>
        </w:rPr>
        <w:t>No plano internacional, a disseminação do sandbox regulatório teve como marco inicial o setor financeiro, impulsionada pela experiência pioneira da Financial Conduct Authority (FCA) britânica, que posteriormente inspirou sua adoção em outros setores, incluindo o energético (EC, 2023). No Brasil, essa trajetória foi pavimentada pelas implementações bem-sucedidas do Banco Central do Brasil (BACEN) e da Superintendência de Seguros Privados (SUSEP), até ser formalmente estendida aos demais órgãos reguladores com a promulgação da Lei Complementar nº 182/2021 — a chamada Lei das Startups (Brasil, 2021). A partir desse marco legal, diversas agências reguladoras federais passaram a estruturar seus próprios programas, resultando em iniciativas heterogêneas quanto ao setor de atuação, ao contexto institucional e ao estágio de maturidade dos projetos (CGU, 2024).</w:t>
      </w:r>
    </w:p>
    <w:p w14:paraId="14B7DAA9" w14:textId="1CF21860" w:rsidR="00EA239D" w:rsidRPr="00EA239D" w:rsidRDefault="00EA239D" w:rsidP="005E156D">
      <w:pPr>
        <w:spacing w:after="200" w:line="360" w:lineRule="auto"/>
        <w:ind w:firstLine="720"/>
        <w:jc w:val="both"/>
        <w:rPr>
          <w:lang w:eastAsia="en-US"/>
        </w:rPr>
      </w:pPr>
      <w:r w:rsidRPr="00EA239D">
        <w:rPr>
          <w:lang w:eastAsia="en-US"/>
        </w:rPr>
        <w:lastRenderedPageBreak/>
        <w:t>O sandbox regulatório consolida-se, assim, como uma das respostas institucionais à demanda por uma regulação mais ágil e responsiva — demanda essa impulsionada pela concepção de que cabe ao Estado não apenas regular, mas ativamente criar e moldar mercados favoráveis à inovação (Mazzucato, 2014). Para que esse papel seja exercido com efetividade, são necessários instrumentos regulatórios de natureza dinâmica, capazes de acomodar a experimentação. É exatamente nessa lógica que se insere o sandbox regulatório, por meio do qual pessoas jurídicas recebem autorização temporária para desenvolver modelos de negócio inovadores sob condições simplificadas, dentro de critérios e limites definidos pelos órgãos competentes — arranjo esse materializado no ordenamento jurídico brasileiro pela Lei Complementar nº 182 de 2021.</w:t>
      </w:r>
    </w:p>
    <w:p w14:paraId="128CEE6C" w14:textId="77777777" w:rsidR="005E156D" w:rsidRDefault="000C4A9F" w:rsidP="005E156D">
      <w:pPr>
        <w:spacing w:after="240" w:line="360" w:lineRule="auto"/>
        <w:ind w:firstLine="720"/>
        <w:jc w:val="both"/>
        <w:rPr>
          <w:b/>
          <w:bCs/>
        </w:rPr>
      </w:pPr>
      <w:r w:rsidRPr="008F5D87">
        <w:rPr>
          <w:b/>
          <w:bCs/>
        </w:rPr>
        <w:t xml:space="preserve">1.3 - </w:t>
      </w:r>
      <w:r w:rsidR="00000000" w:rsidRPr="008F5D87">
        <w:rPr>
          <w:b/>
          <w:bCs/>
        </w:rPr>
        <w:t>Problema de Pesquisa</w:t>
      </w:r>
    </w:p>
    <w:p w14:paraId="54ECB8D6" w14:textId="329829EB" w:rsidR="00EA239D" w:rsidRPr="005E156D" w:rsidRDefault="00EA239D" w:rsidP="005E156D">
      <w:pPr>
        <w:spacing w:line="360" w:lineRule="auto"/>
        <w:ind w:firstLine="720"/>
        <w:jc w:val="both"/>
        <w:rPr>
          <w:b/>
          <w:bCs/>
        </w:rPr>
      </w:pPr>
      <w:r w:rsidRPr="008F5D87">
        <w:t xml:space="preserve">No contexto brasileiro, a trajetória do </w:t>
      </w:r>
      <w:r w:rsidRPr="008F5D87">
        <w:rPr>
          <w:i/>
          <w:iCs/>
        </w:rPr>
        <w:t>sandbox</w:t>
      </w:r>
      <w:r w:rsidRPr="008F5D87">
        <w:t xml:space="preserve"> regulatório foi pavimentada pelas experiências pioneiras do Banco Central do Brasil (BACEN) e da Superintendência de Seguros Privados (SUSEP), cujos programas bem-sucedidos abriram caminho para a institucionalização do instrumento no âmbito dos demais órgãos reguladores. Esse processo culminou na promulgação da Lei Complementar nº 182/2021, a Lei das Startups, que formalizou essa possibilidade para o conjunto do aparato regulatório federal (Brasil, 2021). A partir desse marco normativo, múltiplas agências reguladoras federais passaram a estruturar programas próprios, gerando um conjunto heterogêneo de iniciativas que se diferenciam pelo setor de atuação, pelo contexto institucional e pelo grau de amadurecimento dos projetos (CGU, 2024).</w:t>
      </w:r>
    </w:p>
    <w:p w14:paraId="187BDB09" w14:textId="77777777" w:rsidR="00EA239D" w:rsidRPr="008F5D87" w:rsidRDefault="00EA239D" w:rsidP="00EA239D">
      <w:pPr>
        <w:spacing w:line="360" w:lineRule="auto"/>
        <w:ind w:firstLine="720"/>
        <w:jc w:val="both"/>
      </w:pPr>
      <w:r w:rsidRPr="008F5D87">
        <w:t xml:space="preserve">Nesse sentido, o </w:t>
      </w:r>
      <w:r w:rsidRPr="008F5D87">
        <w:rPr>
          <w:i/>
          <w:iCs/>
        </w:rPr>
        <w:t>sandbox</w:t>
      </w:r>
      <w:r w:rsidRPr="008F5D87">
        <w:t xml:space="preserve"> regulatório consolida-se como uma das respostas estruturais à crescente demanda por mecanismos regulatórios mais ágeis e adaptáveis. Essa demanda é alimentada por uma concepção renovada do papel estatal, segundo a qual o Estado deve não apenas regular os mercados existentes, mas atuar ativamente na criação e na orientação de novos mercados voltados à inovação. Para que esse papel seja exercido com efetividade, tornam-se indispensáveis instrumentos de natureza dinâmica que acomodem a experimentação controlada — como o </w:t>
      </w:r>
      <w:r w:rsidRPr="008F5D87">
        <w:rPr>
          <w:i/>
          <w:iCs/>
        </w:rPr>
        <w:t>sandbox</w:t>
      </w:r>
      <w:r w:rsidRPr="008F5D87">
        <w:t xml:space="preserve"> regulatório, no qual pessoas jurídicas obtêm autorização temporária para desenvolver modelos de negócio inovadores sob condições simplificadas, dentro de parâmetros e limites definidos pelos órgãos competentes, conforme disciplinado pela Lei Complementar nº 182 de 2021.</w:t>
      </w:r>
    </w:p>
    <w:p w14:paraId="628EB452" w14:textId="77777777" w:rsidR="00EA239D" w:rsidRPr="008F5D87" w:rsidRDefault="00EA239D" w:rsidP="00EA239D">
      <w:pPr>
        <w:spacing w:line="360" w:lineRule="auto"/>
        <w:ind w:firstLine="720"/>
        <w:jc w:val="both"/>
      </w:pPr>
      <w:r w:rsidRPr="008F5D87">
        <w:t xml:space="preserve">Entretanto, o referido diploma legal não estabeleceu os procedimentos necessários à sua operacionalização. Na prática, a lei instituiu a política pública, mas transferiu a cada órgão a complexa responsabilidade de conceber seu próprio "arranjo institucional" — isto é, o conjunto </w:t>
      </w:r>
      <w:r w:rsidRPr="008F5D87">
        <w:lastRenderedPageBreak/>
        <w:t>de competências, procedimentos e normas que tornam a política efetivamente executável (Bucci, 2002). Essa descentralização no desenho dos arranjos constitui uma das causas diretas tanto da insegurança jurídica quanto da implementação assimétrica verificada entre as diferentes agências reguladoras.</w:t>
      </w:r>
    </w:p>
    <w:p w14:paraId="17A895A4" w14:textId="77777777" w:rsidR="00EA239D" w:rsidRPr="008F5D87" w:rsidRDefault="00EA239D" w:rsidP="00EA239D">
      <w:pPr>
        <w:spacing w:line="360" w:lineRule="auto"/>
        <w:ind w:firstLine="720"/>
        <w:jc w:val="both"/>
      </w:pPr>
      <w:r w:rsidRPr="008F5D87">
        <w:t xml:space="preserve">Tais dificuldades, documentadas no Relatório de Avaliação da Controladoria-Geral da União (Brasil, 2024), motivaram uma resposta coordenada por parte do governo federal. Como resultado, a Advocacia-Geral da União (AGU) publicou o Guia Referencial de </w:t>
      </w:r>
      <w:r w:rsidRPr="008F5D87">
        <w:rPr>
          <w:i/>
          <w:iCs/>
        </w:rPr>
        <w:t>Sandbox</w:t>
      </w:r>
      <w:r w:rsidRPr="008F5D87">
        <w:t xml:space="preserve"> Regulatório (AGU, 2024), instrumento cujo propósito declarado é promover a harmonização de entendimentos e procedimentos entre os órgãos, contribuindo para a redução das assimetrias de maturidade regulatória observadas no sistema.</w:t>
      </w:r>
    </w:p>
    <w:p w14:paraId="6DF5CED7" w14:textId="6E27DE59" w:rsidR="00EA239D" w:rsidRPr="005E156D" w:rsidRDefault="00EA239D" w:rsidP="005E156D">
      <w:pPr>
        <w:spacing w:after="240" w:line="360" w:lineRule="auto"/>
        <w:ind w:firstLine="720"/>
        <w:jc w:val="both"/>
      </w:pPr>
      <w:r w:rsidRPr="008F5D87">
        <w:t xml:space="preserve">Diante desse panorama, o problema de pesquisa que orienta o presente trabalho pode ser formulado nos seguintes termos: </w:t>
      </w:r>
      <w:r w:rsidRPr="008F5D87">
        <w:rPr>
          <w:i/>
          <w:iCs/>
        </w:rPr>
        <w:t>qual é o estado da arte da implementação do sandbox regulatório nas agências reguladoras brasileiras, considerando seus modelos, características e nível de maturidade?</w:t>
      </w:r>
    </w:p>
    <w:p w14:paraId="18032FC2" w14:textId="2479C135" w:rsidR="009C7C4A" w:rsidRPr="008F5D87" w:rsidRDefault="000C4A9F" w:rsidP="005E156D">
      <w:pPr>
        <w:spacing w:after="240" w:line="360" w:lineRule="auto"/>
        <w:ind w:firstLine="720"/>
        <w:jc w:val="both"/>
        <w:rPr>
          <w:b/>
          <w:bCs/>
        </w:rPr>
      </w:pPr>
      <w:r w:rsidRPr="008F5D87">
        <w:rPr>
          <w:b/>
          <w:bCs/>
        </w:rPr>
        <w:t>1.4 - Objetivos</w:t>
      </w:r>
    </w:p>
    <w:p w14:paraId="4D4BEE4E" w14:textId="6E86D743" w:rsidR="009C7C4A" w:rsidRPr="008F5D87" w:rsidRDefault="00C27CBB" w:rsidP="000C4A9F">
      <w:pPr>
        <w:spacing w:line="360" w:lineRule="auto"/>
        <w:ind w:firstLine="720"/>
        <w:jc w:val="both"/>
      </w:pPr>
      <w:r w:rsidRPr="008F5D87">
        <w:t>Considerando o</w:t>
      </w:r>
      <w:r w:rsidR="00000000" w:rsidRPr="008F5D87">
        <w:t xml:space="preserve"> aumento de iniciativas de sandbox no Brasil, a partir da publicação de seu normativo legal em 2021, embora promissor, ainda ocorre de forma descentralizada e não uniforme, gerando um campo fértil para a investigação acadêmica. A existência de documentos orientadores e avaliações produzidas pelo governo federal sinaliza a percepção de desafios e a necessidade de aprimoramento.</w:t>
      </w:r>
    </w:p>
    <w:p w14:paraId="5CACEE94" w14:textId="162A85BC" w:rsidR="00C27CBB" w:rsidRPr="008F5D87" w:rsidRDefault="00000000" w:rsidP="00C27CBB">
      <w:pPr>
        <w:spacing w:line="360" w:lineRule="auto"/>
        <w:ind w:firstLine="720"/>
        <w:jc w:val="both"/>
      </w:pPr>
      <w:r w:rsidRPr="008F5D87">
        <w:t xml:space="preserve">Para responder </w:t>
      </w:r>
      <w:r w:rsidR="00C27CBB" w:rsidRPr="008F5D87">
        <w:t>o problema de pesquisa referente ao</w:t>
      </w:r>
      <w:r w:rsidR="00C27CBB" w:rsidRPr="008F5D87">
        <w:t xml:space="preserve"> estado da arte da implementação do sandbox regulatório nas Agências Reguladoras brasileiras, </w:t>
      </w:r>
      <w:r w:rsidRPr="008F5D87">
        <w:t xml:space="preserve">a investigação </w:t>
      </w:r>
      <w:r w:rsidR="00C27CBB" w:rsidRPr="008F5D87">
        <w:t xml:space="preserve">desta pesquisa </w:t>
      </w:r>
      <w:r w:rsidRPr="008F5D87">
        <w:t>parte de três premissas: (i) a necessidade de uma base global, por meio de revisão sistemática, para mapear conceitos e desafios; (ii) a carência de um diagnóstico nacional sistêmico, capaz de comparar modelos de sandbox das agências brasileiras com metodologia analítica replicável; e (iii) a demanda por uma avaliação de maturidade, além do panorama descritivo, que examine aderência a boas práticas e qualidade dos processos.</w:t>
      </w:r>
      <w:r w:rsidR="00C27CBB" w:rsidRPr="008F5D87">
        <w:t xml:space="preserve"> Assim, este estudo tem como objetivos:</w:t>
      </w:r>
    </w:p>
    <w:p w14:paraId="5D210F46" w14:textId="7E247AF0" w:rsidR="00C27CBB" w:rsidRPr="008F5D87" w:rsidRDefault="00C27CBB" w:rsidP="00C27CBB">
      <w:pPr>
        <w:spacing w:line="360" w:lineRule="auto"/>
        <w:ind w:firstLine="720"/>
        <w:jc w:val="both"/>
      </w:pPr>
      <w:r w:rsidRPr="008F5D87">
        <w:t xml:space="preserve">Este estudo tem como objetivo geral desenvolver uma análise abrangente do sandbox regulatório no Brasil e no mundo, propondo um framework analítico que contribua para uma implementação mais eficiente e harmonizada do sandbox regulatório no Brasil. Para responder </w:t>
      </w:r>
      <w:r w:rsidR="004E491B" w:rsidRPr="008F5D87">
        <w:t>à</w:t>
      </w:r>
      <w:r w:rsidRPr="008F5D87">
        <w:t xml:space="preserve"> questão central e atingir os objetivos propostos, esta tese foi organizada em uma compilação de três artigos científicos, que representam as etapas lógicas da investigação. Eles são conectados por esta Introdução e por um capítulo de Considerações Finais, que integra os </w:t>
      </w:r>
      <w:r w:rsidRPr="008F5D87">
        <w:lastRenderedPageBreak/>
        <w:t>achados e apresenta o framework consolidado</w:t>
      </w:r>
      <w:r w:rsidR="00486B14" w:rsidRPr="008F5D87">
        <w:t>. Assim os objetivos gerais de cada capítulo/artigo, são os objetivos específicos da tese. Conforme detalhamento a seguir:</w:t>
      </w:r>
    </w:p>
    <w:p w14:paraId="38A09C65" w14:textId="4955487E" w:rsidR="00486B14" w:rsidRPr="008F5D87" w:rsidRDefault="00EA239D" w:rsidP="00486B14">
      <w:pPr>
        <w:pStyle w:val="PargrafodaLista"/>
        <w:numPr>
          <w:ilvl w:val="0"/>
          <w:numId w:val="11"/>
        </w:numPr>
        <w:spacing w:line="360" w:lineRule="auto"/>
        <w:jc w:val="both"/>
      </w:pPr>
      <w:r w:rsidRPr="008F5D87">
        <w:t>M</w:t>
      </w:r>
      <w:r w:rsidR="00000000" w:rsidRPr="008F5D87">
        <w:t>apear o estado da arte da literatura global sobre sandbox regulatório</w:t>
      </w:r>
      <w:r w:rsidRPr="008F5D87">
        <w:t xml:space="preserve"> (estudo 01)</w:t>
      </w:r>
      <w:r w:rsidR="00486B14" w:rsidRPr="008F5D87">
        <w:t>:</w:t>
      </w:r>
    </w:p>
    <w:p w14:paraId="4F708A2A" w14:textId="59C3C635" w:rsidR="00486B14" w:rsidRPr="008F5D87" w:rsidRDefault="00000000" w:rsidP="002F144A">
      <w:pPr>
        <w:pStyle w:val="PargrafodaLista"/>
        <w:numPr>
          <w:ilvl w:val="0"/>
          <w:numId w:val="11"/>
        </w:numPr>
        <w:spacing w:line="360" w:lineRule="auto"/>
        <w:jc w:val="both"/>
      </w:pPr>
      <w:r w:rsidRPr="008F5D87">
        <w:t>Diagnosticar o estágio e as características da implementação nas Agências Reguladoras brasileiras com base no Framework das Sete Dimensões (</w:t>
      </w:r>
      <w:r w:rsidR="00EA239D" w:rsidRPr="008F5D87">
        <w:t>estudo 02):</w:t>
      </w:r>
    </w:p>
    <w:p w14:paraId="3CFCF621" w14:textId="0F4C884A" w:rsidR="00EA239D" w:rsidRPr="008F5D87" w:rsidRDefault="00000000" w:rsidP="002F144A">
      <w:pPr>
        <w:pStyle w:val="PargrafodaLista"/>
        <w:numPr>
          <w:ilvl w:val="0"/>
          <w:numId w:val="11"/>
        </w:numPr>
        <w:spacing w:line="360" w:lineRule="auto"/>
        <w:jc w:val="both"/>
      </w:pPr>
      <w:r w:rsidRPr="008F5D87">
        <w:t>Avaliar a maturidade dos processos de sandbox à luz do Guia Referencial da AGU (</w:t>
      </w:r>
      <w:r w:rsidR="00EA239D" w:rsidRPr="008F5D87">
        <w:t>estudo 03)</w:t>
      </w:r>
    </w:p>
    <w:p w14:paraId="30624E92" w14:textId="19AE67DF" w:rsidR="00486B14" w:rsidRPr="008F5D87" w:rsidRDefault="00000000" w:rsidP="00EA239D">
      <w:pPr>
        <w:pStyle w:val="PargrafodaLista"/>
        <w:numPr>
          <w:ilvl w:val="0"/>
          <w:numId w:val="11"/>
        </w:numPr>
        <w:spacing w:line="360" w:lineRule="auto"/>
        <w:jc w:val="both"/>
      </w:pPr>
      <w:r w:rsidRPr="008F5D87">
        <w:t>Consolidar aprendizados e desenvolver um framework analítico adaptado ao contexto brasileiro</w:t>
      </w:r>
      <w:r w:rsidR="00EA239D" w:rsidRPr="008F5D87">
        <w:t xml:space="preserve"> (produto técnico):</w:t>
      </w:r>
    </w:p>
    <w:p w14:paraId="191A5E24" w14:textId="11AE1A95" w:rsidR="009C7C4A" w:rsidRPr="008F5D87" w:rsidRDefault="00EA239D" w:rsidP="00EA239D">
      <w:pPr>
        <w:spacing w:line="360" w:lineRule="auto"/>
        <w:ind w:firstLine="360"/>
        <w:jc w:val="both"/>
      </w:pPr>
      <w:r w:rsidRPr="008F5D87">
        <w:t xml:space="preserve">Desse modo, a presente pesquisa percorre uma trajetória que parte do plano global em direção ao local, e do registro descritivo ao avaliativo, convergindo para a elaboração de um produto concreto: um </w:t>
      </w:r>
      <w:r w:rsidRPr="008F5D87">
        <w:rPr>
          <w:i/>
          <w:iCs/>
        </w:rPr>
        <w:t>framework</w:t>
      </w:r>
      <w:r w:rsidRPr="008F5D87">
        <w:t xml:space="preserve"> analítico voltado ao </w:t>
      </w:r>
      <w:r w:rsidRPr="008F5D87">
        <w:rPr>
          <w:i/>
          <w:iCs/>
        </w:rPr>
        <w:t>sandbox</w:t>
      </w:r>
      <w:r w:rsidRPr="008F5D87">
        <w:t xml:space="preserve"> regulatório. Concebido a partir da articulação de uma rede integrada de conceitos (Jabareen, 2009), esse </w:t>
      </w:r>
      <w:r w:rsidRPr="008F5D87">
        <w:rPr>
          <w:i/>
          <w:iCs/>
        </w:rPr>
        <w:t>framework</w:t>
      </w:r>
      <w:r w:rsidRPr="008F5D87">
        <w:t xml:space="preserve"> constitui a principal contribuição metodológica e aplicada da tese. Ao reunir os achados dos três artigos em uma única ferramenta estruturada, ele se propõe a subsidiar o diagnóstico, o planejamento e o monitoramento do </w:t>
      </w:r>
      <w:r w:rsidRPr="008F5D87">
        <w:rPr>
          <w:i/>
          <w:iCs/>
        </w:rPr>
        <w:t>sandbox</w:t>
      </w:r>
      <w:r w:rsidRPr="008F5D87">
        <w:t xml:space="preserve"> no Brasil, oferecendo suporte concreto à atuação de reguladores e formuladores de políticas públicas.</w:t>
      </w:r>
    </w:p>
    <w:p w14:paraId="7E839C2A" w14:textId="77777777" w:rsidR="00EA239D" w:rsidRPr="008F5D87" w:rsidRDefault="00EA239D" w:rsidP="00EA239D">
      <w:pPr>
        <w:spacing w:line="360" w:lineRule="auto"/>
        <w:ind w:firstLine="360"/>
        <w:jc w:val="both"/>
      </w:pPr>
    </w:p>
    <w:p w14:paraId="239A5B1B" w14:textId="40EEF198" w:rsidR="009C7C4A" w:rsidRPr="008F5D87" w:rsidRDefault="00486B14" w:rsidP="000C3905">
      <w:pPr>
        <w:spacing w:after="240" w:line="360" w:lineRule="auto"/>
        <w:rPr>
          <w:b/>
        </w:rPr>
      </w:pPr>
      <w:r w:rsidRPr="008F5D87">
        <w:rPr>
          <w:b/>
        </w:rPr>
        <w:t xml:space="preserve">2 - </w:t>
      </w:r>
      <w:r w:rsidR="00000000" w:rsidRPr="008F5D87">
        <w:rPr>
          <w:b/>
        </w:rPr>
        <w:t>PRINCIPAIS MÉTODOS EMPREGADOS</w:t>
      </w:r>
    </w:p>
    <w:p w14:paraId="73A5CDFB" w14:textId="77777777" w:rsidR="009C7C4A" w:rsidRPr="008F5D87" w:rsidRDefault="00000000" w:rsidP="00C27CBB">
      <w:pPr>
        <w:spacing w:line="360" w:lineRule="auto"/>
        <w:jc w:val="both"/>
      </w:pPr>
      <w:r w:rsidRPr="008F5D87">
        <w:t>Este estudo adotou uma abordagem de métodos múltiplos, estruturada em três estudos complementares que compõem a pesquisa de doutorado. A arquitetura em capítulos permite progressão cumulativa: o Estudo 1 oferece o contexto internacional; o Estudo 2 mapeia a realidade brasileira; e o Estudo 3 avalia a qualidade de implementação e maturidade, culminando em recomendações.</w:t>
      </w:r>
    </w:p>
    <w:p w14:paraId="194EE929" w14:textId="77777777" w:rsidR="000C3905" w:rsidRPr="008F5D87" w:rsidRDefault="000C3905" w:rsidP="00C27CBB">
      <w:pPr>
        <w:spacing w:line="360" w:lineRule="auto"/>
        <w:jc w:val="both"/>
      </w:pPr>
    </w:p>
    <w:p w14:paraId="46A0E66D" w14:textId="0A640676" w:rsidR="00486B14" w:rsidRPr="008F5D87" w:rsidRDefault="00486B14" w:rsidP="007A3416">
      <w:pPr>
        <w:spacing w:after="240" w:line="360" w:lineRule="auto"/>
        <w:jc w:val="both"/>
        <w:rPr>
          <w:b/>
          <w:bCs/>
        </w:rPr>
      </w:pPr>
      <w:r w:rsidRPr="008F5D87">
        <w:rPr>
          <w:b/>
          <w:bCs/>
        </w:rPr>
        <w:t xml:space="preserve">2.1 - </w:t>
      </w:r>
      <w:r w:rsidR="00000000" w:rsidRPr="008F5D87">
        <w:rPr>
          <w:b/>
          <w:bCs/>
        </w:rPr>
        <w:t>Estudo 1 — Revisão Sistemática</w:t>
      </w:r>
    </w:p>
    <w:p w14:paraId="6A3304CA" w14:textId="77777777" w:rsidR="00486B14" w:rsidRPr="008F5D87" w:rsidRDefault="00486B14" w:rsidP="00486B14">
      <w:pPr>
        <w:spacing w:line="360" w:lineRule="auto"/>
        <w:jc w:val="both"/>
      </w:pPr>
      <w:r w:rsidRPr="008F5D87">
        <w:t>O presente estudo, de natureza exploratória, te</w:t>
      </w:r>
      <w:r w:rsidRPr="008F5D87">
        <w:t>ve</w:t>
      </w:r>
      <w:r w:rsidRPr="008F5D87">
        <w:t xml:space="preserve"> como objetivo conduzir uma revisão sistemática voltada à análise das experiências internacionais de implementação de sandboxes regulatórios. </w:t>
      </w:r>
    </w:p>
    <w:p w14:paraId="6C7908EF" w14:textId="77777777" w:rsidR="00486B14" w:rsidRPr="008F5D87" w:rsidRDefault="00486B14" w:rsidP="00486B14">
      <w:pPr>
        <w:spacing w:line="360" w:lineRule="auto"/>
        <w:jc w:val="both"/>
        <w:rPr>
          <w:i/>
          <w:iCs/>
        </w:rPr>
      </w:pPr>
      <w:r w:rsidRPr="008F5D87">
        <w:t xml:space="preserve">O desenho da revisão sistemática contemplou critérios de inclusão e exclusão orientados para assegurar rigor metodológico: foram considerados artigos publicados entre 2021 e 2023, nos idiomas inglês, português e espanhol, que tratassem especificamente de experiências práticas </w:t>
      </w:r>
      <w:r w:rsidRPr="008F5D87">
        <w:lastRenderedPageBreak/>
        <w:t>de implementação de sandboxes. As buscas foram realizadas em bases como Google Acadêmico e Web of Science, utilizando descritores relacionados a “</w:t>
      </w:r>
      <w:r w:rsidRPr="008F5D87">
        <w:rPr>
          <w:i/>
          <w:iCs/>
        </w:rPr>
        <w:t xml:space="preserve">regulatory sandbox” e “innovation”. </w:t>
      </w:r>
    </w:p>
    <w:p w14:paraId="353363BC" w14:textId="3E894534" w:rsidR="00486B14" w:rsidRPr="008F5D87" w:rsidRDefault="00486B14" w:rsidP="00486B14">
      <w:pPr>
        <w:spacing w:line="360" w:lineRule="auto"/>
        <w:jc w:val="both"/>
      </w:pPr>
      <w:r w:rsidRPr="008F5D87">
        <w:t>Após triagem preliminar e análise quantitativa auxiliada por ferramenta de inteligência artificial, 37 estudos for</w:t>
      </w:r>
      <w:r w:rsidRPr="008F5D87">
        <w:t>a</w:t>
      </w:r>
      <w:r w:rsidRPr="008F5D87">
        <w:t>m selecionados para leitura integral.</w:t>
      </w:r>
    </w:p>
    <w:p w14:paraId="72D66DF9" w14:textId="77AEC17B" w:rsidR="00486B14" w:rsidRPr="008F5D87" w:rsidRDefault="00486B14" w:rsidP="005E156D">
      <w:pPr>
        <w:spacing w:after="240" w:line="360" w:lineRule="auto"/>
        <w:jc w:val="both"/>
      </w:pPr>
      <w:r w:rsidRPr="008F5D87">
        <w:t xml:space="preserve">A partir disto, a </w:t>
      </w:r>
      <w:r w:rsidRPr="008F5D87">
        <w:t>etapa qualitativa concentrou-se na identificação dos principais impactos dos sandboxes sobre a inovação, dos modelos mais recorrentes, dos benefícios e desafios observados, bem como das lacunas teóricas e empíricas apontadas pelos autores. As informações extraídas foram sistematizadas em tabela analítica, permitindo comparações estruturadas entre diferentes jurisdições e modelos regulatórios. A síntese dos resultados revela tendências internacionais convergentes, melhores práticas relevantes para o desenho de políticas públicas e elementos que podem orientar a adaptação do instrumento às particularidades do contexto regulatório brasileiro. Assim, a revisão sistemática não apenas consolida o estado da arte sobre o tema, mas também fornece subsídios para o aprimoramento das estratégias regulatórias voltadas ao uso de sandboxes como dispositivos promotores de inovação.</w:t>
      </w:r>
    </w:p>
    <w:p w14:paraId="79C8D5CB" w14:textId="196A9398" w:rsidR="00486B14" w:rsidRPr="008F5D87" w:rsidRDefault="00486B14" w:rsidP="000C3905">
      <w:pPr>
        <w:spacing w:after="240" w:line="360" w:lineRule="auto"/>
        <w:jc w:val="both"/>
      </w:pPr>
      <w:r w:rsidRPr="008F5D87">
        <w:rPr>
          <w:b/>
          <w:bCs/>
        </w:rPr>
        <w:t xml:space="preserve">2.2 - </w:t>
      </w:r>
      <w:r w:rsidR="00000000" w:rsidRPr="008F5D87">
        <w:rPr>
          <w:b/>
          <w:bCs/>
        </w:rPr>
        <w:t>Estudo 2 — Análise Comparativa das Agências</w:t>
      </w:r>
    </w:p>
    <w:p w14:paraId="31DB070E" w14:textId="77777777" w:rsidR="000C3905" w:rsidRPr="008F5D87" w:rsidRDefault="000C3905" w:rsidP="000C3905">
      <w:pPr>
        <w:spacing w:after="200" w:line="360" w:lineRule="auto"/>
        <w:ind w:firstLine="720"/>
        <w:jc w:val="both"/>
      </w:pPr>
      <w:r w:rsidRPr="008F5D87">
        <w:t xml:space="preserve">Para investigar a implementação do </w:t>
      </w:r>
      <w:r w:rsidRPr="008F5D87">
        <w:rPr>
          <w:i/>
          <w:iCs/>
        </w:rPr>
        <w:t>sandbox</w:t>
      </w:r>
      <w:r w:rsidRPr="008F5D87">
        <w:t xml:space="preserve"> regulatório nas Agências Reguladoras federais brasileiras, este estudo adota a estratégia de casos múltiplos (Yin, 2015), abordagem particularmente adequada à análise de fenômenos contemporâneos em seu contexto real. A escolha justifica-se pela natureza do objeto: embora as agências compartilhem a mesma base jurídica e finalidade institucional estabelecidas pela Lei nº 13.848/2019, atuam em setores com distintos níveis de maturidade tecnológica e complexidade regulatória, o que torna a comparação sistemática entre seus modelos tanto necessária quanto metodologicamente relevante. A pesquisa foi estruturada em duas etapas complementares: a primeira dedicada à elaboração de um panorama abrangente do </w:t>
      </w:r>
      <w:r w:rsidRPr="008F5D87">
        <w:rPr>
          <w:i/>
          <w:iCs/>
        </w:rPr>
        <w:t>sandbox</w:t>
      </w:r>
      <w:r w:rsidRPr="008F5D87">
        <w:t xml:space="preserve"> nas agências — contemplando o status de implementação até dezembro de 2024, os modelos adotados, as bases legais e normativas, o portfólio de projetos em andamento, os resultados alcançados e as avaliações dos órgãos de controle, em especial os relatórios da Controladoria-Geral da União (CGU); a segunda voltada à análise comparativa dos modelos identificados, por meio do </w:t>
      </w:r>
      <w:r w:rsidRPr="008F5D87">
        <w:rPr>
          <w:i/>
          <w:iCs/>
        </w:rPr>
        <w:t>Framework</w:t>
      </w:r>
      <w:r w:rsidRPr="008F5D87">
        <w:t xml:space="preserve"> das Sete Dimensões (Schittekatte et al., 2021; Beckstedde et al., 2023).</w:t>
      </w:r>
    </w:p>
    <w:p w14:paraId="3AAA7875" w14:textId="77777777" w:rsidR="000C3905" w:rsidRPr="008F5D87" w:rsidRDefault="000C3905" w:rsidP="000C3905">
      <w:pPr>
        <w:spacing w:after="200" w:line="360" w:lineRule="auto"/>
        <w:ind w:firstLine="720"/>
        <w:jc w:val="both"/>
      </w:pPr>
      <w:r w:rsidRPr="008F5D87">
        <w:lastRenderedPageBreak/>
        <w:t xml:space="preserve">A coleta de dados foi realizada por meio de pesquisa documental abrangente, com análise de 153 documentos obtidos nos portais das agências e do Governo Federal. As fontes consultadas incluíram normativos sobre </w:t>
      </w:r>
      <w:r w:rsidRPr="008F5D87">
        <w:rPr>
          <w:i/>
          <w:iCs/>
        </w:rPr>
        <w:t>sandbox</w:t>
      </w:r>
      <w:r w:rsidRPr="008F5D87">
        <w:t xml:space="preserve">, guias e orientações técnicas, processos com acesso aberto, notícias sobre projetos correlatos, relatórios e notas técnicas, relatórios de monitoramento, respostas a demandas da Lei de Acesso à Informação (LAI) disponibilizadas na plataforma Busca LAI (CGU) e o Relatório da CGU (2024) sobre a implementação do </w:t>
      </w:r>
      <w:r w:rsidRPr="008F5D87">
        <w:rPr>
          <w:i/>
          <w:iCs/>
        </w:rPr>
        <w:t>sandbox</w:t>
      </w:r>
      <w:r w:rsidRPr="008F5D87">
        <w:t xml:space="preserve"> regulatório no país. A partir desse corpus documental, foi elaborada uma planilha de consolidação com as informações estruturadas de cada agência, permitindo uma visão clara e sistemática do cenário nacional — diagnóstico até então inexistente na literatura.</w:t>
      </w:r>
    </w:p>
    <w:p w14:paraId="3B8D1533" w14:textId="77777777" w:rsidR="005E156D" w:rsidRDefault="000C3905" w:rsidP="00D07B96">
      <w:pPr>
        <w:spacing w:after="200" w:line="360" w:lineRule="auto"/>
        <w:ind w:firstLine="720"/>
        <w:jc w:val="both"/>
      </w:pPr>
      <w:r w:rsidRPr="008F5D87">
        <w:t xml:space="preserve">A segunda etapa de análise empregou o </w:t>
      </w:r>
      <w:r w:rsidRPr="008F5D87">
        <w:rPr>
          <w:i/>
          <w:iCs/>
        </w:rPr>
        <w:t>Framework</w:t>
      </w:r>
      <w:r w:rsidRPr="008F5D87">
        <w:t xml:space="preserve"> das Sete Dimensões como instrumento de avaliação comparativa, permitindo examinar se </w:t>
      </w:r>
      <w:r w:rsidR="004E491B" w:rsidRPr="008F5D87">
        <w:t>é</w:t>
      </w:r>
      <w:r w:rsidRPr="008F5D87">
        <w:t xml:space="preserve"> como os elementos do </w:t>
      </w:r>
      <w:r w:rsidRPr="008F5D87">
        <w:rPr>
          <w:i/>
          <w:iCs/>
        </w:rPr>
        <w:t>design</w:t>
      </w:r>
      <w:r w:rsidRPr="008F5D87">
        <w:t xml:space="preserve"> do </w:t>
      </w:r>
      <w:r w:rsidRPr="008F5D87">
        <w:rPr>
          <w:i/>
          <w:iCs/>
        </w:rPr>
        <w:t>sandbox</w:t>
      </w:r>
      <w:r w:rsidRPr="008F5D87">
        <w:t xml:space="preserve"> se relacionam com o êxito de sua implementação. As sete dimensões analisadas foram: (</w:t>
      </w:r>
      <w:r w:rsidRPr="008F5D87">
        <w:rPr>
          <w:i/>
          <w:iCs/>
        </w:rPr>
        <w:t>i</w:t>
      </w:r>
      <w:r w:rsidRPr="008F5D87">
        <w:t>) Promotores de Projetos Elegíveis — critérios e perfil dos participantes admitidos; (</w:t>
      </w:r>
      <w:r w:rsidRPr="008F5D87">
        <w:rPr>
          <w:i/>
          <w:iCs/>
        </w:rPr>
        <w:t>ii</w:t>
      </w:r>
      <w:r w:rsidRPr="008F5D87">
        <w:t>) Administração — estrutura de governança e interação entre reguladores e participantes; (</w:t>
      </w:r>
      <w:r w:rsidRPr="008F5D87">
        <w:rPr>
          <w:i/>
          <w:iCs/>
        </w:rPr>
        <w:t>iii</w:t>
      </w:r>
      <w:r w:rsidRPr="008F5D87">
        <w:t>) Derrogações — tipos de flexibilizações regulatórias concedidas; (</w:t>
      </w:r>
      <w:r w:rsidRPr="008F5D87">
        <w:rPr>
          <w:i/>
          <w:iCs/>
        </w:rPr>
        <w:t>iv</w:t>
      </w:r>
      <w:r w:rsidRPr="008F5D87">
        <w:t>) Duração das Derrogações — prazo de vigência das isenções e seus efeitos sobre o processo de inovação; (</w:t>
      </w:r>
      <w:r w:rsidRPr="008F5D87">
        <w:rPr>
          <w:i/>
          <w:iCs/>
        </w:rPr>
        <w:t>v</w:t>
      </w:r>
      <w:r w:rsidRPr="008F5D87">
        <w:t>) Financiamento Público — existência e estruturação de suporte financeiro aos participantes; (</w:t>
      </w:r>
      <w:r w:rsidRPr="008F5D87">
        <w:rPr>
          <w:i/>
          <w:iCs/>
        </w:rPr>
        <w:t>vi</w:t>
      </w:r>
      <w:r w:rsidRPr="008F5D87">
        <w:t xml:space="preserve">) Transparência — grau de abertura e comunicação sobre as operações do </w:t>
      </w:r>
      <w:r w:rsidRPr="008F5D87">
        <w:rPr>
          <w:i/>
          <w:iCs/>
        </w:rPr>
        <w:t>sandbox</w:t>
      </w:r>
      <w:r w:rsidRPr="008F5D87">
        <w:t>; e (</w:t>
      </w:r>
      <w:r w:rsidRPr="008F5D87">
        <w:rPr>
          <w:i/>
          <w:iCs/>
        </w:rPr>
        <w:t>vii</w:t>
      </w:r>
      <w:r w:rsidRPr="008F5D87">
        <w:t>) Processo de Aplicação — procedimentos de candidatura, requisitos exigidos e agilidade decisória (Schittekatte et al., 2021; Beckstedde et al., 2023). Ao longo das duas etapas, foram sistematicamente registrados os pontos de destaque de cada experiência — tanto as boas práticas passíveis de replicação quanto os desafios e alertas relevantes para o aprimoramento do modelo brasileiro.</w:t>
      </w:r>
    </w:p>
    <w:p w14:paraId="7426AD4A" w14:textId="4285015D" w:rsidR="00486B14" w:rsidRPr="008F5D87" w:rsidRDefault="00486B14" w:rsidP="002F144A">
      <w:pPr>
        <w:spacing w:after="240" w:line="360" w:lineRule="auto"/>
        <w:jc w:val="both"/>
      </w:pPr>
      <w:r w:rsidRPr="008F5D87">
        <w:rPr>
          <w:b/>
          <w:bCs/>
        </w:rPr>
        <w:t xml:space="preserve">2.3 - </w:t>
      </w:r>
      <w:r w:rsidR="00000000" w:rsidRPr="008F5D87">
        <w:rPr>
          <w:b/>
          <w:bCs/>
        </w:rPr>
        <w:t>Estudo 3 — Avaliação de Maturidade</w:t>
      </w:r>
    </w:p>
    <w:p w14:paraId="54AB6396" w14:textId="77777777" w:rsidR="002F144A" w:rsidRPr="008F5D87" w:rsidRDefault="002F144A" w:rsidP="002F144A">
      <w:pPr>
        <w:spacing w:line="360" w:lineRule="auto"/>
        <w:ind w:firstLine="720"/>
        <w:jc w:val="both"/>
        <w:rPr>
          <w:lang w:eastAsia="en-US"/>
        </w:rPr>
      </w:pPr>
      <w:r w:rsidRPr="008F5D87">
        <w:rPr>
          <w:lang w:eastAsia="en-US"/>
        </w:rPr>
        <w:t xml:space="preserve">Esta pesquisa adota uma abordagem qualiquantitativa de estudo de casos múltiplos holísticos (Yin, 2018), tendo como fenômeno investigado a maturidade da implementação do </w:t>
      </w:r>
      <w:r w:rsidRPr="008F5D87">
        <w:rPr>
          <w:i/>
          <w:iCs/>
          <w:lang w:eastAsia="en-US"/>
        </w:rPr>
        <w:t>sandbox</w:t>
      </w:r>
      <w:r w:rsidRPr="008F5D87">
        <w:rPr>
          <w:lang w:eastAsia="en-US"/>
        </w:rPr>
        <w:t xml:space="preserve"> regulatório nas Agências Reguladoras brasileiras que implementaram ou possuem normativos sobre o instrumento. Cada agência é tratada como um caso individual, analisado em profundidade por meio de um protocolo padronizado que avalia sua aderência ao Guia Referencial de </w:t>
      </w:r>
      <w:r w:rsidRPr="008F5D87">
        <w:rPr>
          <w:i/>
          <w:iCs/>
          <w:lang w:eastAsia="en-US"/>
        </w:rPr>
        <w:t>Sandbox</w:t>
      </w:r>
      <w:r w:rsidRPr="008F5D87">
        <w:rPr>
          <w:lang w:eastAsia="en-US"/>
        </w:rPr>
        <w:t xml:space="preserve"> Regulatório (AGU, 2024) — escolha que se justifica pela oportunidade de replicação literal e teórica (Yin, 2018), permitindo a comparação entre agências, a identificação de padrões e a análise de fatores contextuais que influenciam os níveis de </w:t>
      </w:r>
      <w:r w:rsidRPr="008F5D87">
        <w:rPr>
          <w:lang w:eastAsia="en-US"/>
        </w:rPr>
        <w:lastRenderedPageBreak/>
        <w:t xml:space="preserve">maturidade. A coleta de dados foi realizada por meio de pesquisa documental abrangente — com análise de 153 documentos obtidos nos portais das agências e do Governo Federal, incluindo normativos, guias técnicos, processos com acesso aberto, relatórios de monitoramento, respostas a demandas da Lei de Acesso à Informação (LAI) e o Relatório da CGU (2024) —, seguida da elaboração de um formulário estruturado com 62 critérios derivados das boas práticas do Guia da AGU, agrupados nas quatro fases do </w:t>
      </w:r>
      <w:r w:rsidRPr="008F5D87">
        <w:rPr>
          <w:i/>
          <w:iCs/>
          <w:lang w:eastAsia="en-US"/>
        </w:rPr>
        <w:t>sandbox</w:t>
      </w:r>
      <w:r w:rsidRPr="008F5D87">
        <w:rPr>
          <w:lang w:eastAsia="en-US"/>
        </w:rPr>
        <w:t xml:space="preserve"> (diagnóstico e concepção; definição e desenvolvimento; experimentação; encerramento) e em dois elementos transversais (transparência e participação social; análise jurídica), disponível em </w:t>
      </w:r>
      <w:hyperlink r:id="rId6" w:tgtFrame="_blank" w:history="1">
        <w:r w:rsidRPr="008F5D87">
          <w:rPr>
            <w:lang w:eastAsia="en-US"/>
          </w:rPr>
          <w:t>https://form.jotform.com/250263278725056</w:t>
        </w:r>
      </w:hyperlink>
      <w:r w:rsidRPr="008F5D87">
        <w:rPr>
          <w:lang w:eastAsia="en-US"/>
        </w:rPr>
        <w:t>.</w:t>
      </w:r>
    </w:p>
    <w:p w14:paraId="0A90D89C" w14:textId="71D29BA8" w:rsidR="005E156D" w:rsidRDefault="002F144A" w:rsidP="005E156D">
      <w:pPr>
        <w:spacing w:line="360" w:lineRule="auto"/>
        <w:ind w:firstLine="720"/>
        <w:jc w:val="both"/>
        <w:rPr>
          <w:lang w:eastAsia="en-US"/>
        </w:rPr>
      </w:pPr>
      <w:r w:rsidRPr="008F5D87">
        <w:rPr>
          <w:lang w:eastAsia="en-US"/>
        </w:rPr>
        <w:t>A análise dos dados combinou avaliação documental qualitativa com mensuração quantitativa da aderência, por meio de uma escala adaptada de Likert (Joshi et al., 2015; Saab, 2023), que varia de 0% (nenhuma adesão) a 100% (adesão total) em cinco níveis — nenhuma, baixa, média, alta e total —, com critérios de evidência objetivos e padronizados para cada patamar. O formulário calcula automaticamente a média de aderência por etapa e por agência, possibilitando comparações sistemáticas entre casos. A partir dos percentuais de aderência obtidos, os níveis de maturidade foram definidos em correlação com a estrutura métrica adotada pelo TCU (2018): inexpressiva (0–14,9%), inicial (15–49,9%), intermediária (50–79,9%) e aprimorada (acima de 80%). É importante ressaltar que a avaliação se baseou exclusivamente nas informações disponibilizadas nos documentos oficiais e portais institucionais das agências, nos termos do Art. 8º da Lei de Acesso à Informação (Lei nº 12.527/2011) — o que implica que práticas implementadas, mas não adequadamente documentadas, podem ter impactado negativamente os resultados; todas as avaliações foram acompanhadas do registro detalhado das evidências no formulário, garantindo a transparência e a rastreabilidade metodológica do estudo.</w:t>
      </w:r>
    </w:p>
    <w:p w14:paraId="1EE64428" w14:textId="77777777" w:rsidR="005E156D" w:rsidRPr="008F5D87" w:rsidRDefault="005E156D" w:rsidP="005E156D">
      <w:pPr>
        <w:spacing w:line="360" w:lineRule="auto"/>
        <w:ind w:firstLine="720"/>
        <w:jc w:val="both"/>
        <w:rPr>
          <w:lang w:eastAsia="en-US"/>
        </w:rPr>
      </w:pPr>
    </w:p>
    <w:p w14:paraId="4E5E7EF6" w14:textId="51132F70" w:rsidR="009C7C4A" w:rsidRPr="008F5D87" w:rsidRDefault="00486B14" w:rsidP="000C3905">
      <w:pPr>
        <w:spacing w:after="240" w:line="360" w:lineRule="auto"/>
        <w:rPr>
          <w:b/>
        </w:rPr>
      </w:pPr>
      <w:r w:rsidRPr="008F5D87">
        <w:rPr>
          <w:b/>
        </w:rPr>
        <w:t xml:space="preserve">3 - </w:t>
      </w:r>
      <w:r w:rsidR="00000000" w:rsidRPr="008F5D87">
        <w:rPr>
          <w:b/>
        </w:rPr>
        <w:t>FUNDAMENTAÇÃO TEÓRICA</w:t>
      </w:r>
    </w:p>
    <w:p w14:paraId="3EF8AA91" w14:textId="164A39E5" w:rsidR="00486B14" w:rsidRPr="008F5D87" w:rsidRDefault="00486B14" w:rsidP="002F144A">
      <w:pPr>
        <w:spacing w:after="240" w:line="360" w:lineRule="auto"/>
      </w:pPr>
      <w:r w:rsidRPr="008F5D87">
        <w:rPr>
          <w:b/>
        </w:rPr>
        <w:t xml:space="preserve">3.1 – Sandbox no Mundo </w:t>
      </w:r>
    </w:p>
    <w:p w14:paraId="0F3DCFE7" w14:textId="10B1A1A8" w:rsidR="00C27CBB" w:rsidRPr="008F5D87" w:rsidRDefault="00C27CBB" w:rsidP="00F969FA">
      <w:pPr>
        <w:spacing w:line="360" w:lineRule="auto"/>
        <w:ind w:firstLine="720"/>
        <w:jc w:val="both"/>
      </w:pPr>
      <w:r w:rsidRPr="008F5D87">
        <w:t xml:space="preserve">O sandbox regulatório emergiu no pós-crise financeira de 2008 como instrumento inovador destinado a conciliar a necessidade de estabilidade sistêmica com o incentivo à inovação no setor financeiro. Concebido inicialmente pela Financial Conduct Authority (FCA) do Reino Unido, o mecanismo permite que empresas testem produtos, serviços e modelos de negócio em ambiente controlado, sob supervisão regulatória, mitigando riscos sem impor imediatamente todo o arcabouço normativo aplicável. Seu desenho institucional — que </w:t>
      </w:r>
      <w:r w:rsidRPr="008F5D87">
        <w:lastRenderedPageBreak/>
        <w:t>compreende critérios de elegibilidade, governança, duração dos testes, restrições operacionais e mecanismos de saída — visa equilibrar a proteção ao consumidor e a integridade do mercado com a promoção de soluções tecnológicas emergentes.</w:t>
      </w:r>
    </w:p>
    <w:p w14:paraId="515D85E4" w14:textId="77777777" w:rsidR="00C27CBB" w:rsidRPr="008F5D87" w:rsidRDefault="00C27CBB" w:rsidP="00F969FA">
      <w:pPr>
        <w:spacing w:line="360" w:lineRule="auto"/>
        <w:ind w:firstLine="720"/>
        <w:jc w:val="both"/>
      </w:pPr>
      <w:r w:rsidRPr="008F5D87">
        <w:t>A partir da experiência pioneira britânica, observou-se expansão global significativa entre 2016 e 2020, quando jurisdições como Austrália, Singapura, Malásia e Brasil incorporaram o modelo, adaptando-o a contextos regulatórios diversos. A institucionalização brasileira consolidou-se com a Lei Complementar nº 182/2021, que formalizou o sandbox como ambiente experimental no marco legal das startups. Ademais, a adoção do instrumento extrapolou o setor financeiro, alcançando áreas como energia, onde estudos europeus demonstram sua relevância para acelerar inovação, aprendizagem regulatória e desenvolvimento tecnológico. Essas experiências internacionais revelam a importância de manter escopos amplos e flexíveis, ao mesmo tempo em que apontam desafios para o alinhamento do modelo às especificidades do ordenamento jurídico brasileiro.</w:t>
      </w:r>
    </w:p>
    <w:p w14:paraId="3EDE2732" w14:textId="2995D9AB" w:rsidR="00C27CBB" w:rsidRPr="008F5D87" w:rsidRDefault="00C27CBB" w:rsidP="00F969FA">
      <w:pPr>
        <w:spacing w:line="360" w:lineRule="auto"/>
        <w:ind w:firstLine="720"/>
        <w:jc w:val="both"/>
      </w:pPr>
      <w:r w:rsidRPr="008F5D87">
        <w:t>A colaboração estruturada entre reguladores e regulados constitui elemento central do sandbox regulatório, alinhando-se às premissas da “regulação responsiva”. Esse arranjo fomenta aprendizagem bilateral, permitindo identificar barreiras normativas, testar tecnologias em condições reais e produzir regulações mais adaptativas e informadas empiricamente. Apesar dos benefícios associados — como aumento da confiança, legitimidade e qualidade regulatória —, a literatura também destaca riscos inerentes às interações cooperativas, notadamente a captura regulatória e possíveis vieses decorrentes de vínculos excessivos entre reguladores e participantes. Assim, o sandbox não apenas opera como mecanismo de experimentação regulatória, mas também como espaço de produção de conhecimento, cuja eficácia depende do equilíbrio entre cooperação, transparência e preservação do interesse público.</w:t>
      </w:r>
    </w:p>
    <w:p w14:paraId="2A73ECB4" w14:textId="77777777" w:rsidR="009C7C4A" w:rsidRPr="008F5D87" w:rsidRDefault="00000000" w:rsidP="00F969FA">
      <w:pPr>
        <w:spacing w:line="360" w:lineRule="auto"/>
        <w:ind w:firstLine="720"/>
        <w:jc w:val="both"/>
      </w:pPr>
      <w:r w:rsidRPr="008F5D87">
        <w:t>A eficácia do sandbox depende de desenho cuidadoso: critérios de elegibilidade claros; governança (centralizada ou hub-and-spoke); derrogações proporcionais ao risco; duração definida (12–36 meses, com prorrogações condicionadas); e mecanismos de saída (graduação/incorporação, encerramento com descontinuidade segura).</w:t>
      </w:r>
    </w:p>
    <w:p w14:paraId="685E3D44" w14:textId="77777777" w:rsidR="00F969FA" w:rsidRPr="008F5D87" w:rsidRDefault="00F969FA" w:rsidP="00C27CBB">
      <w:pPr>
        <w:spacing w:line="360" w:lineRule="auto"/>
        <w:jc w:val="both"/>
      </w:pPr>
    </w:p>
    <w:p w14:paraId="671720C0" w14:textId="202EB574" w:rsidR="00F969FA" w:rsidRPr="008F5D87" w:rsidRDefault="00F969FA" w:rsidP="002F144A">
      <w:pPr>
        <w:spacing w:after="240" w:line="360" w:lineRule="auto"/>
        <w:jc w:val="both"/>
        <w:rPr>
          <w:b/>
          <w:bCs/>
        </w:rPr>
      </w:pPr>
      <w:r w:rsidRPr="008F5D87">
        <w:rPr>
          <w:b/>
          <w:bCs/>
        </w:rPr>
        <w:t>3.2 – Regulação Experimental</w:t>
      </w:r>
    </w:p>
    <w:p w14:paraId="127A9FE6" w14:textId="77777777" w:rsidR="00F969FA" w:rsidRPr="008F5D87" w:rsidRDefault="00F969FA" w:rsidP="00F969FA">
      <w:pPr>
        <w:spacing w:line="360" w:lineRule="auto"/>
        <w:ind w:firstLine="720"/>
        <w:jc w:val="both"/>
      </w:pPr>
      <w:r w:rsidRPr="008F5D87">
        <w:t xml:space="preserve">Dentro do espectro da regulação experimental, o </w:t>
      </w:r>
      <w:r w:rsidRPr="008F5D87">
        <w:rPr>
          <w:i/>
          <w:iCs/>
        </w:rPr>
        <w:t>sandbox</w:t>
      </w:r>
      <w:r w:rsidRPr="008F5D87">
        <w:t xml:space="preserve"> regulatório se posiciona como sua aplicação prática mais difundida, distinguindo-se de outros instrumentos como os projetos piloto (Ranchordas, 2021). Enquanto o projeto piloto testa operacionalmente uma solução já definida, sem flexibilização das regras vigentes, o </w:t>
      </w:r>
      <w:r w:rsidRPr="008F5D87">
        <w:rPr>
          <w:i/>
          <w:iCs/>
        </w:rPr>
        <w:t>sandbox</w:t>
      </w:r>
      <w:r w:rsidRPr="008F5D87">
        <w:t xml:space="preserve"> cria um ambiente para experimentar </w:t>
      </w:r>
      <w:r w:rsidRPr="008F5D87">
        <w:lastRenderedPageBreak/>
        <w:t xml:space="preserve">inovações ainda não regulamentadas, concedendo derrogações temporárias e focando em produtos, serviços ou modelos de negócio inéditos (Bauknecht et al., 2021; Anvisa, 2024). </w:t>
      </w:r>
    </w:p>
    <w:p w14:paraId="1F10641E" w14:textId="1700BDB6" w:rsidR="00F969FA" w:rsidRPr="008F5D87" w:rsidRDefault="00F969FA" w:rsidP="00F969FA">
      <w:pPr>
        <w:spacing w:line="360" w:lineRule="auto"/>
        <w:ind w:firstLine="720"/>
        <w:jc w:val="both"/>
      </w:pPr>
      <w:r w:rsidRPr="008F5D87">
        <w:t xml:space="preserve">Do ponto de vista do </w:t>
      </w:r>
      <w:r w:rsidRPr="008F5D87">
        <w:rPr>
          <w:i/>
          <w:iCs/>
        </w:rPr>
        <w:t>design</w:t>
      </w:r>
      <w:r w:rsidRPr="008F5D87">
        <w:t xml:space="preserve">, sua estruturação exige atenção a elementos essenciais como critérios claros de elegibilidade, estrutura de governança robusta, temporalidade definida, mecanismos de saída, salvaguardas ao consumidor e processos de monitoramento e avaliação (CGAP, 2020; Ranchordás, 2021). A tipologia dos </w:t>
      </w:r>
      <w:r w:rsidRPr="008F5D87">
        <w:rPr>
          <w:i/>
          <w:iCs/>
        </w:rPr>
        <w:t>sandboxes</w:t>
      </w:r>
      <w:r w:rsidRPr="008F5D87">
        <w:t xml:space="preserve"> pode ser compreendida a partir de três eixos — objetivos, escopo e escala —, variando entre modelos temáticos, voltados a tecnologias ou setores específicos, e modelos de escopo aberto, que permitem maior amplitude de experimentações (Datasphere Initiative, 2022). A evolução da </w:t>
      </w:r>
      <w:r w:rsidRPr="008F5D87">
        <w:rPr>
          <w:i/>
          <w:iCs/>
        </w:rPr>
        <w:t>Financial Conduct Authority</w:t>
      </w:r>
      <w:r w:rsidRPr="008F5D87">
        <w:t xml:space="preserve"> (FCA) no Reino Unido ilustra bem essa trajetória: o modelo inicial, operado em ciclos fechados de inscrição (</w:t>
      </w:r>
      <w:r w:rsidRPr="008F5D87">
        <w:rPr>
          <w:i/>
          <w:iCs/>
        </w:rPr>
        <w:t>cohorts</w:t>
      </w:r>
      <w:r w:rsidRPr="008F5D87">
        <w:t>), foi gradualmente substituído por um formato permanente e contínuo (</w:t>
      </w:r>
      <w:r w:rsidRPr="008F5D87">
        <w:rPr>
          <w:i/>
          <w:iCs/>
        </w:rPr>
        <w:t>always open</w:t>
      </w:r>
      <w:r w:rsidRPr="008F5D87">
        <w:t>), considerado referência internacional por sua flexibilidade e agilidade (FCA, 2022).</w:t>
      </w:r>
    </w:p>
    <w:p w14:paraId="52DD86AC" w14:textId="77777777" w:rsidR="00F969FA" w:rsidRDefault="00F969FA" w:rsidP="00F969FA">
      <w:pPr>
        <w:spacing w:line="360" w:lineRule="auto"/>
        <w:ind w:firstLine="720"/>
        <w:jc w:val="both"/>
      </w:pPr>
      <w:r w:rsidRPr="008F5D87">
        <w:t xml:space="preserve">A avaliação comparativa de diferentes modelos de </w:t>
      </w:r>
      <w:r w:rsidRPr="008F5D87">
        <w:rPr>
          <w:i/>
          <w:iCs/>
        </w:rPr>
        <w:t>sandbox</w:t>
      </w:r>
      <w:r w:rsidRPr="008F5D87">
        <w:t xml:space="preserve"> encontra suporte metodológico no </w:t>
      </w:r>
      <w:r w:rsidRPr="008F5D87">
        <w:rPr>
          <w:i/>
          <w:iCs/>
        </w:rPr>
        <w:t>Framework</w:t>
      </w:r>
      <w:r w:rsidRPr="008F5D87">
        <w:t xml:space="preserve"> das Sete Dimensões, desenvolvido originalmente por Schittekatte et al. (2021) a partir da análise das experiências europeias nos setores energéticos da Holanda, Reino Unido e Itália, e posteriormente ampliado por Beckstedde et al. (2023) com a inclusão da dimensão "Processo de Aplicação". O </w:t>
      </w:r>
      <w:r w:rsidRPr="008F5D87">
        <w:rPr>
          <w:i/>
          <w:iCs/>
        </w:rPr>
        <w:t>framework</w:t>
      </w:r>
      <w:r w:rsidRPr="008F5D87">
        <w:t xml:space="preserve"> estrutura a análise em torno de sete eixos: promotores de projetos elegíveis, administração, derrogações, duração das derrogações, financiamento público, transparência e processo de aplicação — cada qual examinando um aspecto crítico do desenho e da operação do </w:t>
      </w:r>
      <w:r w:rsidRPr="008F5D87">
        <w:rPr>
          <w:i/>
          <w:iCs/>
        </w:rPr>
        <w:t>sandbox</w:t>
      </w:r>
      <w:r w:rsidRPr="008F5D87">
        <w:t xml:space="preserve">. No contexto brasileiro, onde as Agências Reguladoras têm adotado configurações bastante distintas entre si — como o "contorno regulatório" implementado pela ANATEL por meio de ato do Conselho Diretor, dispensando regulamentos específicos (ANATEL, 2023) —, a aplicação desse </w:t>
      </w:r>
      <w:r w:rsidRPr="008F5D87">
        <w:rPr>
          <w:i/>
          <w:iCs/>
        </w:rPr>
        <w:t>framework</w:t>
      </w:r>
      <w:r w:rsidRPr="008F5D87">
        <w:t xml:space="preserve"> permite não apenas avaliar individualmente cada iniciativa, mas também comparar modelos, identificar padrões e disparidades, e apontar oportunidades de aprimoramento. A integração entre os elementos de </w:t>
      </w:r>
      <w:r w:rsidRPr="008F5D87">
        <w:rPr>
          <w:i/>
          <w:iCs/>
        </w:rPr>
        <w:t>design</w:t>
      </w:r>
      <w:r w:rsidRPr="008F5D87">
        <w:t xml:space="preserve"> propostos por Jeník e Duff (2020) e a estrutura analítica de Schittekatte et al. (2021) oferece, portanto, uma base robusta para diagnosticar o estado da arte da regulação experimental no Brasil e subsidiar formuladores de políticas na construção de ambientes regulatórios experimentais mais efetivos e institucionalmente adequados.</w:t>
      </w:r>
    </w:p>
    <w:p w14:paraId="35B092FF" w14:textId="52040606" w:rsidR="005E156D" w:rsidRDefault="005E156D">
      <w:pPr>
        <w:spacing w:after="200" w:line="276" w:lineRule="auto"/>
      </w:pPr>
      <w:r>
        <w:br w:type="page"/>
      </w:r>
    </w:p>
    <w:p w14:paraId="60BDF520" w14:textId="280654F8" w:rsidR="000C3905" w:rsidRPr="008F5D87" w:rsidRDefault="000C3905" w:rsidP="000C3905">
      <w:pPr>
        <w:spacing w:after="240" w:line="360" w:lineRule="auto"/>
        <w:rPr>
          <w:b/>
        </w:rPr>
      </w:pPr>
      <w:r w:rsidRPr="008F5D87">
        <w:rPr>
          <w:b/>
        </w:rPr>
        <w:lastRenderedPageBreak/>
        <w:t>3.3 – Boas Práticas e Maturidade no Sandbox</w:t>
      </w:r>
    </w:p>
    <w:p w14:paraId="54DC50B0" w14:textId="77777777" w:rsidR="000C3905" w:rsidRPr="008F5D87" w:rsidRDefault="000C3905" w:rsidP="000C3905">
      <w:pPr>
        <w:spacing w:line="360" w:lineRule="auto"/>
        <w:ind w:firstLine="720"/>
        <w:jc w:val="both"/>
      </w:pPr>
      <w:r w:rsidRPr="008F5D87">
        <w:t>Para além da definição legal, a literatura internacional reforça que sua implementação bem-sucedida exige um processo estruturado em quatro etapas sequenciais: (</w:t>
      </w:r>
      <w:r w:rsidRPr="008F5D87">
        <w:rPr>
          <w:i/>
          <w:iCs/>
        </w:rPr>
        <w:t>i</w:t>
      </w:r>
      <w:r w:rsidRPr="008F5D87">
        <w:t xml:space="preserve">) </w:t>
      </w:r>
      <w:r w:rsidRPr="008F5D87">
        <w:rPr>
          <w:b/>
          <w:bCs/>
        </w:rPr>
        <w:t>planejamento e concepção</w:t>
      </w:r>
      <w:r w:rsidRPr="008F5D87">
        <w:t>, com definição clara de objetivos, escopo temático, critérios de elegibilidade, salvaguardas e parâmetros de avaliação (Bauknecht et al., 2021; Jeník; Duff, 2020); (</w:t>
      </w:r>
      <w:r w:rsidRPr="008F5D87">
        <w:rPr>
          <w:i/>
          <w:iCs/>
        </w:rPr>
        <w:t>ii</w:t>
      </w:r>
      <w:r w:rsidRPr="008F5D87">
        <w:t xml:space="preserve">) </w:t>
      </w:r>
      <w:r w:rsidRPr="008F5D87">
        <w:rPr>
          <w:b/>
          <w:bCs/>
        </w:rPr>
        <w:t>seleção e autorização</w:t>
      </w:r>
      <w:r w:rsidRPr="008F5D87">
        <w:t>, com critérios transparentes alinhados aos objetivos do programa (ANPD, 2023); (</w:t>
      </w:r>
      <w:r w:rsidRPr="008F5D87">
        <w:rPr>
          <w:i/>
          <w:iCs/>
        </w:rPr>
        <w:t>iii</w:t>
      </w:r>
      <w:r w:rsidRPr="008F5D87">
        <w:t xml:space="preserve">) </w:t>
      </w:r>
      <w:r w:rsidRPr="008F5D87">
        <w:rPr>
          <w:b/>
          <w:bCs/>
        </w:rPr>
        <w:t>experimentação e monitoramento contínuo</w:t>
      </w:r>
      <w:r w:rsidRPr="008F5D87">
        <w:t>, com acompanhamento próximo pelo regulador ao longo de todo o período de testes (FCA, 2022; Anvisa, 2024); e (</w:t>
      </w:r>
      <w:r w:rsidRPr="008F5D87">
        <w:rPr>
          <w:i/>
          <w:iCs/>
        </w:rPr>
        <w:t>iv</w:t>
      </w:r>
      <w:r w:rsidRPr="008F5D87">
        <w:t xml:space="preserve">) </w:t>
      </w:r>
      <w:r w:rsidRPr="008F5D87">
        <w:rPr>
          <w:b/>
          <w:bCs/>
        </w:rPr>
        <w:t>avaliação dos resultados e encerramento</w:t>
      </w:r>
      <w:r w:rsidRPr="008F5D87">
        <w:t>, com análise abrangente dos aprendizados e tomada de decisão regulatória subsequente — seja para escalonamento, ajuste normativo ou descontinuação (Bauknecht et al., 2021; AGU, 2024).</w:t>
      </w:r>
    </w:p>
    <w:p w14:paraId="23105FF5" w14:textId="77777777" w:rsidR="000C3905" w:rsidRPr="008F5D87" w:rsidRDefault="000C3905" w:rsidP="000C3905">
      <w:pPr>
        <w:spacing w:line="360" w:lineRule="auto"/>
        <w:ind w:firstLine="720"/>
        <w:jc w:val="both"/>
      </w:pPr>
      <w:r w:rsidRPr="008F5D87">
        <w:t xml:space="preserve">Essa jornada de implementação, contudo, não é isenta de desafios. A gestão de riscos e incertezas — incluindo a potencial distorção da concorrência e a criação de insegurança jurídica para agentes fora do </w:t>
      </w:r>
      <w:r w:rsidRPr="008F5D87">
        <w:rPr>
          <w:i/>
          <w:iCs/>
        </w:rPr>
        <w:t>sandbox</w:t>
      </w:r>
      <w:r w:rsidRPr="008F5D87">
        <w:t xml:space="preserve"> — exige recursos técnicos e financeiros que frequentemente excedem a capacidade instalada dos órgãos reguladores (BMWi, 2019; Jeník; Duff, 2020). A definição adequada do escopo dos testes, a seleção criteriosa de participantes, a coordenação entre agências em setores com regulação sobreposta e a garantia de transparência e engajamento das partes interessadas são igualmente apontados como obstáculos recorrentes (Datasphere Initiative, 2022; Heinen, 2023; AGU, 2024). Diante desse cenário, o "Guia Referencial de </w:t>
      </w:r>
      <w:r w:rsidRPr="008F5D87">
        <w:rPr>
          <w:i/>
          <w:iCs/>
        </w:rPr>
        <w:t>Sandbox</w:t>
      </w:r>
      <w:r w:rsidRPr="008F5D87">
        <w:t xml:space="preserve"> Regulatório" (AGU, 2024) surge como instrumento de harmonização, estruturando o processo em quatro fases — diagnóstico e concepção, definição e desenvolvimento, experimentação e encerramento — com elementos transversais de transparência, participação social e análise jurídica robusta. O guia não substitui as normativas setoriais de cada agência, mas funciona como referencial comum de boas práticas, orientando a construção de estruturas de governança adequadas, critérios de elegibilidade claros e salvaguardas que protejam consumidores e mitiguem riscos ao longo de todo o ciclo experimental.</w:t>
      </w:r>
    </w:p>
    <w:p w14:paraId="463E02AF" w14:textId="77777777" w:rsidR="000C3905" w:rsidRPr="008F5D87" w:rsidRDefault="000C3905" w:rsidP="000C3905">
      <w:pPr>
        <w:spacing w:line="360" w:lineRule="auto"/>
        <w:ind w:firstLine="720"/>
        <w:jc w:val="both"/>
      </w:pPr>
      <w:r w:rsidRPr="008F5D87">
        <w:t xml:space="preserve">A efetividade do </w:t>
      </w:r>
      <w:r w:rsidRPr="008F5D87">
        <w:rPr>
          <w:i/>
          <w:iCs/>
        </w:rPr>
        <w:t>sandbox</w:t>
      </w:r>
      <w:r w:rsidRPr="008F5D87">
        <w:t xml:space="preserve"> regulatório, porém, não decorre automaticamente de sua adoção formal. A literatura acadêmica é clara ao apontar que marcos regulatórios bem definidos, critérios transparentes de execução e sistemas robustos de monitoramento e avaliação são pré-requisitos essenciais para que o instrumento gere valor público (Lima, 2024; Quirino; Cunha, 2023). É nesse ponto que a análise de maturidade emerge como ferramenta diagnóstica relevante: segundo Mettler (2011), a maturidade de processos representa o progresso evolutivo de uma capacidade organizacional, desde estágios iniciais — marcados pela informalidade e </w:t>
      </w:r>
      <w:r w:rsidRPr="008F5D87">
        <w:lastRenderedPageBreak/>
        <w:t xml:space="preserve">reatividade — até níveis avançados de padronização, otimização e institucionalização das práticas (Pöppelbuß; Röglinger, 2011). Modelos consagrados como o </w:t>
      </w:r>
      <w:r w:rsidRPr="008F5D87">
        <w:rPr>
          <w:i/>
          <w:iCs/>
        </w:rPr>
        <w:t>Capability Maturity Model</w:t>
      </w:r>
      <w:r w:rsidRPr="008F5D87">
        <w:t xml:space="preserve"> (CMM) descrevem essa progressão em cinco níveis — inicial, gerenciado, definido, gerenciado quantitativamente e otimizado (Paulk et al., 1993) —, enquanto o TCU, em sua avaliação de maturidade da gestão de riscos, verifica se os princípios, estruturas e processos estão integrados ao planejamento estratégico e aos objetivos-chave da organização (TCU, 2022). Transpondo essa lógica para o contexto do </w:t>
      </w:r>
      <w:r w:rsidRPr="008F5D87">
        <w:rPr>
          <w:i/>
          <w:iCs/>
        </w:rPr>
        <w:t>sandbox</w:t>
      </w:r>
      <w:r w:rsidRPr="008F5D87">
        <w:t>, a avaliação de maturidade permite aferir se os processos implementados pelas Agências Reguladoras asseguram não apenas o fomento à inovação, mas também a proteção dos usuários e a adequada mitigação de riscos, conforme exige a Lei Complementar nº 182/2021.</w:t>
      </w:r>
    </w:p>
    <w:p w14:paraId="53F9D4C1" w14:textId="77777777" w:rsidR="000C3905" w:rsidRPr="008F5D87" w:rsidRDefault="000C3905" w:rsidP="000C3905">
      <w:pPr>
        <w:spacing w:line="360" w:lineRule="auto"/>
        <w:ind w:firstLine="720"/>
        <w:jc w:val="both"/>
      </w:pPr>
      <w:r w:rsidRPr="008F5D87">
        <w:t xml:space="preserve">Essa perspectiva é reforçada pelo "Relatório de Avaliação do </w:t>
      </w:r>
      <w:r w:rsidRPr="008F5D87">
        <w:rPr>
          <w:i/>
          <w:iCs/>
        </w:rPr>
        <w:t>Sandbox</w:t>
      </w:r>
      <w:r w:rsidRPr="008F5D87">
        <w:t xml:space="preserve">" da CGU (2024), que — embora não utilize explicitamente um modelo de maturidade — realiza na prática uma avaliação que aponta para diferentes níveis de desenvolvimento entre as agências, identificando lacunas como a ausência de avaliação técnica de riscos, regulamentos em parcial conformidade com a lei e disponibilização insuficiente de informações em transparência ativa. Esses achados são indicativos de áreas onde a maturidade dos processos ainda é incipiente e requer desenvolvimento significativo. Nesse sentido, a análise de maturidade proposta neste estudo vai além da mera constatação da existência do </w:t>
      </w:r>
      <w:r w:rsidRPr="008F5D87">
        <w:rPr>
          <w:i/>
          <w:iCs/>
        </w:rPr>
        <w:t>sandbox</w:t>
      </w:r>
      <w:r w:rsidRPr="008F5D87">
        <w:t xml:space="preserve">: busca compreender como ele está sendo implementado e gerenciado em cada agência, identificando pontos fortes e etapas que demandam amadurecimento. Considerando a aderência das agências ao Guia Referencial da AGU como eixo analítico, essa avaliação comparativa contribui com uma visão sistêmica dos desafios e oportunidades para o fortalecimento do </w:t>
      </w:r>
      <w:r w:rsidRPr="008F5D87">
        <w:rPr>
          <w:i/>
          <w:iCs/>
        </w:rPr>
        <w:t>sandbox</w:t>
      </w:r>
      <w:r w:rsidRPr="008F5D87">
        <w:t xml:space="preserve"> regulatório como instrumento de geração de valor público e modernização do ambiente regulatório brasileiro (Cavalcante et al., 2017; Mazzucato, 2014).</w:t>
      </w:r>
    </w:p>
    <w:p w14:paraId="6A7D383E" w14:textId="62499129" w:rsidR="000C3905" w:rsidRPr="008F5D87" w:rsidRDefault="000C3905">
      <w:pPr>
        <w:spacing w:after="200" w:line="276" w:lineRule="auto"/>
        <w:rPr>
          <w:b/>
        </w:rPr>
      </w:pPr>
    </w:p>
    <w:p w14:paraId="3D498AEB" w14:textId="3A589909" w:rsidR="00F969FA" w:rsidRPr="008F5D87" w:rsidRDefault="00EA239D" w:rsidP="007A3416">
      <w:pPr>
        <w:spacing w:after="240" w:line="360" w:lineRule="auto"/>
        <w:rPr>
          <w:b/>
        </w:rPr>
      </w:pPr>
      <w:r w:rsidRPr="008F5D87">
        <w:rPr>
          <w:b/>
        </w:rPr>
        <w:t xml:space="preserve">4 </w:t>
      </w:r>
      <w:r w:rsidR="00F969FA" w:rsidRPr="008F5D87">
        <w:rPr>
          <w:b/>
        </w:rPr>
        <w:t>–</w:t>
      </w:r>
      <w:r w:rsidRPr="008F5D87">
        <w:rPr>
          <w:b/>
        </w:rPr>
        <w:t xml:space="preserve"> </w:t>
      </w:r>
      <w:r w:rsidR="00000000" w:rsidRPr="008F5D87">
        <w:rPr>
          <w:b/>
        </w:rPr>
        <w:t>DESENVOLVIMENTO</w:t>
      </w:r>
    </w:p>
    <w:p w14:paraId="5737D17E" w14:textId="5A162C44" w:rsidR="009C7C4A" w:rsidRPr="008F5D87" w:rsidRDefault="00EA239D" w:rsidP="00F969FA">
      <w:pPr>
        <w:spacing w:after="240" w:line="360" w:lineRule="auto"/>
      </w:pPr>
      <w:r w:rsidRPr="008F5D87">
        <w:rPr>
          <w:b/>
        </w:rPr>
        <w:t xml:space="preserve">4.1 - </w:t>
      </w:r>
      <w:r w:rsidR="00000000" w:rsidRPr="008F5D87">
        <w:rPr>
          <w:b/>
        </w:rPr>
        <w:t>Resultados da Revisão Sistemática Internacional</w:t>
      </w:r>
    </w:p>
    <w:p w14:paraId="61A17E66" w14:textId="7FEB9FBF" w:rsidR="00EA239D" w:rsidRPr="00EA239D" w:rsidRDefault="00EA239D" w:rsidP="00F969FA">
      <w:pPr>
        <w:spacing w:after="200" w:line="360" w:lineRule="auto"/>
        <w:ind w:firstLine="720"/>
        <w:jc w:val="both"/>
        <w:rPr>
          <w:lang w:eastAsia="en-US"/>
        </w:rPr>
      </w:pPr>
      <w:r w:rsidRPr="008F5D87">
        <w:t xml:space="preserve">A revisão sistemática da literatura permitiu ampliar o entendimento acerca do </w:t>
      </w:r>
      <w:r w:rsidRPr="008F5D87">
        <w:rPr>
          <w:i/>
          <w:iCs/>
        </w:rPr>
        <w:t>sandbox</w:t>
      </w:r>
      <w:r w:rsidRPr="008F5D87">
        <w:t xml:space="preserve"> regulatório </w:t>
      </w:r>
      <w:r w:rsidRPr="00EA239D">
        <w:rPr>
          <w:lang w:eastAsia="en-US"/>
        </w:rPr>
        <w:t xml:space="preserve">enquanto instrumento de estímulo à inovação em diferentes setores e contextos nacionais. A partir dos dados levantados, foi possível identificar tanto os benefícios associados à adoção dessa ferramenta quanto os desafios inerentes à sua implementação. Os achados obtidos oferecem subsídios para a formulação de políticas públicas orientadas à inovação e ao </w:t>
      </w:r>
      <w:r w:rsidRPr="00EA239D">
        <w:rPr>
          <w:lang w:eastAsia="en-US"/>
        </w:rPr>
        <w:lastRenderedPageBreak/>
        <w:t>desenvolvimento econômico, além de apontar direções para investigações acadêmicas futuras. No âmbito desta tese de doutorado profissional, os resultados alimentarão dois estudos complementares: o primeiro voltado ao mapeamento das experiências de sandbox no Brasil, com vistas à construção de um framework que retrate o cenário atual e os principais pontos de convergência e divergência entre as iniciativas regulatórias; o segundo dedicado à avaliação da maturidade dos processos de sandbox nas Agências Reguladoras federais brasileiras.</w:t>
      </w:r>
    </w:p>
    <w:p w14:paraId="0B7AF5A3" w14:textId="77777777" w:rsidR="00EA239D" w:rsidRPr="00EA239D" w:rsidRDefault="00EA239D" w:rsidP="00F969FA">
      <w:pPr>
        <w:spacing w:after="200" w:line="360" w:lineRule="auto"/>
        <w:ind w:firstLine="720"/>
        <w:jc w:val="both"/>
        <w:rPr>
          <w:lang w:eastAsia="en-US"/>
        </w:rPr>
      </w:pPr>
      <w:r w:rsidRPr="00EA239D">
        <w:rPr>
          <w:lang w:eastAsia="en-US"/>
        </w:rPr>
        <w:t xml:space="preserve">A análise do corpus de 37 artigos selecionados revelou uma concentração geográfica expressiva: </w:t>
      </w:r>
      <w:r w:rsidRPr="00EA239D">
        <w:rPr>
          <w:b/>
          <w:bCs/>
          <w:lang w:eastAsia="en-US"/>
        </w:rPr>
        <w:t>aproximadamente 60% dos estudos dedicam-se às experiências do Reino Unido e da China,</w:t>
      </w:r>
      <w:r w:rsidRPr="00EA239D">
        <w:rPr>
          <w:lang w:eastAsia="en-US"/>
        </w:rPr>
        <w:t xml:space="preserve"> enquanto os demais 40% distribuem-se entre outros oito países — Estados Unidos, Brasil, Indonésia, Espanha, África do Sul, República Tcheca, Austrália e Singapura, cada um representando 5% do total. Essa concentração reflete, em parte, o protagonismo britânico no tema, impulsionado pelo pioneirismo da Financial Conduct Authority (FCA), que em 2015 criou um ambiente favorável à experimentação regulatória no setor de serviços financeiros, tornando-se referência internacional (Tuk's, 2022). No caso chinês, a adoção do sandbox em 2019 respondeu ao desafio de conciliar a expansão acelerada do setor de fintech com a necessidade de um arcabouço regulatório capaz de acompanhar esse dinamismo, criando um espaço seguro para testar inovações sem comprometer os interesses dos consumidores nem a concorrência leal (Han; Xu, 2022). Do ponto de vista temático, </w:t>
      </w:r>
      <w:r w:rsidRPr="00EA239D">
        <w:rPr>
          <w:b/>
          <w:bCs/>
          <w:lang w:eastAsia="en-US"/>
        </w:rPr>
        <w:t>60% dos estudos concentram-se no setor financeiro, 22% abordam tecnologia</w:t>
      </w:r>
      <w:r w:rsidRPr="00EA239D">
        <w:rPr>
          <w:lang w:eastAsia="en-US"/>
        </w:rPr>
        <w:t xml:space="preserve"> — com ênfase em inteligência artificial e segurança da informação — e os 18% restantes distribuem-se entre outras áreas, incluindo saúde (5%).</w:t>
      </w:r>
    </w:p>
    <w:p w14:paraId="072E14E2" w14:textId="77777777" w:rsidR="00EA239D" w:rsidRPr="00EA239D" w:rsidRDefault="00EA239D" w:rsidP="00F969FA">
      <w:pPr>
        <w:spacing w:after="200" w:line="360" w:lineRule="auto"/>
        <w:ind w:firstLine="720"/>
        <w:jc w:val="both"/>
        <w:rPr>
          <w:lang w:eastAsia="en-US"/>
        </w:rPr>
      </w:pPr>
      <w:r w:rsidRPr="00EA239D">
        <w:rPr>
          <w:lang w:eastAsia="en-US"/>
        </w:rPr>
        <w:t xml:space="preserve">No que se refere aos impactos identificados, </w:t>
      </w:r>
      <w:r w:rsidRPr="00EA239D">
        <w:rPr>
          <w:b/>
          <w:bCs/>
          <w:lang w:eastAsia="en-US"/>
        </w:rPr>
        <w:t>79% dos estudos analisados reconhecem que o sandbox regulatório exerce influência direta sobre a inovação,</w:t>
      </w:r>
      <w:r w:rsidRPr="00EA239D">
        <w:rPr>
          <w:lang w:eastAsia="en-US"/>
        </w:rPr>
        <w:t xml:space="preserve"> enquanto 21% apontam para um impacto de natureza indireta. Entre os estudos que avaliaram explicitamente a experiência de implementação</w:t>
      </w:r>
      <w:r w:rsidRPr="00EA239D">
        <w:rPr>
          <w:b/>
          <w:bCs/>
          <w:lang w:eastAsia="en-US"/>
        </w:rPr>
        <w:t>, 75% a classificaram como positiva</w:t>
      </w:r>
      <w:r w:rsidRPr="00EA239D">
        <w:rPr>
          <w:lang w:eastAsia="en-US"/>
        </w:rPr>
        <w:t xml:space="preserve"> e 25% como negativa — sendo os casos negativos associados principalmente à experiência indonésia, marcada pelo desinteresse dos participantes e pela desconfiança da população em razão da presença de empresas ilegais no mercado, e a determinadas experiências britânicas com bancos digitais, nas quais se </w:t>
      </w:r>
      <w:r w:rsidRPr="00EA239D">
        <w:rPr>
          <w:b/>
          <w:bCs/>
          <w:lang w:eastAsia="en-US"/>
        </w:rPr>
        <w:t xml:space="preserve">observou elevação dos custos de conformidade, falta de transparência nos processos e risco de </w:t>
      </w:r>
      <w:r w:rsidRPr="00EA239D">
        <w:rPr>
          <w:b/>
          <w:bCs/>
          <w:i/>
          <w:iCs/>
          <w:lang w:eastAsia="en-US"/>
        </w:rPr>
        <w:t>riskwashing</w:t>
      </w:r>
      <w:r w:rsidRPr="00EA239D">
        <w:rPr>
          <w:i/>
          <w:iCs/>
          <w:lang w:eastAsia="en-US"/>
        </w:rPr>
        <w:t xml:space="preserve"> </w:t>
      </w:r>
      <w:r w:rsidRPr="00EA239D">
        <w:rPr>
          <w:lang w:eastAsia="en-US"/>
        </w:rPr>
        <w:t xml:space="preserve">— isto é, uma validação superficial de riscos em substituição a uma avaliação independente e rigorosa (Brown &amp; Piroska, 2022). Entre os </w:t>
      </w:r>
      <w:r w:rsidRPr="00EA239D">
        <w:rPr>
          <w:b/>
          <w:bCs/>
          <w:lang w:eastAsia="en-US"/>
        </w:rPr>
        <w:t>resultados positivos, destacam-se: a redução do tempo</w:t>
      </w:r>
      <w:r w:rsidRPr="00EA239D">
        <w:rPr>
          <w:lang w:eastAsia="en-US"/>
        </w:rPr>
        <w:t xml:space="preserve"> de lançamento de produtos no mercado (Plato-Shinar, 2021; Harris, 2022); o aprimoramento da comunicação e da governança entre </w:t>
      </w:r>
      <w:r w:rsidRPr="00EA239D">
        <w:rPr>
          <w:lang w:eastAsia="en-US"/>
        </w:rPr>
        <w:lastRenderedPageBreak/>
        <w:t xml:space="preserve">reguladores e inovadores (Plato-Shinar, 2021; Greater London Authority, 2021); a </w:t>
      </w:r>
      <w:r w:rsidRPr="00EA239D">
        <w:rPr>
          <w:b/>
          <w:bCs/>
          <w:lang w:eastAsia="en-US"/>
        </w:rPr>
        <w:t>proteção de dados</w:t>
      </w:r>
      <w:r w:rsidRPr="00EA239D">
        <w:rPr>
          <w:lang w:eastAsia="en-US"/>
        </w:rPr>
        <w:t xml:space="preserve"> em ambientes de teste controlado (Tonic Analytics, 2021); a promoção de uma </w:t>
      </w:r>
      <w:r w:rsidRPr="00EA239D">
        <w:rPr>
          <w:b/>
          <w:bCs/>
          <w:lang w:eastAsia="en-US"/>
        </w:rPr>
        <w:t>regulação mais dinâmica</w:t>
      </w:r>
      <w:r w:rsidRPr="00EA239D">
        <w:rPr>
          <w:lang w:eastAsia="en-US"/>
        </w:rPr>
        <w:t xml:space="preserve"> e participativa (Pellin; Engelmann, 2022); e o </w:t>
      </w:r>
      <w:r w:rsidRPr="00EA239D">
        <w:rPr>
          <w:b/>
          <w:bCs/>
          <w:lang w:eastAsia="en-US"/>
        </w:rPr>
        <w:t>estímulo à competitividade</w:t>
      </w:r>
      <w:r w:rsidRPr="00EA239D">
        <w:rPr>
          <w:lang w:eastAsia="en-US"/>
        </w:rPr>
        <w:t xml:space="preserve"> e à inclusão financeira (Shi, 2021). Um achado relevante diz respeito à transformação da percepção das empresas sobre os órgãos reguladores: antes do sandbox, as fintechs tendiam a enxergar a FCA como uma instituição distante e intimidadora; após a experiência, passaram a percebê-la como parceira acessível e colaborativa (Fahy, 2022; Alaassar et al., 2021).</w:t>
      </w:r>
    </w:p>
    <w:p w14:paraId="0DE3CB17" w14:textId="0EF20000" w:rsidR="00EA239D" w:rsidRPr="00EA239D" w:rsidRDefault="00B47B29" w:rsidP="00F969FA">
      <w:pPr>
        <w:spacing w:after="200" w:line="360" w:lineRule="auto"/>
        <w:ind w:firstLine="720"/>
        <w:jc w:val="both"/>
        <w:rPr>
          <w:lang w:eastAsia="en-US"/>
        </w:rPr>
      </w:pPr>
      <w:r w:rsidRPr="008F5D87">
        <w:t>Em relação à</w:t>
      </w:r>
      <w:r w:rsidR="00EA239D" w:rsidRPr="00EA239D">
        <w:rPr>
          <w:lang w:eastAsia="en-US"/>
        </w:rPr>
        <w:t xml:space="preserve"> diversidade de modelos</w:t>
      </w:r>
      <w:r w:rsidRPr="008F5D87">
        <w:t>,</w:t>
      </w:r>
      <w:r w:rsidR="00EA239D" w:rsidRPr="00EA239D">
        <w:rPr>
          <w:lang w:eastAsia="en-US"/>
        </w:rPr>
        <w:t xml:space="preserve"> identificada na literatura</w:t>
      </w:r>
      <w:r w:rsidRPr="008F5D87">
        <w:t>, isso</w:t>
      </w:r>
      <w:r w:rsidR="00EA239D" w:rsidRPr="00EA239D">
        <w:rPr>
          <w:lang w:eastAsia="en-US"/>
        </w:rPr>
        <w:t xml:space="preserve"> evidencia que </w:t>
      </w:r>
      <w:r w:rsidR="00EA239D" w:rsidRPr="00EA239D">
        <w:rPr>
          <w:b/>
          <w:bCs/>
          <w:lang w:eastAsia="en-US"/>
        </w:rPr>
        <w:t>não existe um desenho único de sandbox regulatório</w:t>
      </w:r>
      <w:r w:rsidR="00EA239D" w:rsidRPr="00EA239D">
        <w:rPr>
          <w:lang w:eastAsia="en-US"/>
        </w:rPr>
        <w:t>. As configurações variam quanto ao escopo — temático ou aberto —, à estrutura operacional — como o modelo israelense de duas faixas, uma para licenciamento e outra para supervisão (Plato-Shinar, 2021) —, ao período de funcionamento — cíclico ou permanente, como o formato always open adotado pela FCA (Financial Conduct Authority, 2024) — e ao nível de suporte tecnológico e financeiro oferecido (Wang, 2022). A escolha do modelo deve estar alinhada aos objetivos regulatórios, às capacidades de supervisão do órgão e às especificidades do setor, tendo a proteção ao consumidor como pilar estruturante (Gómez Santos, 2021; McCallum &amp; Aziakpono, 2021). Para fins metodológicos, o Framework de Dimensões proposto por Schittekatte et al. (2021) — que contempla critérios como promotores elegíveis, administração, derrogações, duração, financiamento público, transparência e processo de candidatura — apresenta-se como uma ferramenta estruturada para comparar diferentes experiências de sandbox, sendo adotado na segunda etapa desta tese para mapear os projetos aprovados no Brasil entre 2021 e 2024.</w:t>
      </w:r>
    </w:p>
    <w:p w14:paraId="4E61D754" w14:textId="76CE2268" w:rsidR="00EA239D" w:rsidRPr="008F5D87" w:rsidRDefault="00EA239D" w:rsidP="00F969FA">
      <w:pPr>
        <w:spacing w:line="360" w:lineRule="auto"/>
        <w:ind w:firstLine="720"/>
        <w:jc w:val="both"/>
      </w:pPr>
      <w:r w:rsidRPr="00EA239D">
        <w:rPr>
          <w:lang w:eastAsia="en-US"/>
        </w:rPr>
        <w:t xml:space="preserve">Por fim, a análise da literatura aponta lacunas de pesquisa relevantes que orientam a agenda investigativa futura. </w:t>
      </w:r>
      <w:r w:rsidRPr="00EA239D">
        <w:rPr>
          <w:b/>
          <w:bCs/>
          <w:lang w:eastAsia="en-US"/>
        </w:rPr>
        <w:t>Há escassez de estudos que avaliem os efeitos de longo prazo dos sandboxes regulatórios,</w:t>
      </w:r>
      <w:r w:rsidRPr="00EA239D">
        <w:rPr>
          <w:lang w:eastAsia="en-US"/>
        </w:rPr>
        <w:t xml:space="preserve"> bem como de pesquisas comparativas entre jurisdições e setores distintos (Plato-Shinar, 2021). A predominância de estudos no setor financeiro contrasta com o potencial ainda pouco explorado do instrumento em áreas como saúde, energia e tecnologia. Ademais, são necessárias investigações que considerem os impactos socioeconômicos e políticos da ferramenta, incluindo questões de equidade e acesso (Brown &amp; Piroska, 2021), bem como análises críticas sobre o design e a percepção dos participantes acerca das expectativas regulatórias (Kera &amp; Kalvas, 2022). A adaptação dos sandboxes a diferentes contextos regulatórios nacionais e a construção de um arcabouço mais coerente para a seleção de casos também figuram como prioridades (Ahern, 2021; Veseli et al., 2021). Nesse sentido, um estudo </w:t>
      </w:r>
      <w:r w:rsidRPr="00EA239D">
        <w:rPr>
          <w:lang w:eastAsia="en-US"/>
        </w:rPr>
        <w:lastRenderedPageBreak/>
        <w:t>sobre a implementação do sandbox nas Agências Reguladoras brasileiras — abrangendo setores como saúde, energia elétrica, transportes e comunicações — representa uma contribuição direta ao preenchimento dessas lacunas, o que constitui precisamente o objeto dos estudos subsequentes desta tese.</w:t>
      </w:r>
    </w:p>
    <w:p w14:paraId="06EA90A1" w14:textId="77777777" w:rsidR="00B47B29" w:rsidRPr="008F5D87" w:rsidRDefault="00B47B29" w:rsidP="00F969FA">
      <w:pPr>
        <w:spacing w:line="360" w:lineRule="auto"/>
        <w:ind w:firstLine="720"/>
        <w:jc w:val="both"/>
      </w:pPr>
    </w:p>
    <w:p w14:paraId="2E6FA1AC" w14:textId="77F35043" w:rsidR="00F969FA" w:rsidRPr="008F5D87" w:rsidRDefault="00EA239D" w:rsidP="00F969FA">
      <w:pPr>
        <w:spacing w:after="240" w:line="360" w:lineRule="auto"/>
      </w:pPr>
      <w:r w:rsidRPr="008F5D87">
        <w:rPr>
          <w:b/>
        </w:rPr>
        <w:t xml:space="preserve">4.2 - </w:t>
      </w:r>
      <w:r w:rsidR="00000000" w:rsidRPr="008F5D87">
        <w:rPr>
          <w:b/>
        </w:rPr>
        <w:t>Panorama da Implementação no Brasil</w:t>
      </w:r>
    </w:p>
    <w:p w14:paraId="5427F827" w14:textId="77777777" w:rsidR="000C3905" w:rsidRPr="008F5D87" w:rsidRDefault="000C3905" w:rsidP="000C3905">
      <w:pPr>
        <w:spacing w:line="360" w:lineRule="auto"/>
        <w:ind w:firstLine="720"/>
        <w:jc w:val="both"/>
        <w:rPr>
          <w:lang w:eastAsia="en-US"/>
        </w:rPr>
      </w:pPr>
      <w:r w:rsidRPr="008F5D87">
        <w:rPr>
          <w:lang w:eastAsia="en-US"/>
        </w:rPr>
        <w:t xml:space="preserve">A análise do panorama atual confirma a hipótese de disparidade na implementação do </w:t>
      </w:r>
      <w:r w:rsidRPr="008F5D87">
        <w:rPr>
          <w:i/>
          <w:iCs/>
          <w:lang w:eastAsia="en-US"/>
        </w:rPr>
        <w:t>sandbox</w:t>
      </w:r>
      <w:r w:rsidRPr="008F5D87">
        <w:rPr>
          <w:lang w:eastAsia="en-US"/>
        </w:rPr>
        <w:t xml:space="preserve"> regulatório entre as Agências Reguladoras federais brasileiras. Até dezembro de 2024, apenas seis das onze agências — ANA, ANAC, ANATEL, ANEEL, ANTT e ANS — possuíam </w:t>
      </w:r>
      <w:r w:rsidRPr="008F5D87">
        <w:rPr>
          <w:i/>
          <w:iCs/>
          <w:lang w:eastAsia="en-US"/>
        </w:rPr>
        <w:t>sandbox</w:t>
      </w:r>
      <w:r w:rsidRPr="008F5D87">
        <w:rPr>
          <w:lang w:eastAsia="en-US"/>
        </w:rPr>
        <w:t xml:space="preserve"> implementado, representando 55% do total; ANVISA e ANTAQ encontravam-se em fase avançada de regulamentação, com minutas publicadas; e ANCINE, ANM e ANP ainda não haviam iniciado qualquer processo nesse sentido. Do ponto de vista do modelo adotado, todas as agências com </w:t>
      </w:r>
      <w:r w:rsidRPr="008F5D87">
        <w:rPr>
          <w:i/>
          <w:iCs/>
          <w:lang w:eastAsia="en-US"/>
        </w:rPr>
        <w:t>sandbox</w:t>
      </w:r>
      <w:r w:rsidRPr="008F5D87">
        <w:rPr>
          <w:lang w:eastAsia="en-US"/>
        </w:rPr>
        <w:t xml:space="preserve"> implementado optaram pelo formato de </w:t>
      </w:r>
      <w:r w:rsidRPr="008F5D87">
        <w:rPr>
          <w:b/>
          <w:bCs/>
          <w:lang w:eastAsia="en-US"/>
        </w:rPr>
        <w:t>escopo restrito com entrada programada</w:t>
      </w:r>
      <w:r w:rsidRPr="008F5D87">
        <w:rPr>
          <w:lang w:eastAsia="en-US"/>
        </w:rPr>
        <w:t xml:space="preserve">, no qual a agência define previamente o tema, estabelece período de inscrição e conduz processo seletivo estruturado. Essa escolha, justificada pela ANVISA em seu Relatório de AIR (2024) como a alternativa que melhor otimiza recursos institucionais e oferece previsibilidade ao setor regulado, reflete uma postura de </w:t>
      </w:r>
      <w:r w:rsidRPr="008F5D87">
        <w:rPr>
          <w:b/>
          <w:bCs/>
          <w:lang w:eastAsia="en-US"/>
        </w:rPr>
        <w:t>cautela institucional coerente com a fase inicial de aprendizagem regulatória</w:t>
      </w:r>
      <w:r w:rsidRPr="008F5D87">
        <w:rPr>
          <w:lang w:eastAsia="en-US"/>
        </w:rPr>
        <w:t xml:space="preserve"> — e alinhada à recomendação do World Bank Group (2020) de que escopos mais restritos contribuem para a minimização de riscos. A exceção relevante é a ANTT, que, embora formalmente adote o mesmo modelo, opera na prática um </w:t>
      </w:r>
      <w:r w:rsidRPr="008F5D87">
        <w:rPr>
          <w:b/>
          <w:bCs/>
          <w:lang w:eastAsia="en-US"/>
        </w:rPr>
        <w:t>formato híbrido</w:t>
      </w:r>
      <w:r w:rsidRPr="008F5D87">
        <w:rPr>
          <w:lang w:eastAsia="en-US"/>
        </w:rPr>
        <w:t xml:space="preserve">: parte de seus projetos, como o </w:t>
      </w:r>
      <w:r w:rsidRPr="008F5D87">
        <w:rPr>
          <w:i/>
          <w:iCs/>
          <w:lang w:eastAsia="en-US"/>
        </w:rPr>
        <w:t>sandbox</w:t>
      </w:r>
      <w:r w:rsidRPr="008F5D87">
        <w:rPr>
          <w:lang w:eastAsia="en-US"/>
        </w:rPr>
        <w:t xml:space="preserve"> HS-WIM (</w:t>
      </w:r>
      <w:r w:rsidRPr="008F5D87">
        <w:rPr>
          <w:i/>
          <w:iCs/>
          <w:lang w:eastAsia="en-US"/>
        </w:rPr>
        <w:t>High Speed Weigh-In-Motion</w:t>
      </w:r>
      <w:r w:rsidRPr="008F5D87">
        <w:rPr>
          <w:lang w:eastAsia="en-US"/>
        </w:rPr>
        <w:t>), foram iniciados a partir de demandas do próprio setor regulado, demonstrando maior abertura à inovação emergente — e, como se verá, com resultados concretos já mensuráveis.</w:t>
      </w:r>
    </w:p>
    <w:p w14:paraId="1C67C07E" w14:textId="77777777" w:rsidR="000C3905" w:rsidRPr="008F5D87" w:rsidRDefault="000C3905" w:rsidP="000C3905">
      <w:pPr>
        <w:spacing w:line="360" w:lineRule="auto"/>
        <w:ind w:firstLine="720"/>
        <w:jc w:val="both"/>
        <w:rPr>
          <w:lang w:eastAsia="en-US"/>
        </w:rPr>
      </w:pPr>
      <w:r w:rsidRPr="008F5D87">
        <w:rPr>
          <w:lang w:eastAsia="en-US"/>
        </w:rPr>
        <w:t xml:space="preserve">No que se refere à base legal e à </w:t>
      </w:r>
      <w:r w:rsidRPr="008F5D87">
        <w:rPr>
          <w:b/>
          <w:bCs/>
          <w:lang w:eastAsia="en-US"/>
        </w:rPr>
        <w:t>estruturação normativa, o cenário é igualmente heterogêneo.</w:t>
      </w:r>
      <w:r w:rsidRPr="008F5D87">
        <w:rPr>
          <w:lang w:eastAsia="en-US"/>
        </w:rPr>
        <w:t xml:space="preserve"> Algumas agências estabeleceram regulamentos gerais — como a ANTT (Resolução nº 5.999/2022) e a ANS (Resolução Normativa nº 621/2024) —, enquanto outras, como ANA, ANAC, ANEEL e ANP, adotaram regulamentações específicas por tema ou projeto. A ANATEL opera por meio de um "contorno regulatório", autorizando projetos caso a caso pelo Conselho Diretor, sem marco regulatório geral aprovado — modelo que, embora funcional, apresenta riscos de governança e foi objeto de recomendações da CGU (2024) para que a agência estruture fluxos detalhados, critérios de seleção transparentes e mecanismos de comunicação com o setor regulado. Quanto aos projetos em andamento, apenas cinco agências </w:t>
      </w:r>
      <w:r w:rsidRPr="008F5D87">
        <w:rPr>
          <w:lang w:eastAsia="en-US"/>
        </w:rPr>
        <w:lastRenderedPageBreak/>
        <w:t xml:space="preserve">tinham iniciativas em funcionamento até dezembro de 2024, totalizando 20 projetos. Destes, o </w:t>
      </w:r>
      <w:r w:rsidRPr="008F5D87">
        <w:rPr>
          <w:i/>
          <w:iCs/>
          <w:lang w:eastAsia="en-US"/>
        </w:rPr>
        <w:t>sandbox</w:t>
      </w:r>
      <w:r w:rsidRPr="008F5D87">
        <w:rPr>
          <w:lang w:eastAsia="en-US"/>
        </w:rPr>
        <w:t xml:space="preserve"> HS-WIM da ANTT é o único com dados concretos e monitoramento transparente publicado, apresentando resultados preliminares positivos: redução de 82–87% no tempo de pesagem em relação ao sistema tradicional, eliminação de filas e congestionamentos, e redução de 20,4% nas emissões de CO₂. As demais agências encontram-se em fases iniciais, com cronogramas que projetam resultados entre 2025 e 2027, ou ainda sem informações oficiais disponíveis.</w:t>
      </w:r>
    </w:p>
    <w:p w14:paraId="535070D2" w14:textId="77777777" w:rsidR="000C3905" w:rsidRPr="008F5D87" w:rsidRDefault="000C3905" w:rsidP="000C3905">
      <w:pPr>
        <w:spacing w:line="360" w:lineRule="auto"/>
        <w:ind w:firstLine="720"/>
        <w:jc w:val="both"/>
        <w:rPr>
          <w:lang w:eastAsia="en-US"/>
        </w:rPr>
      </w:pPr>
      <w:r w:rsidRPr="008F5D87">
        <w:rPr>
          <w:lang w:eastAsia="en-US"/>
        </w:rPr>
        <w:t xml:space="preserve">A análise comparativa por meio do </w:t>
      </w:r>
      <w:r w:rsidRPr="008F5D87">
        <w:rPr>
          <w:i/>
          <w:iCs/>
          <w:lang w:eastAsia="en-US"/>
        </w:rPr>
        <w:t>Framework</w:t>
      </w:r>
      <w:r w:rsidRPr="008F5D87">
        <w:rPr>
          <w:lang w:eastAsia="en-US"/>
        </w:rPr>
        <w:t xml:space="preserve"> das Sete Dimensões revela padrões relevantes e oportunidades de aprimoramento. As dimensões de </w:t>
      </w:r>
      <w:r w:rsidRPr="008F5D87">
        <w:rPr>
          <w:b/>
          <w:bCs/>
          <w:lang w:eastAsia="en-US"/>
        </w:rPr>
        <w:t>derrogações</w:t>
      </w:r>
      <w:r w:rsidRPr="008F5D87">
        <w:rPr>
          <w:lang w:eastAsia="en-US"/>
        </w:rPr>
        <w:t xml:space="preserve"> e </w:t>
      </w:r>
      <w:r w:rsidRPr="008F5D87">
        <w:rPr>
          <w:b/>
          <w:bCs/>
          <w:lang w:eastAsia="en-US"/>
        </w:rPr>
        <w:t>duração</w:t>
      </w:r>
      <w:r w:rsidRPr="008F5D87">
        <w:rPr>
          <w:lang w:eastAsia="en-US"/>
        </w:rPr>
        <w:t xml:space="preserve"> são aquelas em que as agências apresentam desempenho mais uniforme e satisfatório: em todos os casos, as regras a serem flexibilizadas </w:t>
      </w:r>
      <w:r w:rsidRPr="008F5D87">
        <w:rPr>
          <w:b/>
          <w:bCs/>
          <w:lang w:eastAsia="en-US"/>
        </w:rPr>
        <w:t>estão claramente definidas</w:t>
      </w:r>
      <w:r w:rsidRPr="008F5D87">
        <w:rPr>
          <w:lang w:eastAsia="en-US"/>
        </w:rPr>
        <w:t xml:space="preserve">, e os prazos — que variam de 12 meses (ANVISA) a 5 anos (ANA), com média de 24 meses e possibilidade de prorrogação — são bem estabelecidos. Destacam-se positivamente o modelo iterativo da ANVISA, que personaliza as flexibilizações em ciclos de discussão com cada empresa participante, e a ANTT, que operacionaliza as derrogações por meio de termos aditivos contratuais, garantindo a personalização necessária a cada projeto. Em contrapartida, a dimensão de </w:t>
      </w:r>
      <w:r w:rsidRPr="008F5D87">
        <w:rPr>
          <w:b/>
          <w:bCs/>
          <w:lang w:eastAsia="en-US"/>
        </w:rPr>
        <w:t>administração e governança é a que apresenta maior fragilidade:</w:t>
      </w:r>
      <w:r w:rsidRPr="008F5D87">
        <w:rPr>
          <w:lang w:eastAsia="en-US"/>
        </w:rPr>
        <w:t xml:space="preserve"> a maioria das agências adota definições simplificadas de papéis e responsabilidades, com a ANEEL se destacando como referência por sua estrutura bem definida e regulamentação específica. A dimensão de </w:t>
      </w:r>
      <w:r w:rsidRPr="008F5D87">
        <w:rPr>
          <w:b/>
          <w:bCs/>
          <w:lang w:eastAsia="en-US"/>
        </w:rPr>
        <w:t>financiamento público</w:t>
      </w:r>
      <w:r w:rsidRPr="008F5D87">
        <w:rPr>
          <w:lang w:eastAsia="en-US"/>
        </w:rPr>
        <w:t xml:space="preserve"> é a única em que nenhuma agência se destaca positivamente — nenhuma oferece apoio financeiro direto aos participantes, sendo a ANEEL a única a utilizar recursos de P&amp;D regulados; os custos operacionais recaem integralmente sobre os participantes. Por fim, </w:t>
      </w:r>
      <w:r w:rsidRPr="008F5D87">
        <w:rPr>
          <w:b/>
          <w:bCs/>
          <w:lang w:eastAsia="en-US"/>
        </w:rPr>
        <w:t>transparência</w:t>
      </w:r>
      <w:r w:rsidRPr="008F5D87">
        <w:rPr>
          <w:lang w:eastAsia="en-US"/>
        </w:rPr>
        <w:t xml:space="preserve"> e </w:t>
      </w:r>
      <w:r w:rsidRPr="008F5D87">
        <w:rPr>
          <w:b/>
          <w:bCs/>
          <w:lang w:eastAsia="en-US"/>
        </w:rPr>
        <w:t>processo de aplicação</w:t>
      </w:r>
      <w:r w:rsidRPr="008F5D87">
        <w:rPr>
          <w:lang w:eastAsia="en-US"/>
        </w:rPr>
        <w:t xml:space="preserve"> apresentam </w:t>
      </w:r>
      <w:r w:rsidRPr="008F5D87">
        <w:rPr>
          <w:b/>
          <w:bCs/>
          <w:lang w:eastAsia="en-US"/>
        </w:rPr>
        <w:t>desempenho variado</w:t>
      </w:r>
      <w:r w:rsidRPr="008F5D87">
        <w:rPr>
          <w:lang w:eastAsia="en-US"/>
        </w:rPr>
        <w:t xml:space="preserve">: ANEEL, ANTT e ANS se destacam positivamente, enquanto a ANA apresenta as limitações mais significativas em ambas as dimensões. Em síntese, o cenário brasileiro evidencia um processo de aprendizagem regulatória em curso, com avanços concretos em dimensões estruturais e lacunas persistentes em governança, financiamento e transparência — aspectos que, se endereçados, podem ampliar significativamente a efetividade dos </w:t>
      </w:r>
      <w:r w:rsidRPr="008F5D87">
        <w:rPr>
          <w:i/>
          <w:iCs/>
          <w:lang w:eastAsia="en-US"/>
        </w:rPr>
        <w:t>sandboxes</w:t>
      </w:r>
      <w:r w:rsidRPr="008F5D87">
        <w:rPr>
          <w:lang w:eastAsia="en-US"/>
        </w:rPr>
        <w:t xml:space="preserve"> como instrumentos de inovação regulatória.</w:t>
      </w:r>
    </w:p>
    <w:p w14:paraId="172A6FE7" w14:textId="77777777" w:rsidR="00F969FA" w:rsidRPr="008F5D87" w:rsidRDefault="00F969FA">
      <w:pPr>
        <w:spacing w:line="360" w:lineRule="auto"/>
      </w:pPr>
    </w:p>
    <w:p w14:paraId="72A78BBD" w14:textId="4F6CACB5" w:rsidR="009C7C4A" w:rsidRPr="008F5D87" w:rsidRDefault="00EA239D">
      <w:pPr>
        <w:spacing w:line="360" w:lineRule="auto"/>
      </w:pPr>
      <w:r w:rsidRPr="008F5D87">
        <w:rPr>
          <w:b/>
        </w:rPr>
        <w:t xml:space="preserve">4.3 - </w:t>
      </w:r>
      <w:r w:rsidR="00000000" w:rsidRPr="008F5D87">
        <w:rPr>
          <w:b/>
        </w:rPr>
        <w:t>Avaliação de Maturidade</w:t>
      </w:r>
    </w:p>
    <w:p w14:paraId="50A90103" w14:textId="77777777" w:rsidR="002F144A" w:rsidRPr="008F5D87" w:rsidRDefault="002F144A" w:rsidP="002F144A">
      <w:pPr>
        <w:spacing w:line="360" w:lineRule="auto"/>
        <w:ind w:firstLine="720"/>
        <w:jc w:val="both"/>
        <w:rPr>
          <w:lang w:eastAsia="en-US"/>
        </w:rPr>
      </w:pPr>
      <w:r w:rsidRPr="008F5D87">
        <w:rPr>
          <w:lang w:eastAsia="en-US"/>
        </w:rPr>
        <w:t xml:space="preserve">Esta pesquisa adota uma abordagem qualiquantitativa de estudo de casos múltiplos holísticos (Yin, 2018), tendo como fenômeno investigado a maturidade da implementação do </w:t>
      </w:r>
      <w:r w:rsidRPr="008F5D87">
        <w:rPr>
          <w:i/>
          <w:iCs/>
          <w:lang w:eastAsia="en-US"/>
        </w:rPr>
        <w:t>sandbox</w:t>
      </w:r>
      <w:r w:rsidRPr="008F5D87">
        <w:rPr>
          <w:lang w:eastAsia="en-US"/>
        </w:rPr>
        <w:t xml:space="preserve"> regulatório nas Agências Reguladoras brasileiras que implementaram ou possuem </w:t>
      </w:r>
      <w:r w:rsidRPr="008F5D87">
        <w:rPr>
          <w:lang w:eastAsia="en-US"/>
        </w:rPr>
        <w:lastRenderedPageBreak/>
        <w:t xml:space="preserve">normativos sobre o instrumento. Cada agência é tratada como um caso individual, analisado em profundidade por meio de um protocolo padronizado que avalia sua aderência ao Guia Referencial de </w:t>
      </w:r>
      <w:r w:rsidRPr="008F5D87">
        <w:rPr>
          <w:i/>
          <w:iCs/>
          <w:lang w:eastAsia="en-US"/>
        </w:rPr>
        <w:t>Sandbox</w:t>
      </w:r>
      <w:r w:rsidRPr="008F5D87">
        <w:rPr>
          <w:lang w:eastAsia="en-US"/>
        </w:rPr>
        <w:t xml:space="preserve"> Regulatório (AGU, 2024) — escolha que se justifica pela oportunidade de replicação literal e teórica (Yin, 2018), permitindo a comparação entre agências, a identificação de padrões e a análise de fatores contextuais que influenciam os níveis de maturidade. A coleta de dados foi realizada por meio de pesquisa documental abrangente — com análise de 153 documentos obtidos nos portais das agências e do Governo Federal, incluindo normativos, guias técnicos, processos com acesso aberto, relatórios de monitoramento, respostas a demandas da Lei de Acesso à Informação (LAI) e o Relatório da CGU (2024) —, seguida da elaboração de um formulário estruturado com 62 critérios derivados das boas práticas do Guia da AGU, agrupados nas quatro fases do </w:t>
      </w:r>
      <w:r w:rsidRPr="008F5D87">
        <w:rPr>
          <w:i/>
          <w:iCs/>
          <w:lang w:eastAsia="en-US"/>
        </w:rPr>
        <w:t>sandbox</w:t>
      </w:r>
      <w:r w:rsidRPr="008F5D87">
        <w:rPr>
          <w:lang w:eastAsia="en-US"/>
        </w:rPr>
        <w:t xml:space="preserve"> (diagnóstico e concepção; definição e desenvolvimento; experimentação; encerramento) e em dois elementos transversais (transparência e participação social; análise jurídica), disponível em </w:t>
      </w:r>
      <w:hyperlink r:id="rId7" w:tgtFrame="_blank" w:history="1">
        <w:r w:rsidRPr="008F5D87">
          <w:rPr>
            <w:u w:val="single"/>
            <w:lang w:eastAsia="en-US"/>
          </w:rPr>
          <w:t>https://form.jotform.com/250263278725056</w:t>
        </w:r>
      </w:hyperlink>
      <w:r w:rsidRPr="008F5D87">
        <w:rPr>
          <w:u w:val="single"/>
          <w:lang w:eastAsia="en-US"/>
        </w:rPr>
        <w:t>.</w:t>
      </w:r>
    </w:p>
    <w:p w14:paraId="7E98A8BA" w14:textId="77777777" w:rsidR="002F144A" w:rsidRPr="008F5D87" w:rsidRDefault="002F144A" w:rsidP="002F144A">
      <w:pPr>
        <w:spacing w:line="360" w:lineRule="auto"/>
        <w:ind w:firstLine="720"/>
        <w:jc w:val="both"/>
        <w:rPr>
          <w:lang w:eastAsia="en-US"/>
        </w:rPr>
      </w:pPr>
      <w:r w:rsidRPr="008F5D87">
        <w:rPr>
          <w:lang w:eastAsia="en-US"/>
        </w:rPr>
        <w:t xml:space="preserve">A análise dos dados combinou avaliação documental qualitativa com mensuração quantitativa da aderência, por meio de uma escala adaptada de Likert (Joshi et al., 2015; Saab, 2023), que varia de 0% (nenhuma adesão) a 100% (adesão total) em cinco níveis — nenhuma, baixa, média, alta e total —, com critérios de evidência objetivos e padronizados para cada patamar. O formulário calcula automaticamente a média de aderência por etapa e por agência, possibilitando comparações sistemáticas entre casos. A partir dos percentuais de aderência obtidos, os níveis de maturidade foram definidos em correlação com a estrutura métrica adotada pelo TCU (2018): </w:t>
      </w:r>
      <w:r w:rsidRPr="008F5D87">
        <w:rPr>
          <w:b/>
          <w:bCs/>
          <w:lang w:eastAsia="en-US"/>
        </w:rPr>
        <w:t>inexpressiva</w:t>
      </w:r>
      <w:r w:rsidRPr="008F5D87">
        <w:rPr>
          <w:lang w:eastAsia="en-US"/>
        </w:rPr>
        <w:t xml:space="preserve"> (0–14,9%), </w:t>
      </w:r>
      <w:r w:rsidRPr="008F5D87">
        <w:rPr>
          <w:b/>
          <w:bCs/>
          <w:lang w:eastAsia="en-US"/>
        </w:rPr>
        <w:t>inicial</w:t>
      </w:r>
      <w:r w:rsidRPr="008F5D87">
        <w:rPr>
          <w:lang w:eastAsia="en-US"/>
        </w:rPr>
        <w:t xml:space="preserve"> (15–49,9%), </w:t>
      </w:r>
      <w:r w:rsidRPr="008F5D87">
        <w:rPr>
          <w:b/>
          <w:bCs/>
          <w:lang w:eastAsia="en-US"/>
        </w:rPr>
        <w:t>intermediária</w:t>
      </w:r>
      <w:r w:rsidRPr="008F5D87">
        <w:rPr>
          <w:lang w:eastAsia="en-US"/>
        </w:rPr>
        <w:t xml:space="preserve"> (50–79,9%) e </w:t>
      </w:r>
      <w:r w:rsidRPr="008F5D87">
        <w:rPr>
          <w:b/>
          <w:bCs/>
          <w:lang w:eastAsia="en-US"/>
        </w:rPr>
        <w:t>aprimorada</w:t>
      </w:r>
      <w:r w:rsidRPr="008F5D87">
        <w:rPr>
          <w:lang w:eastAsia="en-US"/>
        </w:rPr>
        <w:t xml:space="preserve"> (acima de 80%). É importante ressaltar que a avaliação se baseou exclusivamente nas informações disponibilizadas nos documentos oficiais e portais institucionais das agências, nos termos do Art. 8º da Lei de Acesso à Informação (Lei nº 12.527/2011) — o que implica que práticas implementadas, mas não adequadamente documentadas, podem ter impactado negativamente os resultados; todas as avaliações foram acompanhadas do registro detalhado das evidências no formulário, garantindo a transparência e a rastreabilidade metodológica do estudo.</w:t>
      </w:r>
    </w:p>
    <w:p w14:paraId="189F6B40" w14:textId="77777777" w:rsidR="000C3905" w:rsidRPr="008F5D87" w:rsidRDefault="000C3905">
      <w:pPr>
        <w:spacing w:line="360" w:lineRule="auto"/>
      </w:pPr>
    </w:p>
    <w:p w14:paraId="1C589F4D" w14:textId="46EF6FC3" w:rsidR="009C7C4A" w:rsidRPr="008F5D87" w:rsidRDefault="00EA239D">
      <w:pPr>
        <w:spacing w:line="360" w:lineRule="auto"/>
      </w:pPr>
      <w:r w:rsidRPr="008F5D87">
        <w:rPr>
          <w:b/>
        </w:rPr>
        <w:t>4.</w:t>
      </w:r>
      <w:r w:rsidR="004F3EC0" w:rsidRPr="008F5D87">
        <w:rPr>
          <w:b/>
        </w:rPr>
        <w:t>4</w:t>
      </w:r>
      <w:r w:rsidRPr="008F5D87">
        <w:rPr>
          <w:b/>
        </w:rPr>
        <w:t xml:space="preserve"> - </w:t>
      </w:r>
      <w:r w:rsidR="00000000" w:rsidRPr="008F5D87">
        <w:rPr>
          <w:b/>
        </w:rPr>
        <w:t xml:space="preserve">Framework Analítico </w:t>
      </w:r>
    </w:p>
    <w:p w14:paraId="170079C1" w14:textId="77777777" w:rsidR="004F3EC0" w:rsidRPr="008F5D87" w:rsidRDefault="004F3EC0" w:rsidP="004F3EC0">
      <w:pPr>
        <w:spacing w:line="360" w:lineRule="auto"/>
        <w:ind w:firstLine="720"/>
        <w:jc w:val="both"/>
        <w:rPr>
          <w:lang w:eastAsia="en-US"/>
        </w:rPr>
      </w:pPr>
      <w:r w:rsidRPr="008F5D87">
        <w:rPr>
          <w:lang w:eastAsia="en-US"/>
        </w:rPr>
        <w:t xml:space="preserve">A culminação desta tese não se encerra no diagnóstico — ela se materializa em um </w:t>
      </w:r>
      <w:r w:rsidRPr="008F5D87">
        <w:rPr>
          <w:i/>
          <w:iCs/>
          <w:lang w:eastAsia="en-US"/>
        </w:rPr>
        <w:t>framework</w:t>
      </w:r>
      <w:r w:rsidRPr="008F5D87">
        <w:rPr>
          <w:lang w:eastAsia="en-US"/>
        </w:rPr>
        <w:t xml:space="preserve"> analítico de dupla função, construído a partir da consolidação dos três estudos por meio de uma rede integrada de conceitos interligados (Jabareen, 2009). Como </w:t>
      </w:r>
      <w:r w:rsidRPr="008F5D87">
        <w:rPr>
          <w:b/>
          <w:bCs/>
          <w:lang w:eastAsia="en-US"/>
        </w:rPr>
        <w:t xml:space="preserve">instrumento de </w:t>
      </w:r>
      <w:r w:rsidRPr="008F5D87">
        <w:rPr>
          <w:b/>
          <w:bCs/>
          <w:lang w:eastAsia="en-US"/>
        </w:rPr>
        <w:lastRenderedPageBreak/>
        <w:t>planejamento</w:t>
      </w:r>
      <w:r w:rsidRPr="008F5D87">
        <w:rPr>
          <w:lang w:eastAsia="en-US"/>
        </w:rPr>
        <w:t xml:space="preserve">, oferece um roteiro estruturado para o desenho de novos </w:t>
      </w:r>
      <w:r w:rsidRPr="008F5D87">
        <w:rPr>
          <w:i/>
          <w:iCs/>
          <w:lang w:eastAsia="en-US"/>
        </w:rPr>
        <w:t>sandboxes</w:t>
      </w:r>
      <w:r w:rsidRPr="008F5D87">
        <w:rPr>
          <w:lang w:eastAsia="en-US"/>
        </w:rPr>
        <w:t xml:space="preserve">, aumentando a robustez dos processos e contribuindo para que os resultados dos experimentos se traduzam em mudanças regulatórias efetivas (Mazzucato, 2014). Como </w:t>
      </w:r>
      <w:r w:rsidRPr="008F5D87">
        <w:rPr>
          <w:b/>
          <w:bCs/>
          <w:lang w:eastAsia="en-US"/>
        </w:rPr>
        <w:t>instrumento de avaliação</w:t>
      </w:r>
      <w:r w:rsidRPr="008F5D87">
        <w:rPr>
          <w:lang w:eastAsia="en-US"/>
        </w:rPr>
        <w:t>, permite que gestores, executores e avaliadores identifiquem pontos fortes e lacunas em programas existentes, considerando os estágios evolutivos pelos quais as instituições passam no desenvolvimento de suas práticas (Pöppelbuß; Röglinger, 2011; Mettler, 2011) e as melhores práticas preconizadas para uma experimentação regulatória efetiva (AGU, 2024; Schittekatte et al., 2021; Beckstedde et al., 2023). Sua estrutura está alicerçada em três perspectivas complementares e integradas: (</w:t>
      </w:r>
      <w:r w:rsidRPr="008F5D87">
        <w:rPr>
          <w:i/>
          <w:iCs/>
          <w:lang w:eastAsia="en-US"/>
        </w:rPr>
        <w:t>i</w:t>
      </w:r>
      <w:r w:rsidRPr="008F5D87">
        <w:rPr>
          <w:lang w:eastAsia="en-US"/>
        </w:rPr>
        <w:t xml:space="preserve">) </w:t>
      </w:r>
      <w:r w:rsidRPr="008F5D87">
        <w:rPr>
          <w:b/>
          <w:bCs/>
          <w:lang w:eastAsia="en-US"/>
        </w:rPr>
        <w:t>panorama regulatório</w:t>
      </w:r>
      <w:r w:rsidRPr="008F5D87">
        <w:rPr>
          <w:lang w:eastAsia="en-US"/>
        </w:rPr>
        <w:t xml:space="preserve">, que mapeia o estado atual da implementação dos </w:t>
      </w:r>
      <w:r w:rsidRPr="008F5D87">
        <w:rPr>
          <w:i/>
          <w:iCs/>
          <w:lang w:eastAsia="en-US"/>
        </w:rPr>
        <w:t>sandboxes</w:t>
      </w:r>
      <w:r w:rsidRPr="008F5D87">
        <w:rPr>
          <w:lang w:eastAsia="en-US"/>
        </w:rPr>
        <w:t xml:space="preserve"> nas agências e o desenvolvimento de instrumentos jurídicos que aprimorem a efetividade das políticas públicas (Bucci, 2013); (</w:t>
      </w:r>
      <w:r w:rsidRPr="008F5D87">
        <w:rPr>
          <w:i/>
          <w:iCs/>
          <w:lang w:eastAsia="en-US"/>
        </w:rPr>
        <w:t>ii</w:t>
      </w:r>
      <w:r w:rsidRPr="008F5D87">
        <w:rPr>
          <w:lang w:eastAsia="en-US"/>
        </w:rPr>
        <w:t xml:space="preserve">) </w:t>
      </w:r>
      <w:r w:rsidRPr="008F5D87">
        <w:rPr>
          <w:b/>
          <w:bCs/>
          <w:lang w:eastAsia="en-US"/>
        </w:rPr>
        <w:t>Framework das Sete Dimensões</w:t>
      </w:r>
      <w:r w:rsidRPr="008F5D87">
        <w:rPr>
          <w:lang w:eastAsia="en-US"/>
        </w:rPr>
        <w:t xml:space="preserve"> (Schittekatte et al., 2021; Beckstedde et al., 2023), que avalia aspectos críticos do </w:t>
      </w:r>
      <w:r w:rsidRPr="008F5D87">
        <w:rPr>
          <w:i/>
          <w:iCs/>
          <w:lang w:eastAsia="en-US"/>
        </w:rPr>
        <w:t>design</w:t>
      </w:r>
      <w:r w:rsidRPr="008F5D87">
        <w:rPr>
          <w:lang w:eastAsia="en-US"/>
        </w:rPr>
        <w:t xml:space="preserve"> dos ambientes experimentais; e (</w:t>
      </w:r>
      <w:r w:rsidRPr="008F5D87">
        <w:rPr>
          <w:i/>
          <w:iCs/>
          <w:lang w:eastAsia="en-US"/>
        </w:rPr>
        <w:t>iii</w:t>
      </w:r>
      <w:r w:rsidRPr="008F5D87">
        <w:rPr>
          <w:lang w:eastAsia="en-US"/>
        </w:rPr>
        <w:t xml:space="preserve">) </w:t>
      </w:r>
      <w:r w:rsidRPr="008F5D87">
        <w:rPr>
          <w:b/>
          <w:bCs/>
          <w:lang w:eastAsia="en-US"/>
        </w:rPr>
        <w:t>análise de aderência ao Guia AGU</w:t>
      </w:r>
      <w:r w:rsidRPr="008F5D87">
        <w:rPr>
          <w:lang w:eastAsia="en-US"/>
        </w:rPr>
        <w:t xml:space="preserve">, que examina o alinhamento às boas práticas do Guia Referencial de </w:t>
      </w:r>
      <w:r w:rsidRPr="008F5D87">
        <w:rPr>
          <w:i/>
          <w:iCs/>
          <w:lang w:eastAsia="en-US"/>
        </w:rPr>
        <w:t>Sandbox</w:t>
      </w:r>
      <w:r w:rsidRPr="008F5D87">
        <w:rPr>
          <w:lang w:eastAsia="en-US"/>
        </w:rPr>
        <w:t xml:space="preserve"> Regulatório (AGU, 2024). Essa abordagem multidimensional, conforme destacam Morse e Maddox (2014), permite uma compreensão mais aprofundada do fenômeno, indo além da mera descrição para estabelecer conexões significativas entre diferentes aspectos da implementação — funcionando, assim, como ponte entre a teoria e a prática e traduzindo o conhecimento acadêmico em produto de valor aplicável aos formuladores de políticas públicas.</w:t>
      </w:r>
    </w:p>
    <w:p w14:paraId="5F82C087" w14:textId="77777777" w:rsidR="004F3EC0" w:rsidRPr="008F5D87" w:rsidRDefault="004F3EC0" w:rsidP="004F3EC0">
      <w:pPr>
        <w:spacing w:line="360" w:lineRule="auto"/>
        <w:ind w:firstLine="720"/>
        <w:jc w:val="both"/>
        <w:rPr>
          <w:lang w:eastAsia="en-US"/>
        </w:rPr>
      </w:pPr>
      <w:r w:rsidRPr="008F5D87">
        <w:rPr>
          <w:lang w:eastAsia="en-US"/>
        </w:rPr>
        <w:t>A</w:t>
      </w:r>
      <w:r w:rsidRPr="008F5D87">
        <w:rPr>
          <w:lang w:eastAsia="en-US"/>
        </w:rPr>
        <w:t>ssim, as</w:t>
      </w:r>
      <w:r w:rsidRPr="008F5D87">
        <w:rPr>
          <w:lang w:eastAsia="en-US"/>
        </w:rPr>
        <w:t xml:space="preserve"> implicações do estudo desdobram-se em duas frentes complementares. No </w:t>
      </w:r>
      <w:r w:rsidRPr="008F5D87">
        <w:rPr>
          <w:b/>
          <w:bCs/>
          <w:lang w:eastAsia="en-US"/>
        </w:rPr>
        <w:t>campo prático</w:t>
      </w:r>
      <w:r w:rsidRPr="008F5D87">
        <w:rPr>
          <w:lang w:eastAsia="en-US"/>
        </w:rPr>
        <w:t xml:space="preserve"> a tese oferece diagnóstico claro e subsídios concretos para aprimorar a governança da inovação regulatória no Brasil: os resultados podem informar diretamente a atuação da AGU, da CGU e do MDIC na orientação das agências, bem como auxiliar as próprias agências a autoavaliarem e refinarem seus programas, com o </w:t>
      </w:r>
      <w:r w:rsidRPr="008F5D87">
        <w:rPr>
          <w:i/>
          <w:iCs/>
          <w:lang w:eastAsia="en-US"/>
        </w:rPr>
        <w:t>framework</w:t>
      </w:r>
      <w:r w:rsidRPr="008F5D87">
        <w:rPr>
          <w:lang w:eastAsia="en-US"/>
        </w:rPr>
        <w:t xml:space="preserve"> e o formulário de análise disponibilizados em anexo como instrumentos de uso imediato. No </w:t>
      </w:r>
      <w:r w:rsidRPr="008F5D87">
        <w:rPr>
          <w:b/>
          <w:bCs/>
          <w:lang w:eastAsia="en-US"/>
        </w:rPr>
        <w:t>campo acadêmico</w:t>
      </w:r>
      <w:r w:rsidRPr="008F5D87">
        <w:rPr>
          <w:lang w:eastAsia="en-US"/>
        </w:rPr>
        <w:t xml:space="preserve">, o trabalho preenche lacunas importantes na literatura nacional, oferecendo o primeiro panorama comparativo e avaliativo sistemático dos </w:t>
      </w:r>
      <w:r w:rsidRPr="008F5D87">
        <w:rPr>
          <w:i/>
          <w:iCs/>
          <w:lang w:eastAsia="en-US"/>
        </w:rPr>
        <w:t>sandboxes</w:t>
      </w:r>
      <w:r w:rsidRPr="008F5D87">
        <w:rPr>
          <w:lang w:eastAsia="en-US"/>
        </w:rPr>
        <w:t xml:space="preserve"> regulatórios no país e disponibilizando uma metodologia de análise de maturidade replicável e adaptável a diferentes contextos institucionais. </w:t>
      </w:r>
    </w:p>
    <w:p w14:paraId="084B945E" w14:textId="779D102F" w:rsidR="004F3EC0" w:rsidRPr="008F5D87" w:rsidRDefault="004F3EC0" w:rsidP="004F3EC0">
      <w:pPr>
        <w:spacing w:line="360" w:lineRule="auto"/>
        <w:ind w:firstLine="720"/>
        <w:jc w:val="both"/>
        <w:rPr>
          <w:lang w:eastAsia="en-US"/>
        </w:rPr>
      </w:pPr>
      <w:r w:rsidRPr="008F5D87">
        <w:rPr>
          <w:lang w:eastAsia="en-US"/>
        </w:rPr>
        <w:t>Em conjunto, esses produtos consolidam uma contribuição metodológica significativa para o campo da regulação experimental no Brasil — não como subproduto da investigação, mas como sua culminação natural: uma estrutura analítica que representa visualmente as experiências das Agências Reguladoras, organiza o mapeamento do cenário atual e oferece orientação estruturada para os ciclos futuros de experimentação regulatória.</w:t>
      </w:r>
    </w:p>
    <w:p w14:paraId="32F2FC2A" w14:textId="18AE131C" w:rsidR="009C7C4A" w:rsidRPr="008F5D87" w:rsidRDefault="00EA239D" w:rsidP="004F3EC0">
      <w:pPr>
        <w:spacing w:after="240" w:line="360" w:lineRule="auto"/>
      </w:pPr>
      <w:r w:rsidRPr="008F5D87">
        <w:rPr>
          <w:b/>
        </w:rPr>
        <w:lastRenderedPageBreak/>
        <w:t xml:space="preserve">5 - </w:t>
      </w:r>
      <w:r w:rsidR="00000000" w:rsidRPr="008F5D87">
        <w:rPr>
          <w:b/>
        </w:rPr>
        <w:t>CONCLUSÕES</w:t>
      </w:r>
    </w:p>
    <w:p w14:paraId="63E5367F" w14:textId="33F99C7E" w:rsidR="004F3EC0" w:rsidRPr="008F5D87" w:rsidRDefault="004F3EC0" w:rsidP="004F3EC0">
      <w:pPr>
        <w:spacing w:line="360" w:lineRule="auto"/>
        <w:ind w:firstLine="720"/>
        <w:jc w:val="both"/>
        <w:rPr>
          <w:lang w:eastAsia="en-US"/>
        </w:rPr>
      </w:pPr>
      <w:r w:rsidRPr="008F5D87">
        <w:rPr>
          <w:lang w:eastAsia="en-US"/>
        </w:rPr>
        <w:t xml:space="preserve">Esta tese respondeu à sua questão central — </w:t>
      </w:r>
      <w:r w:rsidRPr="008F5D87">
        <w:rPr>
          <w:i/>
          <w:iCs/>
          <w:lang w:eastAsia="en-US"/>
        </w:rPr>
        <w:t>qual é o estado da arte da implementação do sandbox regulatório nas Agências Reguladoras brasileiras, considerando seus modelos, características e nível de maturidade?</w:t>
      </w:r>
      <w:r w:rsidRPr="008F5D87">
        <w:rPr>
          <w:lang w:eastAsia="en-US"/>
        </w:rPr>
        <w:t xml:space="preserve"> — por meio de três estudos sequenciais e complementares que conduziram a análise do plano internacional ao diagnóstico nacional, culminando na avaliação da maturidade dos processos e na elaboração de um </w:t>
      </w:r>
      <w:r w:rsidRPr="008F5D87">
        <w:rPr>
          <w:i/>
          <w:iCs/>
          <w:lang w:eastAsia="en-US"/>
        </w:rPr>
        <w:t>framework</w:t>
      </w:r>
      <w:r w:rsidRPr="008F5D87">
        <w:rPr>
          <w:lang w:eastAsia="en-US"/>
        </w:rPr>
        <w:t xml:space="preserve"> analítico de aplicação prática. O percurso investigativo confirmou a hipótese inicial de disparidade significativa na adoção do instrumento, revelou um cenário promissor, mas ainda heterogêneo, e produziu subsídios concretos para a evolução da regulação experimental no Brasil.</w:t>
      </w:r>
    </w:p>
    <w:p w14:paraId="183D0ACA" w14:textId="77777777" w:rsidR="002F144A" w:rsidRPr="008F5D87" w:rsidRDefault="002F144A" w:rsidP="002F144A">
      <w:pPr>
        <w:spacing w:line="360" w:lineRule="auto"/>
        <w:ind w:firstLine="720"/>
        <w:jc w:val="both"/>
        <w:rPr>
          <w:lang w:eastAsia="en-US"/>
        </w:rPr>
      </w:pPr>
      <w:r w:rsidRPr="008F5D87">
        <w:rPr>
          <w:lang w:eastAsia="en-US"/>
        </w:rPr>
        <w:t xml:space="preserve">A revisão sistemática da literatura internacional confirmou o </w:t>
      </w:r>
      <w:r w:rsidRPr="008F5D87">
        <w:rPr>
          <w:i/>
          <w:iCs/>
          <w:lang w:eastAsia="en-US"/>
        </w:rPr>
        <w:t>sandbox</w:t>
      </w:r>
      <w:r w:rsidRPr="008F5D87">
        <w:rPr>
          <w:lang w:eastAsia="en-US"/>
        </w:rPr>
        <w:t xml:space="preserve"> regulatório como instrumento de impacto global, legitimando a análise aprofundada do caso brasileiro. Dos 37 estudos analisados, 79% reconhecem impacto direto do </w:t>
      </w:r>
      <w:r w:rsidRPr="008F5D87">
        <w:rPr>
          <w:i/>
          <w:iCs/>
          <w:lang w:eastAsia="en-US"/>
        </w:rPr>
        <w:t>sandbox</w:t>
      </w:r>
      <w:r w:rsidRPr="008F5D87">
        <w:rPr>
          <w:lang w:eastAsia="en-US"/>
        </w:rPr>
        <w:t xml:space="preserve"> na inovação — evidência de que a experimentação regulatória, quando bem aplicada, contribui positivamente para a inovação, mitiga riscos e fomenta o desenvolvimento (Fahy, 2022). No Brasil, avanços concretos já são visíveis, como a criação do Pix Parcelado, testado no ambiente experimental do Banco Central (Gonçalves, 2023).</w:t>
      </w:r>
    </w:p>
    <w:p w14:paraId="78D3AEA3" w14:textId="77777777" w:rsidR="002F144A" w:rsidRPr="008F5D87" w:rsidRDefault="002F144A" w:rsidP="002F144A">
      <w:pPr>
        <w:spacing w:line="360" w:lineRule="auto"/>
        <w:ind w:firstLine="720"/>
        <w:jc w:val="both"/>
        <w:rPr>
          <w:lang w:eastAsia="en-US"/>
        </w:rPr>
      </w:pPr>
      <w:r w:rsidRPr="008F5D87">
        <w:rPr>
          <w:lang w:eastAsia="en-US"/>
        </w:rPr>
        <w:t xml:space="preserve">Contudo, os resultados demandam leitura crítica. Dos estudos com avaliação explícita de experiências, 25% registram resultados negativos, associados a casos como Indonésia e segmentos específicos do Reino Unido. Somam-se a isso vieses estruturais relevantes: concentração setorial no campo financeiro (60%), assimetria geográfica com predominância de Reino Unido e China, escassez de estudos comparativos ou longitudinais, e desafios recorrentes como opacidade de processos, aumento de custos de conformidade e risco de </w:t>
      </w:r>
      <w:r w:rsidRPr="008F5D87">
        <w:rPr>
          <w:i/>
          <w:iCs/>
          <w:lang w:eastAsia="en-US"/>
        </w:rPr>
        <w:t>riskwashing</w:t>
      </w:r>
      <w:r w:rsidRPr="008F5D87">
        <w:rPr>
          <w:lang w:eastAsia="en-US"/>
        </w:rPr>
        <w:t xml:space="preserve"> (Brown; Piroska, 2022). Esses limites reduzem a validade externa dos achados e sinalizam que a transposição acrítica de modelos estrangeiros para o contexto brasileiro tende a reproduzir as mesmas fragilidades identificadas no plano internacional — reforçando a necessidade de adaptação às especificidades institucionais nacionais, e não de simples replicação.</w:t>
      </w:r>
    </w:p>
    <w:p w14:paraId="5D51D780" w14:textId="77777777" w:rsidR="002F144A" w:rsidRPr="008F5D87" w:rsidRDefault="002F144A" w:rsidP="002F144A">
      <w:pPr>
        <w:spacing w:line="360" w:lineRule="auto"/>
        <w:ind w:firstLine="720"/>
        <w:jc w:val="both"/>
        <w:rPr>
          <w:lang w:eastAsia="en-US"/>
        </w:rPr>
      </w:pPr>
      <w:r w:rsidRPr="008F5D87">
        <w:rPr>
          <w:lang w:eastAsia="en-US"/>
        </w:rPr>
        <w:t xml:space="preserve">Ao voltar o foco para o Brasil, a pesquisa confirmou a hipótese inicial de disparidade significativa na implementação do </w:t>
      </w:r>
      <w:r w:rsidRPr="008F5D87">
        <w:rPr>
          <w:i/>
          <w:iCs/>
          <w:lang w:eastAsia="en-US"/>
        </w:rPr>
        <w:t>sandbox</w:t>
      </w:r>
      <w:r w:rsidRPr="008F5D87">
        <w:rPr>
          <w:lang w:eastAsia="en-US"/>
        </w:rPr>
        <w:t xml:space="preserve"> regulatório. Apesar da institucionalização promovida pela Lei Complementar nº 182/2021 e do referencial estabelecido pelo Guia da AGU (2024), apenas 55% das agências possuíam o instrumento formalmente implementado até dezembro de 2024 — e com níveis de desenvolvimento bastante distintos entre si.</w:t>
      </w:r>
    </w:p>
    <w:p w14:paraId="27C539AB" w14:textId="77777777" w:rsidR="002F144A" w:rsidRPr="008F5D87" w:rsidRDefault="002F144A" w:rsidP="002F144A">
      <w:pPr>
        <w:spacing w:line="360" w:lineRule="auto"/>
        <w:ind w:firstLine="720"/>
        <w:jc w:val="both"/>
        <w:rPr>
          <w:lang w:eastAsia="en-US"/>
        </w:rPr>
      </w:pPr>
      <w:r w:rsidRPr="008F5D87">
        <w:rPr>
          <w:lang w:eastAsia="en-US"/>
        </w:rPr>
        <w:lastRenderedPageBreak/>
        <w:t>O predomínio do modelo de escopo restrito com entrada programada favoreceu um aprendizado institucional gradual e controlado, adequado para a gestão inicial de riscos, mas com o efeito colateral de reduzir a capacidade de absorção de inovações não previamente mapeadas nas agendas temáticas. A dimensão de governança concentra as assimetrias mais relevantes: a ANEEL desponta como referência estruturada, enquanto a maioria das demais agências opera com arranjos administrativos simplificados, potencialmente insuficientes para suportar ciclos iterativos de seleção, monitoramento e incorporação de resultados. A produção de evidências empíricas publicizadas permanece escassa — com exceção do projeto HS-WIM da ANTT, único a apresentar indicadores concretos de desempenho —, e a ausência de mecanismos de apoio financeiro direto limita a diversidade de participantes. Em contrapartida, emergem elementos positivos com potencial de convergência: a estrutura de governança e o uso de recursos de P&amp;D da ANEEL, o padrão de monitoramento e divulgação da ANTT, o protocolo iterativo de derrogações proposto pela ANVISA e o detalhamento normativo recente da ANS.</w:t>
      </w:r>
    </w:p>
    <w:p w14:paraId="2C2D40BA" w14:textId="77777777" w:rsidR="002F144A" w:rsidRPr="008F5D87" w:rsidRDefault="002F144A" w:rsidP="002F144A">
      <w:pPr>
        <w:spacing w:line="360" w:lineRule="auto"/>
        <w:ind w:firstLine="720"/>
        <w:jc w:val="both"/>
        <w:rPr>
          <w:lang w:eastAsia="en-US"/>
        </w:rPr>
      </w:pPr>
      <w:r w:rsidRPr="008F5D87">
        <w:rPr>
          <w:lang w:eastAsia="en-US"/>
        </w:rPr>
        <w:t xml:space="preserve">O diagnóstico de maturidade expôs um paradoxo central: as Agências demonstram alta capacidade na formalização dos processos, mas baixa efetividade em sua conclusão e no aproveitamento do aprendizado gerado. A média geral de aderência ao Guia da AGU (2024) atingiu 68%, classificando o conjunto no nível </w:t>
      </w:r>
      <w:r w:rsidRPr="008F5D87">
        <w:rPr>
          <w:b/>
          <w:bCs/>
          <w:lang w:eastAsia="en-US"/>
        </w:rPr>
        <w:t>intermediário</w:t>
      </w:r>
      <w:r w:rsidRPr="008F5D87">
        <w:rPr>
          <w:lang w:eastAsia="en-US"/>
        </w:rPr>
        <w:t xml:space="preserve"> — resultado positivo considerando a novidade do instrumento, mas que evidencia amplo espaço para aprimoramento. A elaboração de instrumentos normativos (85%) e a análise jurídica (83%) lideraram os resultados, refletindo a competência institucional consolidada das agências no campo jurídico-normativo (Bucci, 2013). Em contraste, a etapa de decisão regulatória registrou apenas 39% de aderência, evidenciando a ausência de planos estruturados para descontinuidade, transição regulatória e proteção de dados.</w:t>
      </w:r>
    </w:p>
    <w:p w14:paraId="5F18DDAF" w14:textId="13881F49" w:rsidR="002F144A" w:rsidRPr="008F5D87" w:rsidRDefault="002F144A" w:rsidP="002F144A">
      <w:pPr>
        <w:spacing w:line="360" w:lineRule="auto"/>
        <w:ind w:firstLine="720"/>
        <w:jc w:val="both"/>
        <w:rPr>
          <w:lang w:eastAsia="en-US"/>
        </w:rPr>
      </w:pPr>
      <w:r w:rsidRPr="008F5D87">
        <w:rPr>
          <w:lang w:eastAsia="en-US"/>
        </w:rPr>
        <w:t>A análise individualizada confirmou a disparidade: ANTT (86%) e ANVISA (85%) alcançaram o nível aprimorado; ANEEL, ANAC e ANS situaram-se no nível intermediário; ANA e ANATEL foram classificadas no nível inicial; e ANP, ANM, ANTAQ e ANCINE — sem normativos ou projetos implementados até dezembro de 2024 — apresentaram maturidade inexpressiva (Pöppelbuß; Röglinger, 2011; Mettler, 2011). Esse resultado sugere que o aparato regulatório brasileiro está bem equipado para iniciar a experimentação, mas ainda encontra dificuldades em traduzir os resultados dos experimentos em aprendizado institucional e em mudanças regulatórias efetivas (Mazzucato, 2014; Majone, 1997; Ranchordas, 2021).</w:t>
      </w:r>
      <w:r w:rsidR="004F3EC0" w:rsidRPr="008F5D87">
        <w:rPr>
          <w:lang w:eastAsia="en-US"/>
        </w:rPr>
        <w:t xml:space="preserve"> </w:t>
      </w:r>
    </w:p>
    <w:p w14:paraId="150E7CA5" w14:textId="30A3646B" w:rsidR="002F144A" w:rsidRPr="008F5D87" w:rsidRDefault="004F3EC0" w:rsidP="004F3EC0">
      <w:pPr>
        <w:spacing w:line="360" w:lineRule="auto"/>
        <w:ind w:firstLine="720"/>
        <w:jc w:val="both"/>
        <w:rPr>
          <w:lang w:eastAsia="en-US"/>
        </w:rPr>
      </w:pPr>
      <w:r w:rsidRPr="008F5D87">
        <w:rPr>
          <w:lang w:eastAsia="en-US"/>
        </w:rPr>
        <w:t>Os achados convergem para um diagnóstico comum: o sandbox, tal como vem sendo operacionalizado, permanece aquém de seu potencial transformador.</w:t>
      </w:r>
      <w:r w:rsidRPr="008F5D87">
        <w:rPr>
          <w:lang w:eastAsia="en-US"/>
        </w:rPr>
        <w:t xml:space="preserve"> Assim, a </w:t>
      </w:r>
      <w:r w:rsidRPr="008F5D87">
        <w:rPr>
          <w:lang w:eastAsia="en-US"/>
        </w:rPr>
        <w:t xml:space="preserve">culminação desta </w:t>
      </w:r>
      <w:r w:rsidRPr="008F5D87">
        <w:rPr>
          <w:lang w:eastAsia="en-US"/>
        </w:rPr>
        <w:lastRenderedPageBreak/>
        <w:t xml:space="preserve">tese não se encerra no diagnóstico — ela se materializa em um </w:t>
      </w:r>
      <w:r w:rsidRPr="008F5D87">
        <w:rPr>
          <w:i/>
          <w:iCs/>
          <w:lang w:eastAsia="en-US"/>
        </w:rPr>
        <w:t>framework</w:t>
      </w:r>
      <w:r w:rsidRPr="008F5D87">
        <w:rPr>
          <w:lang w:eastAsia="en-US"/>
        </w:rPr>
        <w:t xml:space="preserve"> analítico de dupla função</w:t>
      </w:r>
      <w:r w:rsidRPr="008F5D87">
        <w:rPr>
          <w:lang w:eastAsia="en-US"/>
        </w:rPr>
        <w:t xml:space="preserve">: </w:t>
      </w:r>
      <w:r w:rsidRPr="008F5D87">
        <w:rPr>
          <w:b/>
          <w:bCs/>
          <w:lang w:eastAsia="en-US"/>
        </w:rPr>
        <w:t>instrumento de planejamento</w:t>
      </w:r>
      <w:r w:rsidRPr="008F5D87">
        <w:rPr>
          <w:lang w:eastAsia="en-US"/>
        </w:rPr>
        <w:t>, oferece</w:t>
      </w:r>
      <w:r w:rsidRPr="008F5D87">
        <w:rPr>
          <w:lang w:eastAsia="en-US"/>
        </w:rPr>
        <w:t>ndo</w:t>
      </w:r>
      <w:r w:rsidRPr="008F5D87">
        <w:rPr>
          <w:lang w:eastAsia="en-US"/>
        </w:rPr>
        <w:t xml:space="preserve"> um roteiro estruturado para o desenho de novos </w:t>
      </w:r>
      <w:r w:rsidRPr="008F5D87">
        <w:rPr>
          <w:i/>
          <w:iCs/>
          <w:lang w:eastAsia="en-US"/>
        </w:rPr>
        <w:t>sandboxes</w:t>
      </w:r>
      <w:r w:rsidRPr="008F5D87">
        <w:rPr>
          <w:lang w:eastAsia="en-US"/>
        </w:rPr>
        <w:t xml:space="preserve"> e como</w:t>
      </w:r>
      <w:r w:rsidRPr="008F5D87">
        <w:rPr>
          <w:lang w:eastAsia="en-US"/>
        </w:rPr>
        <w:t xml:space="preserve"> </w:t>
      </w:r>
      <w:r w:rsidRPr="008F5D87">
        <w:rPr>
          <w:b/>
          <w:bCs/>
          <w:lang w:eastAsia="en-US"/>
        </w:rPr>
        <w:t>instrumento de avaliação</w:t>
      </w:r>
      <w:r w:rsidRPr="008F5D87">
        <w:rPr>
          <w:lang w:eastAsia="en-US"/>
        </w:rPr>
        <w:t>, permit</w:t>
      </w:r>
      <w:r w:rsidRPr="008F5D87">
        <w:rPr>
          <w:lang w:eastAsia="en-US"/>
        </w:rPr>
        <w:t>indo</w:t>
      </w:r>
      <w:r w:rsidRPr="008F5D87">
        <w:rPr>
          <w:lang w:eastAsia="en-US"/>
        </w:rPr>
        <w:t xml:space="preserve"> que gestores, executores e avaliadores identifiquem pontos fortes e lacunas em programas existentes, considerando os estágios evolutivos pelos quais as instituições passam no desenvolvimento de suas práticas</w:t>
      </w:r>
      <w:r w:rsidRPr="008F5D87">
        <w:rPr>
          <w:lang w:eastAsia="en-US"/>
        </w:rPr>
        <w:t>.</w:t>
      </w:r>
      <w:r w:rsidRPr="008F5D87">
        <w:rPr>
          <w:lang w:eastAsia="en-US"/>
        </w:rPr>
        <w:t xml:space="preserve"> </w:t>
      </w:r>
    </w:p>
    <w:p w14:paraId="4EE9149D" w14:textId="377B6CEC" w:rsidR="002F144A" w:rsidRPr="008F5D87" w:rsidRDefault="002F144A" w:rsidP="002F144A">
      <w:pPr>
        <w:spacing w:line="360" w:lineRule="auto"/>
        <w:ind w:firstLine="720"/>
        <w:jc w:val="both"/>
        <w:rPr>
          <w:lang w:eastAsia="en-US"/>
        </w:rPr>
      </w:pPr>
      <w:r w:rsidRPr="008F5D87">
        <w:rPr>
          <w:lang w:eastAsia="en-US"/>
        </w:rPr>
        <w:t>Como limitação central, a pesquisa baseou-se exclusivamente em fontes documentais públicas — o que implica que práticas implementadas, mas não adequadamente documentadas, podem ter impactado os resultados. Para pesquisas futuras, recomenda-se a realização de estudos longitudinais que acompanhem a evolução dos níveis de maturidade ao longo do tempo, bem como investigações qualitativas com gestores das agências para capturar dimensões não documentadas do processo. A evolução institucional aqui delineada, integrada às diretrizes do Guia da AGU (2024) e aos instrumentos de AIR/ARR, é condição fundamental para que o sandbox deixe de operar como vitrine incremental e passe a funcionar como mecanismo efetivo de ajuste estrutural dos marcos regulatórios setoriais — à altura do potencial transformador que o instrumento carrega.</w:t>
      </w:r>
    </w:p>
    <w:p w14:paraId="3F49768B" w14:textId="321D24C9" w:rsidR="00B47B29" w:rsidRPr="008F5D87" w:rsidRDefault="00B47B29" w:rsidP="002F144A">
      <w:pPr>
        <w:spacing w:line="360" w:lineRule="auto"/>
        <w:ind w:firstLine="720"/>
        <w:jc w:val="both"/>
        <w:rPr>
          <w:lang w:eastAsia="en-US"/>
        </w:rPr>
      </w:pPr>
      <w:r w:rsidRPr="008F5D87">
        <w:rPr>
          <w:lang w:eastAsia="en-US"/>
        </w:rPr>
        <w:br w:type="page"/>
      </w:r>
    </w:p>
    <w:p w14:paraId="07725B40" w14:textId="02562EAE" w:rsidR="009C7C4A" w:rsidRPr="008F5D87" w:rsidRDefault="00000000" w:rsidP="00D07B96">
      <w:pPr>
        <w:spacing w:after="240" w:line="360" w:lineRule="auto"/>
        <w:jc w:val="both"/>
      </w:pPr>
      <w:r w:rsidRPr="008F5D87">
        <w:rPr>
          <w:b/>
        </w:rPr>
        <w:lastRenderedPageBreak/>
        <w:t>REFERÊNCIAS</w:t>
      </w:r>
    </w:p>
    <w:p w14:paraId="49236BC9" w14:textId="77777777" w:rsidR="009C7C4A" w:rsidRPr="008F5D87" w:rsidRDefault="00000000" w:rsidP="00D07B96">
      <w:pPr>
        <w:spacing w:line="360" w:lineRule="auto"/>
        <w:jc w:val="both"/>
      </w:pPr>
      <w:r w:rsidRPr="008F5D87">
        <w:t>AGU. Guia Referencial de Sandbox Regulatório. Brasília: Advocacia‑Geral da União, 2024.</w:t>
      </w:r>
    </w:p>
    <w:p w14:paraId="6EEAC712" w14:textId="77777777" w:rsidR="009C7C4A" w:rsidRPr="008F5D87" w:rsidRDefault="00000000" w:rsidP="00D07B96">
      <w:pPr>
        <w:spacing w:line="360" w:lineRule="auto"/>
        <w:jc w:val="both"/>
      </w:pPr>
      <w:r w:rsidRPr="008F5D87">
        <w:t>AYRES, I.; BRAITHWAITE, J. Responsive Regulation: Transcending the Deregulation Debate. New York: Oxford University Press, 1992.</w:t>
      </w:r>
    </w:p>
    <w:p w14:paraId="3FE40190" w14:textId="77777777" w:rsidR="009C7C4A" w:rsidRPr="008F5D87" w:rsidRDefault="00000000" w:rsidP="00D07B96">
      <w:pPr>
        <w:spacing w:line="360" w:lineRule="auto"/>
        <w:jc w:val="both"/>
      </w:pPr>
      <w:r w:rsidRPr="008F5D87">
        <w:t>BECKSTEDDE, E. et al. The Design of Regulatory Sandboxes: A Comparative Study. Journal of Regulatory Economics, 2023.</w:t>
      </w:r>
    </w:p>
    <w:p w14:paraId="291CCD1A" w14:textId="77777777" w:rsidR="009C7C4A" w:rsidRPr="008F5D87" w:rsidRDefault="00000000" w:rsidP="00D07B96">
      <w:pPr>
        <w:spacing w:line="360" w:lineRule="auto"/>
        <w:jc w:val="both"/>
      </w:pPr>
      <w:r w:rsidRPr="008F5D87">
        <w:t>BRASIL. Lei Complementar nº 182, de 1º de junho de 2021. Institui o Marco Legal das Startups e do Empreendedorismo Inovador.</w:t>
      </w:r>
    </w:p>
    <w:p w14:paraId="50F5257A" w14:textId="77777777" w:rsidR="009C7C4A" w:rsidRPr="008F5D87" w:rsidRDefault="00000000" w:rsidP="00D07B96">
      <w:pPr>
        <w:spacing w:line="360" w:lineRule="auto"/>
        <w:jc w:val="both"/>
      </w:pPr>
      <w:r w:rsidRPr="008F5D87">
        <w:t>BUCCI, M. P. D. Políticas Públicas: Reflexões sobre o Conceito Jurídico. São Paulo: Saraiva, 2002.</w:t>
      </w:r>
    </w:p>
    <w:p w14:paraId="67AB9AA6" w14:textId="77777777" w:rsidR="009C7C4A" w:rsidRPr="008F5D87" w:rsidRDefault="00000000" w:rsidP="00D07B96">
      <w:pPr>
        <w:spacing w:line="360" w:lineRule="auto"/>
        <w:jc w:val="both"/>
      </w:pPr>
      <w:r w:rsidRPr="008F5D87">
        <w:t>CAVALCANTE, P. Estado empreendedor no Brasil? Brasília: IPEA, 2017.</w:t>
      </w:r>
    </w:p>
    <w:p w14:paraId="3D58D0A2" w14:textId="77777777" w:rsidR="009C7C4A" w:rsidRPr="008F5D87" w:rsidRDefault="00000000" w:rsidP="00D07B96">
      <w:pPr>
        <w:spacing w:line="360" w:lineRule="auto"/>
        <w:jc w:val="both"/>
      </w:pPr>
      <w:r w:rsidRPr="008F5D87">
        <w:t>CGU — Controladoria‑Geral da União. Relatório de Avaliação: Implementação do Sandbox Regulatório. Brasília, 2024.</w:t>
      </w:r>
    </w:p>
    <w:p w14:paraId="1348BA22" w14:textId="77777777" w:rsidR="009C7C4A" w:rsidRPr="008F5D87" w:rsidRDefault="00000000" w:rsidP="00D07B96">
      <w:pPr>
        <w:spacing w:line="360" w:lineRule="auto"/>
        <w:jc w:val="both"/>
      </w:pPr>
      <w:r w:rsidRPr="008F5D87">
        <w:t>COMISSÃO EUROPEIA. Public Sector Innovation Scoreboard. Brussels, 2013.</w:t>
      </w:r>
    </w:p>
    <w:p w14:paraId="36000ED4" w14:textId="3EC031C9" w:rsidR="008E1A23" w:rsidRPr="008F5D87" w:rsidRDefault="008E1A23" w:rsidP="00D07B96">
      <w:pPr>
        <w:spacing w:line="360" w:lineRule="auto"/>
        <w:jc w:val="both"/>
      </w:pPr>
      <w:r w:rsidRPr="008F5D87">
        <w:t>FAHY, L. A. Fostering regulator–innovator collaboration at the frontline: A case study of the UK’s regulatory sandbox for fintech. 2022</w:t>
      </w:r>
    </w:p>
    <w:p w14:paraId="681977AD" w14:textId="77777777" w:rsidR="009C7C4A" w:rsidRPr="008F5D87" w:rsidRDefault="00000000" w:rsidP="00D07B96">
      <w:pPr>
        <w:spacing w:line="360" w:lineRule="auto"/>
        <w:jc w:val="both"/>
      </w:pPr>
      <w:r w:rsidRPr="008F5D87">
        <w:t>FCA — Financial Conduct Authority. Regulatory Sandbox: Lessons Learned Report. London: FCA, 2017.</w:t>
      </w:r>
    </w:p>
    <w:p w14:paraId="34111312" w14:textId="77777777" w:rsidR="009C7C4A" w:rsidRPr="008F5D87" w:rsidRDefault="00000000" w:rsidP="00D07B96">
      <w:pPr>
        <w:spacing w:line="360" w:lineRule="auto"/>
        <w:jc w:val="both"/>
      </w:pPr>
      <w:r w:rsidRPr="008F5D87">
        <w:t>FOLKE, C. et al. Adaptive Governance of Social-Ecological Systems. Annual Review of Environment and Resources, 2005.</w:t>
      </w:r>
    </w:p>
    <w:p w14:paraId="678DC6B1" w14:textId="77777777" w:rsidR="009C7C4A" w:rsidRPr="008F5D87" w:rsidRDefault="00000000" w:rsidP="00D07B96">
      <w:pPr>
        <w:spacing w:line="360" w:lineRule="auto"/>
        <w:jc w:val="both"/>
      </w:pPr>
      <w:r w:rsidRPr="008F5D87">
        <w:t>GILLOT, B. Experimental Regulation and Responsible Innovation. Policy Brief, 2024.</w:t>
      </w:r>
    </w:p>
    <w:p w14:paraId="450C7314" w14:textId="77777777" w:rsidR="009C7C4A" w:rsidRPr="008F5D87" w:rsidRDefault="00000000" w:rsidP="00D07B96">
      <w:pPr>
        <w:spacing w:line="360" w:lineRule="auto"/>
        <w:jc w:val="both"/>
      </w:pPr>
      <w:r w:rsidRPr="008F5D87">
        <w:t>HALDANE, A. Rethinking the Financial Network. Bank of England, 2009.</w:t>
      </w:r>
    </w:p>
    <w:p w14:paraId="1E72CD13" w14:textId="77777777" w:rsidR="008E1A23" w:rsidRPr="008F5D87" w:rsidRDefault="008E1A23" w:rsidP="00D07B96">
      <w:pPr>
        <w:spacing w:line="360" w:lineRule="auto"/>
        <w:jc w:val="both"/>
      </w:pPr>
      <w:r w:rsidRPr="008F5D87">
        <w:t>JENÍK, I.; DUFF, S. How to Build a Regulatory Sandbox: A Practical Guide for Policy Makers. Washington, DC: CGAP, 2020.</w:t>
      </w:r>
    </w:p>
    <w:p w14:paraId="675BD3A2" w14:textId="45580A59" w:rsidR="008E1A23" w:rsidRPr="008F5D87" w:rsidRDefault="008E1A23" w:rsidP="00D07B96">
      <w:pPr>
        <w:spacing w:line="360" w:lineRule="auto"/>
        <w:jc w:val="both"/>
      </w:pPr>
      <w:r w:rsidRPr="008F5D87">
        <w:t>JOSHI, A. et al. Likert scale: explored and explained. British Journal of Applied Science &amp; Technology, v. 7, 2015.</w:t>
      </w:r>
    </w:p>
    <w:p w14:paraId="00A4673E" w14:textId="77777777" w:rsidR="009C7C4A" w:rsidRPr="008F5D87" w:rsidRDefault="00000000" w:rsidP="00D07B96">
      <w:pPr>
        <w:spacing w:line="360" w:lineRule="auto"/>
        <w:jc w:val="both"/>
      </w:pPr>
      <w:r w:rsidRPr="008F5D87">
        <w:t>JORDÃO, E. Governança Experimentalista e Regulação. Revista de Direito Administrativo, 2017.</w:t>
      </w:r>
    </w:p>
    <w:p w14:paraId="3E195644" w14:textId="77777777" w:rsidR="009C7C4A" w:rsidRPr="008F5D87" w:rsidRDefault="00000000" w:rsidP="00D07B96">
      <w:pPr>
        <w:spacing w:line="360" w:lineRule="auto"/>
        <w:jc w:val="both"/>
      </w:pPr>
      <w:r w:rsidRPr="008F5D87">
        <w:t>MAJONE, G. From the Positive to the Regulatory State. Journal of Public Policy, 1997.</w:t>
      </w:r>
    </w:p>
    <w:p w14:paraId="6D0F5701" w14:textId="77777777" w:rsidR="009C7C4A" w:rsidRPr="008F5D87" w:rsidRDefault="00000000" w:rsidP="00D07B96">
      <w:pPr>
        <w:spacing w:line="360" w:lineRule="auto"/>
        <w:jc w:val="both"/>
      </w:pPr>
      <w:r w:rsidRPr="008F5D87">
        <w:t>MARCU S, A. (Marcus). Innovation Pacing and Regulation. Technology Policy, 2020.</w:t>
      </w:r>
    </w:p>
    <w:p w14:paraId="0089A0AD" w14:textId="77777777" w:rsidR="009C7C4A" w:rsidRPr="008F5D87" w:rsidRDefault="00000000" w:rsidP="00D07B96">
      <w:pPr>
        <w:spacing w:line="360" w:lineRule="auto"/>
        <w:jc w:val="both"/>
      </w:pPr>
      <w:r w:rsidRPr="008F5D87">
        <w:t>MAZZUCATO, M. The Entrepreneurial State. London: Anthem, 2014.</w:t>
      </w:r>
    </w:p>
    <w:p w14:paraId="3AE5C21F" w14:textId="77777777" w:rsidR="009C7C4A" w:rsidRPr="008F5D87" w:rsidRDefault="00000000" w:rsidP="00D07B96">
      <w:pPr>
        <w:spacing w:line="360" w:lineRule="auto"/>
        <w:jc w:val="both"/>
      </w:pPr>
      <w:r w:rsidRPr="008F5D87">
        <w:t>OCDE. Regulatory Policy and the Digital Age. Paris: OECD, 2007/2024.</w:t>
      </w:r>
    </w:p>
    <w:p w14:paraId="5F1769F0" w14:textId="280D8E77" w:rsidR="008E1A23" w:rsidRPr="008F5D87" w:rsidRDefault="008E1A23" w:rsidP="00D07B96">
      <w:pPr>
        <w:spacing w:line="360" w:lineRule="auto"/>
        <w:jc w:val="both"/>
      </w:pPr>
      <w:r w:rsidRPr="008F5D87">
        <w:lastRenderedPageBreak/>
        <w:t>RANCHORDAS, S. Experimental Regulations for AI: Sandboxes for Morals and Mores. Theory and Practice of Legislation, v. 9, n. 1, p. 1-27, 2021.</w:t>
      </w:r>
    </w:p>
    <w:p w14:paraId="1B54FEB9" w14:textId="77777777" w:rsidR="009C7C4A" w:rsidRPr="008F5D87" w:rsidRDefault="00000000" w:rsidP="00D07B96">
      <w:pPr>
        <w:spacing w:line="360" w:lineRule="auto"/>
        <w:jc w:val="both"/>
      </w:pPr>
      <w:r w:rsidRPr="008F5D87">
        <w:t>SABEL, C.; DORF, M. A Constitution of Democratic Experimentalism. Columbia Law Review, 2009.</w:t>
      </w:r>
    </w:p>
    <w:p w14:paraId="26BCCDE2" w14:textId="77777777" w:rsidR="009C7C4A" w:rsidRPr="008F5D87" w:rsidRDefault="00000000" w:rsidP="00D07B96">
      <w:pPr>
        <w:spacing w:line="360" w:lineRule="auto"/>
        <w:jc w:val="both"/>
      </w:pPr>
      <w:r w:rsidRPr="008F5D87">
        <w:t>SCHITTEKATTE, T. et al. Regulatory Experimentation in Energy. Energy Policy, 2021.</w:t>
      </w:r>
    </w:p>
    <w:p w14:paraId="79E69094" w14:textId="17BEEE33" w:rsidR="009C7C4A" w:rsidRPr="008F5D87" w:rsidRDefault="00000000" w:rsidP="00D07B96">
      <w:pPr>
        <w:spacing w:line="360" w:lineRule="auto"/>
        <w:jc w:val="both"/>
      </w:pPr>
      <w:r w:rsidRPr="008F5D87">
        <w:t>XIMENES, J. Cultura do Consensualismo no Direito Administrativo. Belo Horizonte: Fórum, 2022.</w:t>
      </w:r>
    </w:p>
    <w:p w14:paraId="14AB91FC" w14:textId="578656FF" w:rsidR="008E1A23" w:rsidRPr="008F5D87" w:rsidRDefault="008E1A23" w:rsidP="00D07B96">
      <w:pPr>
        <w:spacing w:line="360" w:lineRule="auto"/>
        <w:jc w:val="both"/>
      </w:pPr>
      <w:r w:rsidRPr="008F5D87">
        <w:t>YIN, R. K. Estudo de caso: planejamento e métodos. 5. ed. Porto Alegre: Bookman, 2015.</w:t>
      </w:r>
    </w:p>
    <w:sectPr w:rsidR="008E1A23" w:rsidRPr="008F5D87" w:rsidSect="008F5D87">
      <w:pgSz w:w="11906" w:h="16838"/>
      <w:pgMar w:top="1701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5693556"/>
    <w:multiLevelType w:val="multilevel"/>
    <w:tmpl w:val="C83C5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C919B8"/>
    <w:multiLevelType w:val="hybridMultilevel"/>
    <w:tmpl w:val="B5087C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BA104F"/>
    <w:multiLevelType w:val="hybridMultilevel"/>
    <w:tmpl w:val="8528CF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0034590">
    <w:abstractNumId w:val="8"/>
  </w:num>
  <w:num w:numId="2" w16cid:durableId="341394322">
    <w:abstractNumId w:val="6"/>
  </w:num>
  <w:num w:numId="3" w16cid:durableId="1394426655">
    <w:abstractNumId w:val="5"/>
  </w:num>
  <w:num w:numId="4" w16cid:durableId="565799533">
    <w:abstractNumId w:val="4"/>
  </w:num>
  <w:num w:numId="5" w16cid:durableId="978458865">
    <w:abstractNumId w:val="7"/>
  </w:num>
  <w:num w:numId="6" w16cid:durableId="570123121">
    <w:abstractNumId w:val="3"/>
  </w:num>
  <w:num w:numId="7" w16cid:durableId="72437952">
    <w:abstractNumId w:val="2"/>
  </w:num>
  <w:num w:numId="8" w16cid:durableId="1380323449">
    <w:abstractNumId w:val="1"/>
  </w:num>
  <w:num w:numId="9" w16cid:durableId="1681202775">
    <w:abstractNumId w:val="0"/>
  </w:num>
  <w:num w:numId="10" w16cid:durableId="763498629">
    <w:abstractNumId w:val="10"/>
  </w:num>
  <w:num w:numId="11" w16cid:durableId="1174607639">
    <w:abstractNumId w:val="11"/>
  </w:num>
  <w:num w:numId="12" w16cid:durableId="21016346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3905"/>
    <w:rsid w:val="000C4A9F"/>
    <w:rsid w:val="0015074B"/>
    <w:rsid w:val="0029639D"/>
    <w:rsid w:val="002F144A"/>
    <w:rsid w:val="00326F90"/>
    <w:rsid w:val="00416CBE"/>
    <w:rsid w:val="00486B14"/>
    <w:rsid w:val="004E491B"/>
    <w:rsid w:val="004F3EC0"/>
    <w:rsid w:val="005257AC"/>
    <w:rsid w:val="005E156D"/>
    <w:rsid w:val="007A3416"/>
    <w:rsid w:val="007F69E6"/>
    <w:rsid w:val="00804430"/>
    <w:rsid w:val="008E1A23"/>
    <w:rsid w:val="008F5D87"/>
    <w:rsid w:val="009C7C4A"/>
    <w:rsid w:val="00AA1D8D"/>
    <w:rsid w:val="00B47730"/>
    <w:rsid w:val="00B47B29"/>
    <w:rsid w:val="00BD1F36"/>
    <w:rsid w:val="00C27CBB"/>
    <w:rsid w:val="00CB0664"/>
    <w:rsid w:val="00D07B96"/>
    <w:rsid w:val="00D2288E"/>
    <w:rsid w:val="00EA239D"/>
    <w:rsid w:val="00F969F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0E213E"/>
  <w14:defaultImageDpi w14:val="300"/>
  <w15:docId w15:val="{CD3D0972-BDF7-4348-9E59-29AF5D9E8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C27CBB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semiHidden/>
    <w:unhideWhenUsed/>
    <w:rsid w:val="000C3905"/>
    <w:rPr>
      <w:color w:val="0000FF"/>
      <w:u w:val="single"/>
    </w:rPr>
  </w:style>
  <w:style w:type="character" w:customStyle="1" w:styleId="bot-name-2juo4t">
    <w:name w:val="bot-name-2juo4t"/>
    <w:basedOn w:val="Fontepargpadro"/>
    <w:rsid w:val="002F1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orm.jotform.com/25026327872505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.jotform.com/25026327872505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8356</Words>
  <Characters>51480</Characters>
  <Application>Microsoft Office Word</Application>
  <DocSecurity>0</DocSecurity>
  <Lines>757</Lines>
  <Paragraphs>137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59699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Isabella Silva Di Jorge Portella</cp:lastModifiedBy>
  <cp:revision>2</cp:revision>
  <dcterms:created xsi:type="dcterms:W3CDTF">2026-03-09T16:18:00Z</dcterms:created>
  <dcterms:modified xsi:type="dcterms:W3CDTF">2026-03-09T16:18:00Z</dcterms:modified>
  <cp:category/>
</cp:coreProperties>
</file>