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7507" w14:textId="69DA6554" w:rsidR="00382E09" w:rsidRPr="00554CB7" w:rsidRDefault="00382E09" w:rsidP="00382E09">
      <w:pPr>
        <w:rPr>
          <w:lang w:val="pt-BR"/>
        </w:rPr>
      </w:pPr>
      <w:r w:rsidRPr="00554CB7">
        <w:rPr>
          <w:b/>
          <w:lang w:val="pt-BR"/>
        </w:rPr>
        <w:t>A POLÍTICA PÚBLICA DO RPV E SUA CAPTURA: DESVIRTUAMENTO DA COMPETÊNCIA LEGISLATIVA NOS MUNICÍPIOS DO RIO DE JANEIRO</w:t>
      </w:r>
    </w:p>
    <w:p w14:paraId="4E0BDAB7" w14:textId="77777777" w:rsidR="008977BE" w:rsidRDefault="008977BE" w:rsidP="00382E09">
      <w:pPr>
        <w:spacing w:line="360" w:lineRule="auto"/>
        <w:jc w:val="center"/>
        <w:rPr>
          <w:lang w:val="pt-BR"/>
        </w:rPr>
      </w:pPr>
    </w:p>
    <w:p w14:paraId="49E5083F" w14:textId="54F4CA90" w:rsidR="00382E09" w:rsidRPr="00554CB7" w:rsidRDefault="00382E09" w:rsidP="00382E09">
      <w:pPr>
        <w:spacing w:line="360" w:lineRule="auto"/>
        <w:jc w:val="center"/>
        <w:rPr>
          <w:lang w:val="pt-BR"/>
        </w:rPr>
      </w:pPr>
      <w:r w:rsidRPr="00554CB7">
        <w:rPr>
          <w:lang w:val="pt-BR"/>
        </w:rPr>
        <w:t xml:space="preserve">Eixo Temático: Tema 4 </w:t>
      </w:r>
      <w:r w:rsidR="006B0C68">
        <w:rPr>
          <w:lang w:val="pt-BR"/>
        </w:rPr>
        <w:t>-</w:t>
      </w:r>
      <w:r w:rsidRPr="00554CB7">
        <w:rPr>
          <w:lang w:val="pt-BR"/>
        </w:rPr>
        <w:t xml:space="preserve"> Controle Jurídico de Políticas Públicas</w:t>
      </w:r>
    </w:p>
    <w:p w14:paraId="727A2B88" w14:textId="77777777" w:rsidR="00382E09" w:rsidRPr="00554CB7" w:rsidRDefault="00382E09" w:rsidP="00382E09">
      <w:pPr>
        <w:spacing w:before="360" w:after="240" w:line="360" w:lineRule="auto"/>
        <w:rPr>
          <w:lang w:val="pt-BR"/>
        </w:rPr>
      </w:pPr>
      <w:r w:rsidRPr="00554CB7">
        <w:rPr>
          <w:b/>
          <w:lang w:val="pt-BR"/>
        </w:rPr>
        <w:t>RESUMO</w:t>
      </w:r>
    </w:p>
    <w:p w14:paraId="53E4E7A8" w14:textId="77777777" w:rsidR="00382E09" w:rsidRPr="00554CB7" w:rsidRDefault="00382E09" w:rsidP="00382E09">
      <w:pPr>
        <w:spacing w:line="360" w:lineRule="auto"/>
        <w:jc w:val="both"/>
        <w:rPr>
          <w:lang w:val="pt-BR"/>
        </w:rPr>
      </w:pPr>
      <w:r w:rsidRPr="00554CB7">
        <w:rPr>
          <w:lang w:val="pt-BR"/>
        </w:rPr>
        <w:t xml:space="preserve">A Requisição de Pequeno Valor (RPV) foi concebida como política pública de proteção ao credor de menor expressão econômica, assegurando-lhe satisfação célere de créditos judiciais contra a Fazenda Pública sem submissão ao regime cronológico dos precatórios. O art. 100, §§ 3º e 4º, da Constituição Federal, com a redação da Emenda Constitucional nº 62/2009, atribuiu aos entes federados competência para fixar, por lei própria, limites de RPV compatíveis com sua capacidade econômica, observados a proporcionalidade e o piso do RGPS. O Supremo Tribunal Federal consolidou, nos Temas 1.231 e 1.326 de repercussão geral, que essa competência pressupõe demonstração de capacidade econômica e proporcionalidade. Contudo, a indeterminação prática desses critérios abriu espaço para que municípios financeiramente robustos reduzissem seus limites sem necessidade fiscal demonstrável. A presente pesquisa realiza o primeiro mapeamento empírico-documental das leis municipais de RPV nos 92 municípios do Estado do Rio de Janeiro, classificando-os em cinco grupos e confrontando as escolhas legislativas dos municípios de maior arrecadação com indicadores fiscais objetivos extraídos da CAPAG/Tesouro Nacional e do SICONFI. Os resultados parciais revelam que municípios como Rio de Janeiro, Niterói, Duque de Caxias e os </w:t>
      </w:r>
      <w:proofErr w:type="spellStart"/>
      <w:r w:rsidRPr="00554CB7">
        <w:rPr>
          <w:lang w:val="pt-BR"/>
        </w:rPr>
        <w:t>petrorrentistas</w:t>
      </w:r>
      <w:proofErr w:type="spellEnd"/>
      <w:r w:rsidRPr="00554CB7">
        <w:rPr>
          <w:lang w:val="pt-BR"/>
        </w:rPr>
        <w:t xml:space="preserve"> Carapebus e Quissamã editaram leis redutoras sem que seus indicadores de endividamento ou comprometimento da Receita Corrente Líquida justificassem a medida, configurando uso estratégico de uma competência constitucional concebida para proteger entes financeiramente frágeis, em detrimento dos credores da Fazenda Pública municipal.</w:t>
      </w:r>
    </w:p>
    <w:p w14:paraId="0F97FD90" w14:textId="77777777" w:rsidR="00382E09" w:rsidRPr="00554CB7" w:rsidRDefault="00382E09" w:rsidP="00382E09">
      <w:pPr>
        <w:spacing w:line="360" w:lineRule="auto"/>
        <w:jc w:val="both"/>
        <w:rPr>
          <w:lang w:val="pt-BR"/>
        </w:rPr>
      </w:pPr>
      <w:r w:rsidRPr="00554CB7">
        <w:rPr>
          <w:b/>
          <w:lang w:val="pt-BR"/>
        </w:rPr>
        <w:t xml:space="preserve">Palavras-chave: </w:t>
      </w:r>
      <w:r w:rsidRPr="00554CB7">
        <w:rPr>
          <w:lang w:val="pt-BR"/>
        </w:rPr>
        <w:t>Requisição de Pequeno Valor; competência legislativa municipal; políticas públicas; controle constitucional; municípios fluminenses.</w:t>
      </w:r>
    </w:p>
    <w:p w14:paraId="54E73582" w14:textId="77777777" w:rsidR="00382E09" w:rsidRPr="00554CB7" w:rsidRDefault="00382E09" w:rsidP="00382E09">
      <w:pPr>
        <w:spacing w:before="360" w:after="240" w:line="360" w:lineRule="auto"/>
        <w:rPr>
          <w:lang w:val="pt-BR"/>
        </w:rPr>
      </w:pPr>
      <w:r w:rsidRPr="00554CB7">
        <w:rPr>
          <w:b/>
          <w:lang w:val="pt-BR"/>
        </w:rPr>
        <w:t>ABSTRACT</w:t>
      </w:r>
    </w:p>
    <w:p w14:paraId="44FC9EE8" w14:textId="77777777" w:rsidR="00382E09" w:rsidRPr="00554CB7" w:rsidRDefault="00382E09" w:rsidP="00382E09">
      <w:pPr>
        <w:spacing w:line="360" w:lineRule="auto"/>
        <w:jc w:val="both"/>
        <w:rPr>
          <w:lang w:val="pt-BR"/>
        </w:rPr>
      </w:pPr>
      <w:r w:rsidRPr="00554CB7">
        <w:rPr>
          <w:lang w:val="pt-BR"/>
        </w:rPr>
        <w:t xml:space="preserve">The </w:t>
      </w:r>
      <w:proofErr w:type="spellStart"/>
      <w:r w:rsidRPr="00554CB7">
        <w:rPr>
          <w:lang w:val="pt-BR"/>
        </w:rPr>
        <w:t>Small</w:t>
      </w:r>
      <w:proofErr w:type="spellEnd"/>
      <w:r w:rsidRPr="00554CB7">
        <w:rPr>
          <w:lang w:val="pt-BR"/>
        </w:rPr>
        <w:t xml:space="preserve"> </w:t>
      </w:r>
      <w:proofErr w:type="spellStart"/>
      <w:r w:rsidRPr="00554CB7">
        <w:rPr>
          <w:lang w:val="pt-BR"/>
        </w:rPr>
        <w:t>Value</w:t>
      </w:r>
      <w:proofErr w:type="spellEnd"/>
      <w:r w:rsidRPr="00554CB7">
        <w:rPr>
          <w:lang w:val="pt-BR"/>
        </w:rPr>
        <w:t xml:space="preserve"> </w:t>
      </w:r>
      <w:proofErr w:type="spellStart"/>
      <w:r w:rsidRPr="00554CB7">
        <w:rPr>
          <w:lang w:val="pt-BR"/>
        </w:rPr>
        <w:t>Requisition</w:t>
      </w:r>
      <w:proofErr w:type="spellEnd"/>
      <w:r w:rsidRPr="00554CB7">
        <w:rPr>
          <w:lang w:val="pt-BR"/>
        </w:rPr>
        <w:t xml:space="preserve"> (RPV) </w:t>
      </w:r>
      <w:proofErr w:type="spellStart"/>
      <w:r w:rsidRPr="00554CB7">
        <w:rPr>
          <w:lang w:val="pt-BR"/>
        </w:rPr>
        <w:t>was</w:t>
      </w:r>
      <w:proofErr w:type="spellEnd"/>
      <w:r w:rsidRPr="00554CB7">
        <w:rPr>
          <w:lang w:val="pt-BR"/>
        </w:rPr>
        <w:t xml:space="preserve"> </w:t>
      </w:r>
      <w:proofErr w:type="spellStart"/>
      <w:r w:rsidRPr="00554CB7">
        <w:rPr>
          <w:lang w:val="pt-BR"/>
        </w:rPr>
        <w:t>designed</w:t>
      </w:r>
      <w:proofErr w:type="spellEnd"/>
      <w:r w:rsidRPr="00554CB7">
        <w:rPr>
          <w:lang w:val="pt-BR"/>
        </w:rPr>
        <w:t xml:space="preserve"> as a </w:t>
      </w:r>
      <w:proofErr w:type="spellStart"/>
      <w:r w:rsidRPr="00554CB7">
        <w:rPr>
          <w:lang w:val="pt-BR"/>
        </w:rPr>
        <w:t>public</w:t>
      </w:r>
      <w:proofErr w:type="spellEnd"/>
      <w:r w:rsidRPr="00554CB7">
        <w:rPr>
          <w:lang w:val="pt-BR"/>
        </w:rPr>
        <w:t xml:space="preserve"> </w:t>
      </w:r>
      <w:proofErr w:type="spellStart"/>
      <w:r w:rsidRPr="00554CB7">
        <w:rPr>
          <w:lang w:val="pt-BR"/>
        </w:rPr>
        <w:t>policy</w:t>
      </w:r>
      <w:proofErr w:type="spellEnd"/>
      <w:r w:rsidRPr="00554CB7">
        <w:rPr>
          <w:lang w:val="pt-BR"/>
        </w:rPr>
        <w:t xml:space="preserve"> </w:t>
      </w:r>
      <w:proofErr w:type="spellStart"/>
      <w:r w:rsidRPr="00554CB7">
        <w:rPr>
          <w:lang w:val="pt-BR"/>
        </w:rPr>
        <w:t>to</w:t>
      </w:r>
      <w:proofErr w:type="spellEnd"/>
      <w:r w:rsidRPr="00554CB7">
        <w:rPr>
          <w:lang w:val="pt-BR"/>
        </w:rPr>
        <w:t xml:space="preserve"> </w:t>
      </w:r>
      <w:proofErr w:type="spellStart"/>
      <w:r w:rsidRPr="00554CB7">
        <w:rPr>
          <w:lang w:val="pt-BR"/>
        </w:rPr>
        <w:t>protect</w:t>
      </w:r>
      <w:proofErr w:type="spellEnd"/>
      <w:r w:rsidRPr="00554CB7">
        <w:rPr>
          <w:lang w:val="pt-BR"/>
        </w:rPr>
        <w:t xml:space="preserve"> </w:t>
      </w:r>
      <w:proofErr w:type="spellStart"/>
      <w:r w:rsidRPr="00554CB7">
        <w:rPr>
          <w:lang w:val="pt-BR"/>
        </w:rPr>
        <w:t>creditors</w:t>
      </w:r>
      <w:proofErr w:type="spellEnd"/>
      <w:r w:rsidRPr="00554CB7">
        <w:rPr>
          <w:lang w:val="pt-BR"/>
        </w:rPr>
        <w:t xml:space="preserve"> </w:t>
      </w:r>
      <w:proofErr w:type="spellStart"/>
      <w:r w:rsidRPr="00554CB7">
        <w:rPr>
          <w:lang w:val="pt-BR"/>
        </w:rPr>
        <w:t>with</w:t>
      </w:r>
      <w:proofErr w:type="spellEnd"/>
      <w:r w:rsidRPr="00554CB7">
        <w:rPr>
          <w:lang w:val="pt-BR"/>
        </w:rPr>
        <w:t xml:space="preserve"> </w:t>
      </w:r>
      <w:proofErr w:type="spellStart"/>
      <w:r w:rsidRPr="00554CB7">
        <w:rPr>
          <w:lang w:val="pt-BR"/>
        </w:rPr>
        <w:t>lower-value</w:t>
      </w:r>
      <w:proofErr w:type="spellEnd"/>
      <w:r w:rsidRPr="00554CB7">
        <w:rPr>
          <w:lang w:val="pt-BR"/>
        </w:rPr>
        <w:t xml:space="preserve"> </w:t>
      </w:r>
      <w:proofErr w:type="spellStart"/>
      <w:r w:rsidRPr="00554CB7">
        <w:rPr>
          <w:lang w:val="pt-BR"/>
        </w:rPr>
        <w:t>claims</w:t>
      </w:r>
      <w:proofErr w:type="spellEnd"/>
      <w:r w:rsidRPr="00554CB7">
        <w:rPr>
          <w:lang w:val="pt-BR"/>
        </w:rPr>
        <w:t xml:space="preserve">, </w:t>
      </w:r>
      <w:proofErr w:type="spellStart"/>
      <w:r w:rsidRPr="00554CB7">
        <w:rPr>
          <w:lang w:val="pt-BR"/>
        </w:rPr>
        <w:t>ensuring</w:t>
      </w:r>
      <w:proofErr w:type="spellEnd"/>
      <w:r w:rsidRPr="00554CB7">
        <w:rPr>
          <w:lang w:val="pt-BR"/>
        </w:rPr>
        <w:t xml:space="preserve"> prompt </w:t>
      </w:r>
      <w:proofErr w:type="spellStart"/>
      <w:r w:rsidRPr="00554CB7">
        <w:rPr>
          <w:lang w:val="pt-BR"/>
        </w:rPr>
        <w:t>satisfaction</w:t>
      </w:r>
      <w:proofErr w:type="spellEnd"/>
      <w:r w:rsidRPr="00554CB7">
        <w:rPr>
          <w:lang w:val="pt-BR"/>
        </w:rPr>
        <w:t xml:space="preserve"> </w:t>
      </w:r>
      <w:proofErr w:type="spellStart"/>
      <w:r w:rsidRPr="00554CB7">
        <w:rPr>
          <w:lang w:val="pt-BR"/>
        </w:rPr>
        <w:t>of</w:t>
      </w:r>
      <w:proofErr w:type="spellEnd"/>
      <w:r w:rsidRPr="00554CB7">
        <w:rPr>
          <w:lang w:val="pt-BR"/>
        </w:rPr>
        <w:t xml:space="preserve"> judicial </w:t>
      </w:r>
      <w:proofErr w:type="spellStart"/>
      <w:r w:rsidRPr="00554CB7">
        <w:rPr>
          <w:lang w:val="pt-BR"/>
        </w:rPr>
        <w:t>credits</w:t>
      </w:r>
      <w:proofErr w:type="spellEnd"/>
      <w:r w:rsidRPr="00554CB7">
        <w:rPr>
          <w:lang w:val="pt-BR"/>
        </w:rPr>
        <w:t xml:space="preserve"> </w:t>
      </w:r>
      <w:proofErr w:type="spellStart"/>
      <w:r w:rsidRPr="00554CB7">
        <w:rPr>
          <w:lang w:val="pt-BR"/>
        </w:rPr>
        <w:t>against</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Public</w:t>
      </w:r>
      <w:proofErr w:type="spellEnd"/>
      <w:r w:rsidRPr="00554CB7">
        <w:rPr>
          <w:lang w:val="pt-BR"/>
        </w:rPr>
        <w:t xml:space="preserve"> Treasury </w:t>
      </w:r>
      <w:proofErr w:type="spellStart"/>
      <w:r w:rsidRPr="00554CB7">
        <w:rPr>
          <w:lang w:val="pt-BR"/>
        </w:rPr>
        <w:t>without</w:t>
      </w:r>
      <w:proofErr w:type="spellEnd"/>
      <w:r w:rsidRPr="00554CB7">
        <w:rPr>
          <w:lang w:val="pt-BR"/>
        </w:rPr>
        <w:t xml:space="preserve"> </w:t>
      </w:r>
      <w:proofErr w:type="spellStart"/>
      <w:r w:rsidRPr="00554CB7">
        <w:rPr>
          <w:lang w:val="pt-BR"/>
        </w:rPr>
        <w:t>subjection</w:t>
      </w:r>
      <w:proofErr w:type="spellEnd"/>
      <w:r w:rsidRPr="00554CB7">
        <w:rPr>
          <w:lang w:val="pt-BR"/>
        </w:rPr>
        <w:t xml:space="preserve"> </w:t>
      </w:r>
      <w:proofErr w:type="spellStart"/>
      <w:r w:rsidRPr="00554CB7">
        <w:rPr>
          <w:lang w:val="pt-BR"/>
        </w:rPr>
        <w:t>to</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chronological</w:t>
      </w:r>
      <w:proofErr w:type="spellEnd"/>
      <w:r w:rsidRPr="00554CB7">
        <w:rPr>
          <w:lang w:val="pt-BR"/>
        </w:rPr>
        <w:t xml:space="preserve"> regime </w:t>
      </w:r>
      <w:proofErr w:type="spellStart"/>
      <w:r w:rsidRPr="00554CB7">
        <w:rPr>
          <w:lang w:val="pt-BR"/>
        </w:rPr>
        <w:t>of</w:t>
      </w:r>
      <w:proofErr w:type="spellEnd"/>
      <w:r w:rsidRPr="00554CB7">
        <w:rPr>
          <w:lang w:val="pt-BR"/>
        </w:rPr>
        <w:t xml:space="preserve"> </w:t>
      </w:r>
      <w:proofErr w:type="spellStart"/>
      <w:r w:rsidRPr="00554CB7">
        <w:rPr>
          <w:lang w:val="pt-BR"/>
        </w:rPr>
        <w:t>court-ordered</w:t>
      </w:r>
      <w:proofErr w:type="spellEnd"/>
      <w:r w:rsidRPr="00554CB7">
        <w:rPr>
          <w:lang w:val="pt-BR"/>
        </w:rPr>
        <w:t xml:space="preserve"> </w:t>
      </w:r>
      <w:proofErr w:type="spellStart"/>
      <w:r w:rsidRPr="00554CB7">
        <w:rPr>
          <w:lang w:val="pt-BR"/>
        </w:rPr>
        <w:t>debt</w:t>
      </w:r>
      <w:proofErr w:type="spellEnd"/>
      <w:r w:rsidRPr="00554CB7">
        <w:rPr>
          <w:lang w:val="pt-BR"/>
        </w:rPr>
        <w:t xml:space="preserve"> </w:t>
      </w:r>
      <w:proofErr w:type="spellStart"/>
      <w:r w:rsidRPr="00554CB7">
        <w:rPr>
          <w:lang w:val="pt-BR"/>
        </w:rPr>
        <w:t>payments</w:t>
      </w:r>
      <w:proofErr w:type="spellEnd"/>
      <w:r w:rsidRPr="00554CB7">
        <w:rPr>
          <w:lang w:val="pt-BR"/>
        </w:rPr>
        <w:t xml:space="preserve"> (precatórios). </w:t>
      </w:r>
      <w:proofErr w:type="spellStart"/>
      <w:r w:rsidRPr="00554CB7">
        <w:rPr>
          <w:lang w:val="pt-BR"/>
        </w:rPr>
        <w:lastRenderedPageBreak/>
        <w:t>Article</w:t>
      </w:r>
      <w:proofErr w:type="spellEnd"/>
      <w:r w:rsidRPr="00554CB7">
        <w:rPr>
          <w:lang w:val="pt-BR"/>
        </w:rPr>
        <w:t xml:space="preserve"> 100, </w:t>
      </w:r>
      <w:proofErr w:type="spellStart"/>
      <w:r w:rsidRPr="00554CB7">
        <w:rPr>
          <w:lang w:val="pt-BR"/>
        </w:rPr>
        <w:t>paragraphs</w:t>
      </w:r>
      <w:proofErr w:type="spellEnd"/>
      <w:r w:rsidRPr="00554CB7">
        <w:rPr>
          <w:lang w:val="pt-BR"/>
        </w:rPr>
        <w:t xml:space="preserve"> 3 </w:t>
      </w:r>
      <w:proofErr w:type="spellStart"/>
      <w:r w:rsidRPr="00554CB7">
        <w:rPr>
          <w:lang w:val="pt-BR"/>
        </w:rPr>
        <w:t>and</w:t>
      </w:r>
      <w:proofErr w:type="spellEnd"/>
      <w:r w:rsidRPr="00554CB7">
        <w:rPr>
          <w:lang w:val="pt-BR"/>
        </w:rPr>
        <w:t xml:space="preserve"> 4 </w:t>
      </w:r>
      <w:proofErr w:type="spellStart"/>
      <w:r w:rsidRPr="00554CB7">
        <w:rPr>
          <w:lang w:val="pt-BR"/>
        </w:rPr>
        <w:t>of</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Brazilian</w:t>
      </w:r>
      <w:proofErr w:type="spellEnd"/>
      <w:r w:rsidRPr="00554CB7">
        <w:rPr>
          <w:lang w:val="pt-BR"/>
        </w:rPr>
        <w:t xml:space="preserve"> Federal </w:t>
      </w:r>
      <w:proofErr w:type="spellStart"/>
      <w:r w:rsidRPr="00554CB7">
        <w:rPr>
          <w:lang w:val="pt-BR"/>
        </w:rPr>
        <w:t>Constitution</w:t>
      </w:r>
      <w:proofErr w:type="spellEnd"/>
      <w:r w:rsidRPr="00554CB7">
        <w:rPr>
          <w:lang w:val="pt-BR"/>
        </w:rPr>
        <w:t xml:space="preserve">, as </w:t>
      </w:r>
      <w:proofErr w:type="spellStart"/>
      <w:r w:rsidRPr="00554CB7">
        <w:rPr>
          <w:lang w:val="pt-BR"/>
        </w:rPr>
        <w:t>amended</w:t>
      </w:r>
      <w:proofErr w:type="spellEnd"/>
      <w:r w:rsidRPr="00554CB7">
        <w:rPr>
          <w:lang w:val="pt-BR"/>
        </w:rPr>
        <w:t xml:space="preserve"> </w:t>
      </w:r>
      <w:proofErr w:type="spellStart"/>
      <w:r w:rsidRPr="00554CB7">
        <w:rPr>
          <w:lang w:val="pt-BR"/>
        </w:rPr>
        <w:t>by</w:t>
      </w:r>
      <w:proofErr w:type="spellEnd"/>
      <w:r w:rsidRPr="00554CB7">
        <w:rPr>
          <w:lang w:val="pt-BR"/>
        </w:rPr>
        <w:t xml:space="preserve"> </w:t>
      </w:r>
      <w:proofErr w:type="spellStart"/>
      <w:r w:rsidRPr="00554CB7">
        <w:rPr>
          <w:lang w:val="pt-BR"/>
        </w:rPr>
        <w:t>Constitutional</w:t>
      </w:r>
      <w:proofErr w:type="spellEnd"/>
      <w:r w:rsidRPr="00554CB7">
        <w:rPr>
          <w:lang w:val="pt-BR"/>
        </w:rPr>
        <w:t xml:space="preserve"> </w:t>
      </w:r>
      <w:proofErr w:type="spellStart"/>
      <w:r w:rsidRPr="00554CB7">
        <w:rPr>
          <w:lang w:val="pt-BR"/>
        </w:rPr>
        <w:t>Amendment</w:t>
      </w:r>
      <w:proofErr w:type="spellEnd"/>
      <w:r w:rsidRPr="00554CB7">
        <w:rPr>
          <w:lang w:val="pt-BR"/>
        </w:rPr>
        <w:t xml:space="preserve"> No. 62/2009, </w:t>
      </w:r>
      <w:proofErr w:type="spellStart"/>
      <w:r w:rsidRPr="00554CB7">
        <w:rPr>
          <w:lang w:val="pt-BR"/>
        </w:rPr>
        <w:t>granted</w:t>
      </w:r>
      <w:proofErr w:type="spellEnd"/>
      <w:r w:rsidRPr="00554CB7">
        <w:rPr>
          <w:lang w:val="pt-BR"/>
        </w:rPr>
        <w:t xml:space="preserve"> </w:t>
      </w:r>
      <w:proofErr w:type="spellStart"/>
      <w:r w:rsidRPr="00554CB7">
        <w:rPr>
          <w:lang w:val="pt-BR"/>
        </w:rPr>
        <w:t>each</w:t>
      </w:r>
      <w:proofErr w:type="spellEnd"/>
      <w:r w:rsidRPr="00554CB7">
        <w:rPr>
          <w:lang w:val="pt-BR"/>
        </w:rPr>
        <w:t xml:space="preserve"> </w:t>
      </w:r>
      <w:proofErr w:type="spellStart"/>
      <w:r w:rsidRPr="00554CB7">
        <w:rPr>
          <w:lang w:val="pt-BR"/>
        </w:rPr>
        <w:t>federative</w:t>
      </w:r>
      <w:proofErr w:type="spellEnd"/>
      <w:r w:rsidRPr="00554CB7">
        <w:rPr>
          <w:lang w:val="pt-BR"/>
        </w:rPr>
        <w:t xml:space="preserve"> </w:t>
      </w:r>
      <w:proofErr w:type="spellStart"/>
      <w:r w:rsidRPr="00554CB7">
        <w:rPr>
          <w:lang w:val="pt-BR"/>
        </w:rPr>
        <w:t>entity</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authority</w:t>
      </w:r>
      <w:proofErr w:type="spellEnd"/>
      <w:r w:rsidRPr="00554CB7">
        <w:rPr>
          <w:lang w:val="pt-BR"/>
        </w:rPr>
        <w:t xml:space="preserve"> </w:t>
      </w:r>
      <w:proofErr w:type="spellStart"/>
      <w:r w:rsidRPr="00554CB7">
        <w:rPr>
          <w:lang w:val="pt-BR"/>
        </w:rPr>
        <w:t>to</w:t>
      </w:r>
      <w:proofErr w:type="spellEnd"/>
      <w:r w:rsidRPr="00554CB7">
        <w:rPr>
          <w:lang w:val="pt-BR"/>
        </w:rPr>
        <w:t xml:space="preserve"> </w:t>
      </w:r>
      <w:proofErr w:type="spellStart"/>
      <w:r w:rsidRPr="00554CB7">
        <w:rPr>
          <w:lang w:val="pt-BR"/>
        </w:rPr>
        <w:t>establish</w:t>
      </w:r>
      <w:proofErr w:type="spellEnd"/>
      <w:r w:rsidRPr="00554CB7">
        <w:rPr>
          <w:lang w:val="pt-BR"/>
        </w:rPr>
        <w:t xml:space="preserve">, </w:t>
      </w:r>
      <w:proofErr w:type="spellStart"/>
      <w:r w:rsidRPr="00554CB7">
        <w:rPr>
          <w:lang w:val="pt-BR"/>
        </w:rPr>
        <w:t>by</w:t>
      </w:r>
      <w:proofErr w:type="spellEnd"/>
      <w:r w:rsidRPr="00554CB7">
        <w:rPr>
          <w:lang w:val="pt-BR"/>
        </w:rPr>
        <w:t xml:space="preserve"> </w:t>
      </w:r>
      <w:proofErr w:type="spellStart"/>
      <w:r w:rsidRPr="00554CB7">
        <w:rPr>
          <w:lang w:val="pt-BR"/>
        </w:rPr>
        <w:t>specific</w:t>
      </w:r>
      <w:proofErr w:type="spellEnd"/>
      <w:r w:rsidRPr="00554CB7">
        <w:rPr>
          <w:lang w:val="pt-BR"/>
        </w:rPr>
        <w:t xml:space="preserve"> </w:t>
      </w:r>
      <w:proofErr w:type="spellStart"/>
      <w:r w:rsidRPr="00554CB7">
        <w:rPr>
          <w:lang w:val="pt-BR"/>
        </w:rPr>
        <w:t>legislation</w:t>
      </w:r>
      <w:proofErr w:type="spellEnd"/>
      <w:r w:rsidRPr="00554CB7">
        <w:rPr>
          <w:lang w:val="pt-BR"/>
        </w:rPr>
        <w:t xml:space="preserve">, RPV </w:t>
      </w:r>
      <w:proofErr w:type="spellStart"/>
      <w:r w:rsidRPr="00554CB7">
        <w:rPr>
          <w:lang w:val="pt-BR"/>
        </w:rPr>
        <w:t>limits</w:t>
      </w:r>
      <w:proofErr w:type="spellEnd"/>
      <w:r w:rsidRPr="00554CB7">
        <w:rPr>
          <w:lang w:val="pt-BR"/>
        </w:rPr>
        <w:t xml:space="preserve"> </w:t>
      </w:r>
      <w:proofErr w:type="spellStart"/>
      <w:r w:rsidRPr="00554CB7">
        <w:rPr>
          <w:lang w:val="pt-BR"/>
        </w:rPr>
        <w:t>compatible</w:t>
      </w:r>
      <w:proofErr w:type="spellEnd"/>
      <w:r w:rsidRPr="00554CB7">
        <w:rPr>
          <w:lang w:val="pt-BR"/>
        </w:rPr>
        <w:t xml:space="preserve"> </w:t>
      </w:r>
      <w:proofErr w:type="spellStart"/>
      <w:r w:rsidRPr="00554CB7">
        <w:rPr>
          <w:lang w:val="pt-BR"/>
        </w:rPr>
        <w:t>with</w:t>
      </w:r>
      <w:proofErr w:type="spellEnd"/>
      <w:r w:rsidRPr="00554CB7">
        <w:rPr>
          <w:lang w:val="pt-BR"/>
        </w:rPr>
        <w:t xml:space="preserve"> </w:t>
      </w:r>
      <w:proofErr w:type="spellStart"/>
      <w:r w:rsidRPr="00554CB7">
        <w:rPr>
          <w:lang w:val="pt-BR"/>
        </w:rPr>
        <w:t>their</w:t>
      </w:r>
      <w:proofErr w:type="spellEnd"/>
      <w:r w:rsidRPr="00554CB7">
        <w:rPr>
          <w:lang w:val="pt-BR"/>
        </w:rPr>
        <w:t xml:space="preserve"> </w:t>
      </w:r>
      <w:proofErr w:type="spellStart"/>
      <w:r w:rsidRPr="00554CB7">
        <w:rPr>
          <w:lang w:val="pt-BR"/>
        </w:rPr>
        <w:t>economic</w:t>
      </w:r>
      <w:proofErr w:type="spellEnd"/>
      <w:r w:rsidRPr="00554CB7">
        <w:rPr>
          <w:lang w:val="pt-BR"/>
        </w:rPr>
        <w:t xml:space="preserve"> </w:t>
      </w:r>
      <w:proofErr w:type="spellStart"/>
      <w:r w:rsidRPr="00554CB7">
        <w:rPr>
          <w:lang w:val="pt-BR"/>
        </w:rPr>
        <w:t>capacity</w:t>
      </w:r>
      <w:proofErr w:type="spellEnd"/>
      <w:r w:rsidRPr="00554CB7">
        <w:rPr>
          <w:lang w:val="pt-BR"/>
        </w:rPr>
        <w:t xml:space="preserve">, </w:t>
      </w:r>
      <w:proofErr w:type="spellStart"/>
      <w:r w:rsidRPr="00554CB7">
        <w:rPr>
          <w:lang w:val="pt-BR"/>
        </w:rPr>
        <w:t>subject</w:t>
      </w:r>
      <w:proofErr w:type="spellEnd"/>
      <w:r w:rsidRPr="00554CB7">
        <w:rPr>
          <w:lang w:val="pt-BR"/>
        </w:rPr>
        <w:t xml:space="preserve"> </w:t>
      </w:r>
      <w:proofErr w:type="spellStart"/>
      <w:r w:rsidRPr="00554CB7">
        <w:rPr>
          <w:lang w:val="pt-BR"/>
        </w:rPr>
        <w:t>to</w:t>
      </w:r>
      <w:proofErr w:type="spellEnd"/>
      <w:r w:rsidRPr="00554CB7">
        <w:rPr>
          <w:lang w:val="pt-BR"/>
        </w:rPr>
        <w:t xml:space="preserve"> </w:t>
      </w:r>
      <w:proofErr w:type="spellStart"/>
      <w:r w:rsidRPr="00554CB7">
        <w:rPr>
          <w:lang w:val="pt-BR"/>
        </w:rPr>
        <w:t>proportionality</w:t>
      </w:r>
      <w:proofErr w:type="spellEnd"/>
      <w:r w:rsidRPr="00554CB7">
        <w:rPr>
          <w:lang w:val="pt-BR"/>
        </w:rPr>
        <w:t xml:space="preserve"> </w:t>
      </w:r>
      <w:proofErr w:type="spellStart"/>
      <w:r w:rsidRPr="00554CB7">
        <w:rPr>
          <w:lang w:val="pt-BR"/>
        </w:rPr>
        <w:t>requirements</w:t>
      </w:r>
      <w:proofErr w:type="spellEnd"/>
      <w:r w:rsidRPr="00554CB7">
        <w:rPr>
          <w:lang w:val="pt-BR"/>
        </w:rPr>
        <w:t xml:space="preserve"> </w:t>
      </w:r>
      <w:proofErr w:type="spellStart"/>
      <w:r w:rsidRPr="00554CB7">
        <w:rPr>
          <w:lang w:val="pt-BR"/>
        </w:rPr>
        <w:t>and</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minimum</w:t>
      </w:r>
      <w:proofErr w:type="spellEnd"/>
      <w:r w:rsidRPr="00554CB7">
        <w:rPr>
          <w:lang w:val="pt-BR"/>
        </w:rPr>
        <w:t xml:space="preserve"> </w:t>
      </w:r>
      <w:proofErr w:type="spellStart"/>
      <w:r w:rsidRPr="00554CB7">
        <w:rPr>
          <w:lang w:val="pt-BR"/>
        </w:rPr>
        <w:t>threshold</w:t>
      </w:r>
      <w:proofErr w:type="spellEnd"/>
      <w:r w:rsidRPr="00554CB7">
        <w:rPr>
          <w:lang w:val="pt-BR"/>
        </w:rPr>
        <w:t xml:space="preserve"> </w:t>
      </w:r>
      <w:proofErr w:type="spellStart"/>
      <w:r w:rsidRPr="00554CB7">
        <w:rPr>
          <w:lang w:val="pt-BR"/>
        </w:rPr>
        <w:t>of</w:t>
      </w:r>
      <w:proofErr w:type="spellEnd"/>
      <w:r w:rsidRPr="00554CB7">
        <w:rPr>
          <w:lang w:val="pt-BR"/>
        </w:rPr>
        <w:t xml:space="preserve"> </w:t>
      </w:r>
      <w:proofErr w:type="spellStart"/>
      <w:r w:rsidRPr="00554CB7">
        <w:rPr>
          <w:lang w:val="pt-BR"/>
        </w:rPr>
        <w:t>the</w:t>
      </w:r>
      <w:proofErr w:type="spellEnd"/>
      <w:r w:rsidRPr="00554CB7">
        <w:rPr>
          <w:lang w:val="pt-BR"/>
        </w:rPr>
        <w:t xml:space="preserve"> General Social Security Regime (RGPS). The </w:t>
      </w:r>
      <w:proofErr w:type="spellStart"/>
      <w:r w:rsidRPr="00554CB7">
        <w:rPr>
          <w:lang w:val="pt-BR"/>
        </w:rPr>
        <w:t>Brazilian</w:t>
      </w:r>
      <w:proofErr w:type="spellEnd"/>
      <w:r w:rsidRPr="00554CB7">
        <w:rPr>
          <w:lang w:val="pt-BR"/>
        </w:rPr>
        <w:t xml:space="preserve"> Supreme </w:t>
      </w:r>
      <w:proofErr w:type="spellStart"/>
      <w:r w:rsidRPr="00554CB7">
        <w:rPr>
          <w:lang w:val="pt-BR"/>
        </w:rPr>
        <w:t>Court</w:t>
      </w:r>
      <w:proofErr w:type="spellEnd"/>
      <w:r w:rsidRPr="00554CB7">
        <w:rPr>
          <w:lang w:val="pt-BR"/>
        </w:rPr>
        <w:t xml:space="preserve"> (STF) </w:t>
      </w:r>
      <w:proofErr w:type="spellStart"/>
      <w:r w:rsidRPr="00554CB7">
        <w:rPr>
          <w:lang w:val="pt-BR"/>
        </w:rPr>
        <w:t>established</w:t>
      </w:r>
      <w:proofErr w:type="spellEnd"/>
      <w:r w:rsidRPr="00554CB7">
        <w:rPr>
          <w:lang w:val="pt-BR"/>
        </w:rPr>
        <w:t xml:space="preserve">, in </w:t>
      </w:r>
      <w:proofErr w:type="spellStart"/>
      <w:r w:rsidRPr="00554CB7">
        <w:rPr>
          <w:lang w:val="pt-BR"/>
        </w:rPr>
        <w:t>Binding</w:t>
      </w:r>
      <w:proofErr w:type="spellEnd"/>
      <w:r w:rsidRPr="00554CB7">
        <w:rPr>
          <w:lang w:val="pt-BR"/>
        </w:rPr>
        <w:t xml:space="preserve"> </w:t>
      </w:r>
      <w:proofErr w:type="spellStart"/>
      <w:r w:rsidRPr="00554CB7">
        <w:rPr>
          <w:lang w:val="pt-BR"/>
        </w:rPr>
        <w:t>Precedent</w:t>
      </w:r>
      <w:proofErr w:type="spellEnd"/>
      <w:r w:rsidRPr="00554CB7">
        <w:rPr>
          <w:lang w:val="pt-BR"/>
        </w:rPr>
        <w:t xml:space="preserve"> </w:t>
      </w:r>
      <w:proofErr w:type="spellStart"/>
      <w:r w:rsidRPr="00554CB7">
        <w:rPr>
          <w:lang w:val="pt-BR"/>
        </w:rPr>
        <w:t>Themes</w:t>
      </w:r>
      <w:proofErr w:type="spellEnd"/>
      <w:r w:rsidRPr="00554CB7">
        <w:rPr>
          <w:lang w:val="pt-BR"/>
        </w:rPr>
        <w:t xml:space="preserve"> 1,231 </w:t>
      </w:r>
      <w:proofErr w:type="spellStart"/>
      <w:r w:rsidRPr="00554CB7">
        <w:rPr>
          <w:lang w:val="pt-BR"/>
        </w:rPr>
        <w:t>and</w:t>
      </w:r>
      <w:proofErr w:type="spellEnd"/>
      <w:r w:rsidRPr="00554CB7">
        <w:rPr>
          <w:lang w:val="pt-BR"/>
        </w:rPr>
        <w:t xml:space="preserve"> 1,326, </w:t>
      </w:r>
      <w:proofErr w:type="spellStart"/>
      <w:r w:rsidRPr="00554CB7">
        <w:rPr>
          <w:lang w:val="pt-BR"/>
        </w:rPr>
        <w:t>that</w:t>
      </w:r>
      <w:proofErr w:type="spellEnd"/>
      <w:r w:rsidRPr="00554CB7">
        <w:rPr>
          <w:lang w:val="pt-BR"/>
        </w:rPr>
        <w:t xml:space="preserve"> </w:t>
      </w:r>
      <w:proofErr w:type="spellStart"/>
      <w:r w:rsidRPr="00554CB7">
        <w:rPr>
          <w:lang w:val="pt-BR"/>
        </w:rPr>
        <w:t>this</w:t>
      </w:r>
      <w:proofErr w:type="spellEnd"/>
      <w:r w:rsidRPr="00554CB7">
        <w:rPr>
          <w:lang w:val="pt-BR"/>
        </w:rPr>
        <w:t xml:space="preserve"> </w:t>
      </w:r>
      <w:proofErr w:type="spellStart"/>
      <w:r w:rsidRPr="00554CB7">
        <w:rPr>
          <w:lang w:val="pt-BR"/>
        </w:rPr>
        <w:t>authority</w:t>
      </w:r>
      <w:proofErr w:type="spellEnd"/>
      <w:r w:rsidRPr="00554CB7">
        <w:rPr>
          <w:lang w:val="pt-BR"/>
        </w:rPr>
        <w:t xml:space="preserve"> requires a </w:t>
      </w:r>
      <w:proofErr w:type="spellStart"/>
      <w:r w:rsidRPr="00554CB7">
        <w:rPr>
          <w:lang w:val="pt-BR"/>
        </w:rPr>
        <w:t>demonstration</w:t>
      </w:r>
      <w:proofErr w:type="spellEnd"/>
      <w:r w:rsidRPr="00554CB7">
        <w:rPr>
          <w:lang w:val="pt-BR"/>
        </w:rPr>
        <w:t xml:space="preserve"> </w:t>
      </w:r>
      <w:proofErr w:type="spellStart"/>
      <w:r w:rsidRPr="00554CB7">
        <w:rPr>
          <w:lang w:val="pt-BR"/>
        </w:rPr>
        <w:t>of</w:t>
      </w:r>
      <w:proofErr w:type="spellEnd"/>
      <w:r w:rsidRPr="00554CB7">
        <w:rPr>
          <w:lang w:val="pt-BR"/>
        </w:rPr>
        <w:t xml:space="preserve"> </w:t>
      </w:r>
      <w:proofErr w:type="spellStart"/>
      <w:r w:rsidRPr="00554CB7">
        <w:rPr>
          <w:lang w:val="pt-BR"/>
        </w:rPr>
        <w:t>economic</w:t>
      </w:r>
      <w:proofErr w:type="spellEnd"/>
      <w:r w:rsidRPr="00554CB7">
        <w:rPr>
          <w:lang w:val="pt-BR"/>
        </w:rPr>
        <w:t xml:space="preserve"> </w:t>
      </w:r>
      <w:proofErr w:type="spellStart"/>
      <w:r w:rsidRPr="00554CB7">
        <w:rPr>
          <w:lang w:val="pt-BR"/>
        </w:rPr>
        <w:t>capacity</w:t>
      </w:r>
      <w:proofErr w:type="spellEnd"/>
      <w:r w:rsidRPr="00554CB7">
        <w:rPr>
          <w:lang w:val="pt-BR"/>
        </w:rPr>
        <w:t xml:space="preserve"> </w:t>
      </w:r>
      <w:proofErr w:type="spellStart"/>
      <w:r w:rsidRPr="00554CB7">
        <w:rPr>
          <w:lang w:val="pt-BR"/>
        </w:rPr>
        <w:t>and</w:t>
      </w:r>
      <w:proofErr w:type="spellEnd"/>
      <w:r w:rsidRPr="00554CB7">
        <w:rPr>
          <w:lang w:val="pt-BR"/>
        </w:rPr>
        <w:t xml:space="preserve"> </w:t>
      </w:r>
      <w:proofErr w:type="spellStart"/>
      <w:r w:rsidRPr="00554CB7">
        <w:rPr>
          <w:lang w:val="pt-BR"/>
        </w:rPr>
        <w:t>proportionality</w:t>
      </w:r>
      <w:proofErr w:type="spellEnd"/>
      <w:r w:rsidRPr="00554CB7">
        <w:rPr>
          <w:lang w:val="pt-BR"/>
        </w:rPr>
        <w:t xml:space="preserve">. </w:t>
      </w:r>
      <w:proofErr w:type="spellStart"/>
      <w:r w:rsidRPr="00554CB7">
        <w:rPr>
          <w:lang w:val="pt-BR"/>
        </w:rPr>
        <w:t>However</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practical</w:t>
      </w:r>
      <w:proofErr w:type="spellEnd"/>
      <w:r w:rsidRPr="00554CB7">
        <w:rPr>
          <w:lang w:val="pt-BR"/>
        </w:rPr>
        <w:t xml:space="preserve"> </w:t>
      </w:r>
      <w:proofErr w:type="spellStart"/>
      <w:r w:rsidRPr="00554CB7">
        <w:rPr>
          <w:lang w:val="pt-BR"/>
        </w:rPr>
        <w:t>indeterminacy</w:t>
      </w:r>
      <w:proofErr w:type="spellEnd"/>
      <w:r w:rsidRPr="00554CB7">
        <w:rPr>
          <w:lang w:val="pt-BR"/>
        </w:rPr>
        <w:t xml:space="preserve"> </w:t>
      </w:r>
      <w:proofErr w:type="spellStart"/>
      <w:r w:rsidRPr="00554CB7">
        <w:rPr>
          <w:lang w:val="pt-BR"/>
        </w:rPr>
        <w:t>of</w:t>
      </w:r>
      <w:proofErr w:type="spellEnd"/>
      <w:r w:rsidRPr="00554CB7">
        <w:rPr>
          <w:lang w:val="pt-BR"/>
        </w:rPr>
        <w:t xml:space="preserve"> </w:t>
      </w:r>
      <w:proofErr w:type="spellStart"/>
      <w:r w:rsidRPr="00554CB7">
        <w:rPr>
          <w:lang w:val="pt-BR"/>
        </w:rPr>
        <w:t>these</w:t>
      </w:r>
      <w:proofErr w:type="spellEnd"/>
      <w:r w:rsidRPr="00554CB7">
        <w:rPr>
          <w:lang w:val="pt-BR"/>
        </w:rPr>
        <w:t xml:space="preserve"> </w:t>
      </w:r>
      <w:proofErr w:type="spellStart"/>
      <w:r w:rsidRPr="00554CB7">
        <w:rPr>
          <w:lang w:val="pt-BR"/>
        </w:rPr>
        <w:t>criteria</w:t>
      </w:r>
      <w:proofErr w:type="spellEnd"/>
      <w:r w:rsidRPr="00554CB7">
        <w:rPr>
          <w:lang w:val="pt-BR"/>
        </w:rPr>
        <w:t xml:space="preserve"> </w:t>
      </w:r>
      <w:proofErr w:type="spellStart"/>
      <w:r w:rsidRPr="00554CB7">
        <w:rPr>
          <w:lang w:val="pt-BR"/>
        </w:rPr>
        <w:t>has</w:t>
      </w:r>
      <w:proofErr w:type="spellEnd"/>
      <w:r w:rsidRPr="00554CB7">
        <w:rPr>
          <w:lang w:val="pt-BR"/>
        </w:rPr>
        <w:t xml:space="preserve"> </w:t>
      </w:r>
      <w:proofErr w:type="spellStart"/>
      <w:r w:rsidRPr="00554CB7">
        <w:rPr>
          <w:lang w:val="pt-BR"/>
        </w:rPr>
        <w:t>allowed</w:t>
      </w:r>
      <w:proofErr w:type="spellEnd"/>
      <w:r w:rsidRPr="00554CB7">
        <w:rPr>
          <w:lang w:val="pt-BR"/>
        </w:rPr>
        <w:t xml:space="preserve"> </w:t>
      </w:r>
      <w:proofErr w:type="spellStart"/>
      <w:r w:rsidRPr="00554CB7">
        <w:rPr>
          <w:lang w:val="pt-BR"/>
        </w:rPr>
        <w:t>financially</w:t>
      </w:r>
      <w:proofErr w:type="spellEnd"/>
      <w:r w:rsidRPr="00554CB7">
        <w:rPr>
          <w:lang w:val="pt-BR"/>
        </w:rPr>
        <w:t xml:space="preserve"> </w:t>
      </w:r>
      <w:proofErr w:type="spellStart"/>
      <w:r w:rsidRPr="00554CB7">
        <w:rPr>
          <w:lang w:val="pt-BR"/>
        </w:rPr>
        <w:t>robust</w:t>
      </w:r>
      <w:proofErr w:type="spellEnd"/>
      <w:r w:rsidRPr="00554CB7">
        <w:rPr>
          <w:lang w:val="pt-BR"/>
        </w:rPr>
        <w:t xml:space="preserve"> </w:t>
      </w:r>
      <w:proofErr w:type="spellStart"/>
      <w:r w:rsidRPr="00554CB7">
        <w:rPr>
          <w:lang w:val="pt-BR"/>
        </w:rPr>
        <w:t>municipalities</w:t>
      </w:r>
      <w:proofErr w:type="spellEnd"/>
      <w:r w:rsidRPr="00554CB7">
        <w:rPr>
          <w:lang w:val="pt-BR"/>
        </w:rPr>
        <w:t xml:space="preserve"> </w:t>
      </w:r>
      <w:proofErr w:type="spellStart"/>
      <w:r w:rsidRPr="00554CB7">
        <w:rPr>
          <w:lang w:val="pt-BR"/>
        </w:rPr>
        <w:t>to</w:t>
      </w:r>
      <w:proofErr w:type="spellEnd"/>
      <w:r w:rsidRPr="00554CB7">
        <w:rPr>
          <w:lang w:val="pt-BR"/>
        </w:rPr>
        <w:t xml:space="preserve"> </w:t>
      </w:r>
      <w:proofErr w:type="spellStart"/>
      <w:r w:rsidRPr="00554CB7">
        <w:rPr>
          <w:lang w:val="pt-BR"/>
        </w:rPr>
        <w:t>reduce</w:t>
      </w:r>
      <w:proofErr w:type="spellEnd"/>
      <w:r w:rsidRPr="00554CB7">
        <w:rPr>
          <w:lang w:val="pt-BR"/>
        </w:rPr>
        <w:t xml:space="preserve"> </w:t>
      </w:r>
      <w:proofErr w:type="spellStart"/>
      <w:r w:rsidRPr="00554CB7">
        <w:rPr>
          <w:lang w:val="pt-BR"/>
        </w:rPr>
        <w:t>their</w:t>
      </w:r>
      <w:proofErr w:type="spellEnd"/>
      <w:r w:rsidRPr="00554CB7">
        <w:rPr>
          <w:lang w:val="pt-BR"/>
        </w:rPr>
        <w:t xml:space="preserve"> </w:t>
      </w:r>
      <w:proofErr w:type="spellStart"/>
      <w:r w:rsidRPr="00554CB7">
        <w:rPr>
          <w:lang w:val="pt-BR"/>
        </w:rPr>
        <w:t>limits</w:t>
      </w:r>
      <w:proofErr w:type="spellEnd"/>
      <w:r w:rsidRPr="00554CB7">
        <w:rPr>
          <w:lang w:val="pt-BR"/>
        </w:rPr>
        <w:t xml:space="preserve"> </w:t>
      </w:r>
      <w:proofErr w:type="spellStart"/>
      <w:r w:rsidRPr="00554CB7">
        <w:rPr>
          <w:lang w:val="pt-BR"/>
        </w:rPr>
        <w:t>without</w:t>
      </w:r>
      <w:proofErr w:type="spellEnd"/>
      <w:r w:rsidRPr="00554CB7">
        <w:rPr>
          <w:lang w:val="pt-BR"/>
        </w:rPr>
        <w:t xml:space="preserve"> </w:t>
      </w:r>
      <w:proofErr w:type="spellStart"/>
      <w:r w:rsidRPr="00554CB7">
        <w:rPr>
          <w:lang w:val="pt-BR"/>
        </w:rPr>
        <w:t>demonstrable</w:t>
      </w:r>
      <w:proofErr w:type="spellEnd"/>
      <w:r w:rsidRPr="00554CB7">
        <w:rPr>
          <w:lang w:val="pt-BR"/>
        </w:rPr>
        <w:t xml:space="preserve"> fiscal </w:t>
      </w:r>
      <w:proofErr w:type="spellStart"/>
      <w:r w:rsidRPr="00554CB7">
        <w:rPr>
          <w:lang w:val="pt-BR"/>
        </w:rPr>
        <w:t>need</w:t>
      </w:r>
      <w:proofErr w:type="spellEnd"/>
      <w:r w:rsidRPr="00554CB7">
        <w:rPr>
          <w:lang w:val="pt-BR"/>
        </w:rPr>
        <w:t xml:space="preserve">. </w:t>
      </w:r>
      <w:proofErr w:type="spellStart"/>
      <w:r w:rsidRPr="00554CB7">
        <w:rPr>
          <w:lang w:val="pt-BR"/>
        </w:rPr>
        <w:t>This</w:t>
      </w:r>
      <w:proofErr w:type="spellEnd"/>
      <w:r w:rsidRPr="00554CB7">
        <w:rPr>
          <w:lang w:val="pt-BR"/>
        </w:rPr>
        <w:t xml:space="preserve"> </w:t>
      </w:r>
      <w:proofErr w:type="spellStart"/>
      <w:r w:rsidRPr="00554CB7">
        <w:rPr>
          <w:lang w:val="pt-BR"/>
        </w:rPr>
        <w:t>research</w:t>
      </w:r>
      <w:proofErr w:type="spellEnd"/>
      <w:r w:rsidRPr="00554CB7">
        <w:rPr>
          <w:lang w:val="pt-BR"/>
        </w:rPr>
        <w:t xml:space="preserve"> </w:t>
      </w:r>
      <w:proofErr w:type="spellStart"/>
      <w:r w:rsidRPr="00554CB7">
        <w:rPr>
          <w:lang w:val="pt-BR"/>
        </w:rPr>
        <w:t>conducts</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first</w:t>
      </w:r>
      <w:proofErr w:type="spellEnd"/>
      <w:r w:rsidRPr="00554CB7">
        <w:rPr>
          <w:lang w:val="pt-BR"/>
        </w:rPr>
        <w:t xml:space="preserve"> </w:t>
      </w:r>
      <w:proofErr w:type="spellStart"/>
      <w:r w:rsidRPr="00554CB7">
        <w:rPr>
          <w:lang w:val="pt-BR"/>
        </w:rPr>
        <w:t>empirical-documentary</w:t>
      </w:r>
      <w:proofErr w:type="spellEnd"/>
      <w:r w:rsidRPr="00554CB7">
        <w:rPr>
          <w:lang w:val="pt-BR"/>
        </w:rPr>
        <w:t xml:space="preserve"> mapping </w:t>
      </w:r>
      <w:proofErr w:type="spellStart"/>
      <w:r w:rsidRPr="00554CB7">
        <w:rPr>
          <w:lang w:val="pt-BR"/>
        </w:rPr>
        <w:t>of</w:t>
      </w:r>
      <w:proofErr w:type="spellEnd"/>
      <w:r w:rsidRPr="00554CB7">
        <w:rPr>
          <w:lang w:val="pt-BR"/>
        </w:rPr>
        <w:t xml:space="preserve"> municipal RPV </w:t>
      </w:r>
      <w:proofErr w:type="spellStart"/>
      <w:r w:rsidRPr="00554CB7">
        <w:rPr>
          <w:lang w:val="pt-BR"/>
        </w:rPr>
        <w:t>legislation</w:t>
      </w:r>
      <w:proofErr w:type="spellEnd"/>
      <w:r w:rsidRPr="00554CB7">
        <w:rPr>
          <w:lang w:val="pt-BR"/>
        </w:rPr>
        <w:t xml:space="preserve"> </w:t>
      </w:r>
      <w:proofErr w:type="spellStart"/>
      <w:r w:rsidRPr="00554CB7">
        <w:rPr>
          <w:lang w:val="pt-BR"/>
        </w:rPr>
        <w:t>across</w:t>
      </w:r>
      <w:proofErr w:type="spellEnd"/>
      <w:r w:rsidRPr="00554CB7">
        <w:rPr>
          <w:lang w:val="pt-BR"/>
        </w:rPr>
        <w:t xml:space="preserve"> </w:t>
      </w:r>
      <w:proofErr w:type="spellStart"/>
      <w:r w:rsidRPr="00554CB7">
        <w:rPr>
          <w:lang w:val="pt-BR"/>
        </w:rPr>
        <w:t>all</w:t>
      </w:r>
      <w:proofErr w:type="spellEnd"/>
      <w:r w:rsidRPr="00554CB7">
        <w:rPr>
          <w:lang w:val="pt-BR"/>
        </w:rPr>
        <w:t xml:space="preserve"> 92 </w:t>
      </w:r>
      <w:proofErr w:type="spellStart"/>
      <w:r w:rsidRPr="00554CB7">
        <w:rPr>
          <w:lang w:val="pt-BR"/>
        </w:rPr>
        <w:t>municipalities</w:t>
      </w:r>
      <w:proofErr w:type="spellEnd"/>
      <w:r w:rsidRPr="00554CB7">
        <w:rPr>
          <w:lang w:val="pt-BR"/>
        </w:rPr>
        <w:t xml:space="preserve"> </w:t>
      </w:r>
      <w:proofErr w:type="spellStart"/>
      <w:r w:rsidRPr="00554CB7">
        <w:rPr>
          <w:lang w:val="pt-BR"/>
        </w:rPr>
        <w:t>of</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State</w:t>
      </w:r>
      <w:proofErr w:type="spellEnd"/>
      <w:r w:rsidRPr="00554CB7">
        <w:rPr>
          <w:lang w:val="pt-BR"/>
        </w:rPr>
        <w:t xml:space="preserve"> </w:t>
      </w:r>
      <w:proofErr w:type="spellStart"/>
      <w:r w:rsidRPr="00554CB7">
        <w:rPr>
          <w:lang w:val="pt-BR"/>
        </w:rPr>
        <w:t>of</w:t>
      </w:r>
      <w:proofErr w:type="spellEnd"/>
      <w:r w:rsidRPr="00554CB7">
        <w:rPr>
          <w:lang w:val="pt-BR"/>
        </w:rPr>
        <w:t xml:space="preserve"> Rio de Janeiro, </w:t>
      </w:r>
      <w:proofErr w:type="spellStart"/>
      <w:r w:rsidRPr="00554CB7">
        <w:rPr>
          <w:lang w:val="pt-BR"/>
        </w:rPr>
        <w:t>classifying</w:t>
      </w:r>
      <w:proofErr w:type="spellEnd"/>
      <w:r w:rsidRPr="00554CB7">
        <w:rPr>
          <w:lang w:val="pt-BR"/>
        </w:rPr>
        <w:t xml:space="preserve"> </w:t>
      </w:r>
      <w:proofErr w:type="spellStart"/>
      <w:r w:rsidRPr="00554CB7">
        <w:rPr>
          <w:lang w:val="pt-BR"/>
        </w:rPr>
        <w:t>them</w:t>
      </w:r>
      <w:proofErr w:type="spellEnd"/>
      <w:r w:rsidRPr="00554CB7">
        <w:rPr>
          <w:lang w:val="pt-BR"/>
        </w:rPr>
        <w:t xml:space="preserve"> </w:t>
      </w:r>
      <w:proofErr w:type="spellStart"/>
      <w:r w:rsidRPr="00554CB7">
        <w:rPr>
          <w:lang w:val="pt-BR"/>
        </w:rPr>
        <w:t>into</w:t>
      </w:r>
      <w:proofErr w:type="spellEnd"/>
      <w:r w:rsidRPr="00554CB7">
        <w:rPr>
          <w:lang w:val="pt-BR"/>
        </w:rPr>
        <w:t xml:space="preserve"> </w:t>
      </w:r>
      <w:proofErr w:type="spellStart"/>
      <w:r w:rsidRPr="00554CB7">
        <w:rPr>
          <w:lang w:val="pt-BR"/>
        </w:rPr>
        <w:t>five</w:t>
      </w:r>
      <w:proofErr w:type="spellEnd"/>
      <w:r w:rsidRPr="00554CB7">
        <w:rPr>
          <w:lang w:val="pt-BR"/>
        </w:rPr>
        <w:t xml:space="preserve"> </w:t>
      </w:r>
      <w:proofErr w:type="spellStart"/>
      <w:r w:rsidRPr="00554CB7">
        <w:rPr>
          <w:lang w:val="pt-BR"/>
        </w:rPr>
        <w:t>groups</w:t>
      </w:r>
      <w:proofErr w:type="spellEnd"/>
      <w:r w:rsidRPr="00554CB7">
        <w:rPr>
          <w:lang w:val="pt-BR"/>
        </w:rPr>
        <w:t xml:space="preserve"> </w:t>
      </w:r>
      <w:proofErr w:type="spellStart"/>
      <w:r w:rsidRPr="00554CB7">
        <w:rPr>
          <w:lang w:val="pt-BR"/>
        </w:rPr>
        <w:t>and</w:t>
      </w:r>
      <w:proofErr w:type="spellEnd"/>
      <w:r w:rsidRPr="00554CB7">
        <w:rPr>
          <w:lang w:val="pt-BR"/>
        </w:rPr>
        <w:t xml:space="preserve"> </w:t>
      </w:r>
      <w:proofErr w:type="spellStart"/>
      <w:r w:rsidRPr="00554CB7">
        <w:rPr>
          <w:lang w:val="pt-BR"/>
        </w:rPr>
        <w:t>cross-referencing</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legislative</w:t>
      </w:r>
      <w:proofErr w:type="spellEnd"/>
      <w:r w:rsidRPr="00554CB7">
        <w:rPr>
          <w:lang w:val="pt-BR"/>
        </w:rPr>
        <w:t xml:space="preserve"> </w:t>
      </w:r>
      <w:proofErr w:type="spellStart"/>
      <w:r w:rsidRPr="00554CB7">
        <w:rPr>
          <w:lang w:val="pt-BR"/>
        </w:rPr>
        <w:t>choices</w:t>
      </w:r>
      <w:proofErr w:type="spellEnd"/>
      <w:r w:rsidRPr="00554CB7">
        <w:rPr>
          <w:lang w:val="pt-BR"/>
        </w:rPr>
        <w:t xml:space="preserve"> </w:t>
      </w:r>
      <w:proofErr w:type="spellStart"/>
      <w:r w:rsidRPr="00554CB7">
        <w:rPr>
          <w:lang w:val="pt-BR"/>
        </w:rPr>
        <w:t>of</w:t>
      </w:r>
      <w:proofErr w:type="spellEnd"/>
      <w:r w:rsidRPr="00554CB7">
        <w:rPr>
          <w:lang w:val="pt-BR"/>
        </w:rPr>
        <w:t xml:space="preserve"> </w:t>
      </w:r>
      <w:proofErr w:type="spellStart"/>
      <w:r w:rsidRPr="00554CB7">
        <w:rPr>
          <w:lang w:val="pt-BR"/>
        </w:rPr>
        <w:t>higher-revenue</w:t>
      </w:r>
      <w:proofErr w:type="spellEnd"/>
      <w:r w:rsidRPr="00554CB7">
        <w:rPr>
          <w:lang w:val="pt-BR"/>
        </w:rPr>
        <w:t xml:space="preserve"> </w:t>
      </w:r>
      <w:proofErr w:type="spellStart"/>
      <w:r w:rsidRPr="00554CB7">
        <w:rPr>
          <w:lang w:val="pt-BR"/>
        </w:rPr>
        <w:t>municipalities</w:t>
      </w:r>
      <w:proofErr w:type="spellEnd"/>
      <w:r w:rsidRPr="00554CB7">
        <w:rPr>
          <w:lang w:val="pt-BR"/>
        </w:rPr>
        <w:t xml:space="preserve"> </w:t>
      </w:r>
      <w:proofErr w:type="spellStart"/>
      <w:r w:rsidRPr="00554CB7">
        <w:rPr>
          <w:lang w:val="pt-BR"/>
        </w:rPr>
        <w:t>with</w:t>
      </w:r>
      <w:proofErr w:type="spellEnd"/>
      <w:r w:rsidRPr="00554CB7">
        <w:rPr>
          <w:lang w:val="pt-BR"/>
        </w:rPr>
        <w:t xml:space="preserve"> </w:t>
      </w:r>
      <w:proofErr w:type="spellStart"/>
      <w:r w:rsidRPr="00554CB7">
        <w:rPr>
          <w:lang w:val="pt-BR"/>
        </w:rPr>
        <w:t>objective</w:t>
      </w:r>
      <w:proofErr w:type="spellEnd"/>
      <w:r w:rsidRPr="00554CB7">
        <w:rPr>
          <w:lang w:val="pt-BR"/>
        </w:rPr>
        <w:t xml:space="preserve"> fiscal </w:t>
      </w:r>
      <w:proofErr w:type="spellStart"/>
      <w:r w:rsidRPr="00554CB7">
        <w:rPr>
          <w:lang w:val="pt-BR"/>
        </w:rPr>
        <w:t>indicators</w:t>
      </w:r>
      <w:proofErr w:type="spellEnd"/>
      <w:r w:rsidRPr="00554CB7">
        <w:rPr>
          <w:lang w:val="pt-BR"/>
        </w:rPr>
        <w:t xml:space="preserve"> </w:t>
      </w:r>
      <w:proofErr w:type="spellStart"/>
      <w:r w:rsidRPr="00554CB7">
        <w:rPr>
          <w:lang w:val="pt-BR"/>
        </w:rPr>
        <w:t>drawn</w:t>
      </w:r>
      <w:proofErr w:type="spellEnd"/>
      <w:r w:rsidRPr="00554CB7">
        <w:rPr>
          <w:lang w:val="pt-BR"/>
        </w:rPr>
        <w:t xml:space="preserve"> </w:t>
      </w:r>
      <w:proofErr w:type="spellStart"/>
      <w:r w:rsidRPr="00554CB7">
        <w:rPr>
          <w:lang w:val="pt-BR"/>
        </w:rPr>
        <w:t>from</w:t>
      </w:r>
      <w:proofErr w:type="spellEnd"/>
      <w:r w:rsidRPr="00554CB7">
        <w:rPr>
          <w:lang w:val="pt-BR"/>
        </w:rPr>
        <w:t xml:space="preserve"> CAPAG/</w:t>
      </w:r>
      <w:proofErr w:type="spellStart"/>
      <w:r w:rsidRPr="00554CB7">
        <w:rPr>
          <w:lang w:val="pt-BR"/>
        </w:rPr>
        <w:t>National</w:t>
      </w:r>
      <w:proofErr w:type="spellEnd"/>
      <w:r w:rsidRPr="00554CB7">
        <w:rPr>
          <w:lang w:val="pt-BR"/>
        </w:rPr>
        <w:t xml:space="preserve"> Treasury </w:t>
      </w:r>
      <w:proofErr w:type="spellStart"/>
      <w:r w:rsidRPr="00554CB7">
        <w:rPr>
          <w:lang w:val="pt-BR"/>
        </w:rPr>
        <w:t>and</w:t>
      </w:r>
      <w:proofErr w:type="spellEnd"/>
      <w:r w:rsidRPr="00554CB7">
        <w:rPr>
          <w:lang w:val="pt-BR"/>
        </w:rPr>
        <w:t xml:space="preserve"> SICONFI data. </w:t>
      </w:r>
      <w:proofErr w:type="spellStart"/>
      <w:r w:rsidRPr="00554CB7">
        <w:rPr>
          <w:lang w:val="pt-BR"/>
        </w:rPr>
        <w:t>Partial</w:t>
      </w:r>
      <w:proofErr w:type="spellEnd"/>
      <w:r w:rsidRPr="00554CB7">
        <w:rPr>
          <w:lang w:val="pt-BR"/>
        </w:rPr>
        <w:t xml:space="preserve"> </w:t>
      </w:r>
      <w:proofErr w:type="spellStart"/>
      <w:r w:rsidRPr="00554CB7">
        <w:rPr>
          <w:lang w:val="pt-BR"/>
        </w:rPr>
        <w:t>results</w:t>
      </w:r>
      <w:proofErr w:type="spellEnd"/>
      <w:r w:rsidRPr="00554CB7">
        <w:rPr>
          <w:lang w:val="pt-BR"/>
        </w:rPr>
        <w:t xml:space="preserve"> </w:t>
      </w:r>
      <w:proofErr w:type="spellStart"/>
      <w:r w:rsidRPr="00554CB7">
        <w:rPr>
          <w:lang w:val="pt-BR"/>
        </w:rPr>
        <w:t>reveal</w:t>
      </w:r>
      <w:proofErr w:type="spellEnd"/>
      <w:r w:rsidRPr="00554CB7">
        <w:rPr>
          <w:lang w:val="pt-BR"/>
        </w:rPr>
        <w:t xml:space="preserve"> </w:t>
      </w:r>
      <w:proofErr w:type="spellStart"/>
      <w:r w:rsidRPr="00554CB7">
        <w:rPr>
          <w:lang w:val="pt-BR"/>
        </w:rPr>
        <w:t>that</w:t>
      </w:r>
      <w:proofErr w:type="spellEnd"/>
      <w:r w:rsidRPr="00554CB7">
        <w:rPr>
          <w:lang w:val="pt-BR"/>
        </w:rPr>
        <w:t xml:space="preserve"> </w:t>
      </w:r>
      <w:proofErr w:type="spellStart"/>
      <w:r w:rsidRPr="00554CB7">
        <w:rPr>
          <w:lang w:val="pt-BR"/>
        </w:rPr>
        <w:t>municipalities</w:t>
      </w:r>
      <w:proofErr w:type="spellEnd"/>
      <w:r w:rsidRPr="00554CB7">
        <w:rPr>
          <w:lang w:val="pt-BR"/>
        </w:rPr>
        <w:t xml:space="preserve"> </w:t>
      </w:r>
      <w:proofErr w:type="spellStart"/>
      <w:r w:rsidRPr="00554CB7">
        <w:rPr>
          <w:lang w:val="pt-BR"/>
        </w:rPr>
        <w:t>such</w:t>
      </w:r>
      <w:proofErr w:type="spellEnd"/>
      <w:r w:rsidRPr="00554CB7">
        <w:rPr>
          <w:lang w:val="pt-BR"/>
        </w:rPr>
        <w:t xml:space="preserve"> as Rio de Janeiro, Niterói, Duque de Caxias, </w:t>
      </w:r>
      <w:proofErr w:type="spellStart"/>
      <w:r w:rsidRPr="00554CB7">
        <w:rPr>
          <w:lang w:val="pt-BR"/>
        </w:rPr>
        <w:t>and</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oil</w:t>
      </w:r>
      <w:proofErr w:type="spellEnd"/>
      <w:r w:rsidRPr="00554CB7">
        <w:rPr>
          <w:lang w:val="pt-BR"/>
        </w:rPr>
        <w:t>-royalty-</w:t>
      </w:r>
      <w:proofErr w:type="spellStart"/>
      <w:r w:rsidRPr="00554CB7">
        <w:rPr>
          <w:lang w:val="pt-BR"/>
        </w:rPr>
        <w:t>dependent</w:t>
      </w:r>
      <w:proofErr w:type="spellEnd"/>
      <w:r w:rsidRPr="00554CB7">
        <w:rPr>
          <w:lang w:val="pt-BR"/>
        </w:rPr>
        <w:t xml:space="preserve"> Carapebus </w:t>
      </w:r>
      <w:proofErr w:type="spellStart"/>
      <w:r w:rsidRPr="00554CB7">
        <w:rPr>
          <w:lang w:val="pt-BR"/>
        </w:rPr>
        <w:t>and</w:t>
      </w:r>
      <w:proofErr w:type="spellEnd"/>
      <w:r w:rsidRPr="00554CB7">
        <w:rPr>
          <w:lang w:val="pt-BR"/>
        </w:rPr>
        <w:t xml:space="preserve"> Quissamã </w:t>
      </w:r>
      <w:proofErr w:type="spellStart"/>
      <w:r w:rsidRPr="00554CB7">
        <w:rPr>
          <w:lang w:val="pt-BR"/>
        </w:rPr>
        <w:t>enacted</w:t>
      </w:r>
      <w:proofErr w:type="spellEnd"/>
      <w:r w:rsidRPr="00554CB7">
        <w:rPr>
          <w:lang w:val="pt-BR"/>
        </w:rPr>
        <w:t xml:space="preserve"> </w:t>
      </w:r>
      <w:proofErr w:type="spellStart"/>
      <w:r w:rsidRPr="00554CB7">
        <w:rPr>
          <w:lang w:val="pt-BR"/>
        </w:rPr>
        <w:t>reductive</w:t>
      </w:r>
      <w:proofErr w:type="spellEnd"/>
      <w:r w:rsidRPr="00554CB7">
        <w:rPr>
          <w:lang w:val="pt-BR"/>
        </w:rPr>
        <w:t xml:space="preserve"> </w:t>
      </w:r>
      <w:proofErr w:type="spellStart"/>
      <w:r w:rsidRPr="00554CB7">
        <w:rPr>
          <w:lang w:val="pt-BR"/>
        </w:rPr>
        <w:t>legislation</w:t>
      </w:r>
      <w:proofErr w:type="spellEnd"/>
      <w:r w:rsidRPr="00554CB7">
        <w:rPr>
          <w:lang w:val="pt-BR"/>
        </w:rPr>
        <w:t xml:space="preserve"> </w:t>
      </w:r>
      <w:proofErr w:type="spellStart"/>
      <w:r w:rsidRPr="00554CB7">
        <w:rPr>
          <w:lang w:val="pt-BR"/>
        </w:rPr>
        <w:t>without</w:t>
      </w:r>
      <w:proofErr w:type="spellEnd"/>
      <w:r w:rsidRPr="00554CB7">
        <w:rPr>
          <w:lang w:val="pt-BR"/>
        </w:rPr>
        <w:t xml:space="preserve"> </w:t>
      </w:r>
      <w:proofErr w:type="spellStart"/>
      <w:r w:rsidRPr="00554CB7">
        <w:rPr>
          <w:lang w:val="pt-BR"/>
        </w:rPr>
        <w:t>their</w:t>
      </w:r>
      <w:proofErr w:type="spellEnd"/>
      <w:r w:rsidRPr="00554CB7">
        <w:rPr>
          <w:lang w:val="pt-BR"/>
        </w:rPr>
        <w:t xml:space="preserve"> </w:t>
      </w:r>
      <w:proofErr w:type="spellStart"/>
      <w:r w:rsidRPr="00554CB7">
        <w:rPr>
          <w:lang w:val="pt-BR"/>
        </w:rPr>
        <w:t>debt-to-revenue</w:t>
      </w:r>
      <w:proofErr w:type="spellEnd"/>
      <w:r w:rsidRPr="00554CB7">
        <w:rPr>
          <w:lang w:val="pt-BR"/>
        </w:rPr>
        <w:t xml:space="preserve"> </w:t>
      </w:r>
      <w:proofErr w:type="spellStart"/>
      <w:r w:rsidRPr="00554CB7">
        <w:rPr>
          <w:lang w:val="pt-BR"/>
        </w:rPr>
        <w:t>ratios</w:t>
      </w:r>
      <w:proofErr w:type="spellEnd"/>
      <w:r w:rsidRPr="00554CB7">
        <w:rPr>
          <w:lang w:val="pt-BR"/>
        </w:rPr>
        <w:t xml:space="preserve"> </w:t>
      </w:r>
      <w:proofErr w:type="spellStart"/>
      <w:r w:rsidRPr="00554CB7">
        <w:rPr>
          <w:lang w:val="pt-BR"/>
        </w:rPr>
        <w:t>or</w:t>
      </w:r>
      <w:proofErr w:type="spellEnd"/>
      <w:r w:rsidRPr="00554CB7">
        <w:rPr>
          <w:lang w:val="pt-BR"/>
        </w:rPr>
        <w:t xml:space="preserve"> </w:t>
      </w:r>
      <w:proofErr w:type="spellStart"/>
      <w:r w:rsidRPr="00554CB7">
        <w:rPr>
          <w:lang w:val="pt-BR"/>
        </w:rPr>
        <w:t>current</w:t>
      </w:r>
      <w:proofErr w:type="spellEnd"/>
      <w:r w:rsidRPr="00554CB7">
        <w:rPr>
          <w:lang w:val="pt-BR"/>
        </w:rPr>
        <w:t xml:space="preserve"> </w:t>
      </w:r>
      <w:proofErr w:type="spellStart"/>
      <w:r w:rsidRPr="00554CB7">
        <w:rPr>
          <w:lang w:val="pt-BR"/>
        </w:rPr>
        <w:t>expenditure</w:t>
      </w:r>
      <w:proofErr w:type="spellEnd"/>
      <w:r w:rsidRPr="00554CB7">
        <w:rPr>
          <w:lang w:val="pt-BR"/>
        </w:rPr>
        <w:t xml:space="preserve"> </w:t>
      </w:r>
      <w:proofErr w:type="spellStart"/>
      <w:r w:rsidRPr="00554CB7">
        <w:rPr>
          <w:lang w:val="pt-BR"/>
        </w:rPr>
        <w:t>indicators</w:t>
      </w:r>
      <w:proofErr w:type="spellEnd"/>
      <w:r w:rsidRPr="00554CB7">
        <w:rPr>
          <w:lang w:val="pt-BR"/>
        </w:rPr>
        <w:t xml:space="preserve"> </w:t>
      </w:r>
      <w:proofErr w:type="spellStart"/>
      <w:r w:rsidRPr="00554CB7">
        <w:rPr>
          <w:lang w:val="pt-BR"/>
        </w:rPr>
        <w:t>justifying</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measure</w:t>
      </w:r>
      <w:proofErr w:type="spellEnd"/>
      <w:r w:rsidRPr="00554CB7">
        <w:rPr>
          <w:lang w:val="pt-BR"/>
        </w:rPr>
        <w:t xml:space="preserve">, </w:t>
      </w:r>
      <w:proofErr w:type="spellStart"/>
      <w:r w:rsidRPr="00554CB7">
        <w:rPr>
          <w:lang w:val="pt-BR"/>
        </w:rPr>
        <w:t>constituting</w:t>
      </w:r>
      <w:proofErr w:type="spellEnd"/>
      <w:r w:rsidRPr="00554CB7">
        <w:rPr>
          <w:lang w:val="pt-BR"/>
        </w:rPr>
        <w:t xml:space="preserve"> </w:t>
      </w:r>
      <w:proofErr w:type="spellStart"/>
      <w:r w:rsidRPr="00554CB7">
        <w:rPr>
          <w:lang w:val="pt-BR"/>
        </w:rPr>
        <w:t>strategic</w:t>
      </w:r>
      <w:proofErr w:type="spellEnd"/>
      <w:r w:rsidRPr="00554CB7">
        <w:rPr>
          <w:lang w:val="pt-BR"/>
        </w:rPr>
        <w:t xml:space="preserve"> use </w:t>
      </w:r>
      <w:proofErr w:type="spellStart"/>
      <w:r w:rsidRPr="00554CB7">
        <w:rPr>
          <w:lang w:val="pt-BR"/>
        </w:rPr>
        <w:t>of</w:t>
      </w:r>
      <w:proofErr w:type="spellEnd"/>
      <w:r w:rsidRPr="00554CB7">
        <w:rPr>
          <w:lang w:val="pt-BR"/>
        </w:rPr>
        <w:t xml:space="preserve"> a </w:t>
      </w:r>
      <w:proofErr w:type="spellStart"/>
      <w:r w:rsidRPr="00554CB7">
        <w:rPr>
          <w:lang w:val="pt-BR"/>
        </w:rPr>
        <w:t>constitutional</w:t>
      </w:r>
      <w:proofErr w:type="spellEnd"/>
      <w:r w:rsidRPr="00554CB7">
        <w:rPr>
          <w:lang w:val="pt-BR"/>
        </w:rPr>
        <w:t xml:space="preserve"> </w:t>
      </w:r>
      <w:proofErr w:type="spellStart"/>
      <w:r w:rsidRPr="00554CB7">
        <w:rPr>
          <w:lang w:val="pt-BR"/>
        </w:rPr>
        <w:t>authority</w:t>
      </w:r>
      <w:proofErr w:type="spellEnd"/>
      <w:r w:rsidRPr="00554CB7">
        <w:rPr>
          <w:lang w:val="pt-BR"/>
        </w:rPr>
        <w:t xml:space="preserve"> </w:t>
      </w:r>
      <w:proofErr w:type="spellStart"/>
      <w:r w:rsidRPr="00554CB7">
        <w:rPr>
          <w:lang w:val="pt-BR"/>
        </w:rPr>
        <w:t>originally</w:t>
      </w:r>
      <w:proofErr w:type="spellEnd"/>
      <w:r w:rsidRPr="00554CB7">
        <w:rPr>
          <w:lang w:val="pt-BR"/>
        </w:rPr>
        <w:t xml:space="preserve"> </w:t>
      </w:r>
      <w:proofErr w:type="spellStart"/>
      <w:r w:rsidRPr="00554CB7">
        <w:rPr>
          <w:lang w:val="pt-BR"/>
        </w:rPr>
        <w:t>conceived</w:t>
      </w:r>
      <w:proofErr w:type="spellEnd"/>
      <w:r w:rsidRPr="00554CB7">
        <w:rPr>
          <w:lang w:val="pt-BR"/>
        </w:rPr>
        <w:t xml:space="preserve"> </w:t>
      </w:r>
      <w:proofErr w:type="spellStart"/>
      <w:r w:rsidRPr="00554CB7">
        <w:rPr>
          <w:lang w:val="pt-BR"/>
        </w:rPr>
        <w:t>to</w:t>
      </w:r>
      <w:proofErr w:type="spellEnd"/>
      <w:r w:rsidRPr="00554CB7">
        <w:rPr>
          <w:lang w:val="pt-BR"/>
        </w:rPr>
        <w:t xml:space="preserve"> </w:t>
      </w:r>
      <w:proofErr w:type="spellStart"/>
      <w:r w:rsidRPr="00554CB7">
        <w:rPr>
          <w:lang w:val="pt-BR"/>
        </w:rPr>
        <w:t>protect</w:t>
      </w:r>
      <w:proofErr w:type="spellEnd"/>
      <w:r w:rsidRPr="00554CB7">
        <w:rPr>
          <w:lang w:val="pt-BR"/>
        </w:rPr>
        <w:t xml:space="preserve"> </w:t>
      </w:r>
      <w:proofErr w:type="spellStart"/>
      <w:r w:rsidRPr="00554CB7">
        <w:rPr>
          <w:lang w:val="pt-BR"/>
        </w:rPr>
        <w:t>fiscally</w:t>
      </w:r>
      <w:proofErr w:type="spellEnd"/>
      <w:r w:rsidRPr="00554CB7">
        <w:rPr>
          <w:lang w:val="pt-BR"/>
        </w:rPr>
        <w:t xml:space="preserve"> </w:t>
      </w:r>
      <w:proofErr w:type="spellStart"/>
      <w:r w:rsidRPr="00554CB7">
        <w:rPr>
          <w:lang w:val="pt-BR"/>
        </w:rPr>
        <w:t>fragile</w:t>
      </w:r>
      <w:proofErr w:type="spellEnd"/>
      <w:r w:rsidRPr="00554CB7">
        <w:rPr>
          <w:lang w:val="pt-BR"/>
        </w:rPr>
        <w:t xml:space="preserve"> </w:t>
      </w:r>
      <w:proofErr w:type="spellStart"/>
      <w:r w:rsidRPr="00554CB7">
        <w:rPr>
          <w:lang w:val="pt-BR"/>
        </w:rPr>
        <w:t>entities</w:t>
      </w:r>
      <w:proofErr w:type="spellEnd"/>
      <w:r w:rsidRPr="00554CB7">
        <w:rPr>
          <w:lang w:val="pt-BR"/>
        </w:rPr>
        <w:t xml:space="preserve">, </w:t>
      </w:r>
      <w:proofErr w:type="spellStart"/>
      <w:r w:rsidRPr="00554CB7">
        <w:rPr>
          <w:lang w:val="pt-BR"/>
        </w:rPr>
        <w:t>to</w:t>
      </w:r>
      <w:proofErr w:type="spellEnd"/>
      <w:r w:rsidRPr="00554CB7">
        <w:rPr>
          <w:lang w:val="pt-BR"/>
        </w:rPr>
        <w:t xml:space="preserve"> </w:t>
      </w:r>
      <w:proofErr w:type="spellStart"/>
      <w:r w:rsidRPr="00554CB7">
        <w:rPr>
          <w:lang w:val="pt-BR"/>
        </w:rPr>
        <w:t>the</w:t>
      </w:r>
      <w:proofErr w:type="spellEnd"/>
      <w:r w:rsidRPr="00554CB7">
        <w:rPr>
          <w:lang w:val="pt-BR"/>
        </w:rPr>
        <w:t xml:space="preserve"> </w:t>
      </w:r>
      <w:proofErr w:type="spellStart"/>
      <w:r w:rsidRPr="00554CB7">
        <w:rPr>
          <w:lang w:val="pt-BR"/>
        </w:rPr>
        <w:t>detriment</w:t>
      </w:r>
      <w:proofErr w:type="spellEnd"/>
      <w:r w:rsidRPr="00554CB7">
        <w:rPr>
          <w:lang w:val="pt-BR"/>
        </w:rPr>
        <w:t xml:space="preserve"> </w:t>
      </w:r>
      <w:proofErr w:type="spellStart"/>
      <w:r w:rsidRPr="00554CB7">
        <w:rPr>
          <w:lang w:val="pt-BR"/>
        </w:rPr>
        <w:t>of</w:t>
      </w:r>
      <w:proofErr w:type="spellEnd"/>
      <w:r w:rsidRPr="00554CB7">
        <w:rPr>
          <w:lang w:val="pt-BR"/>
        </w:rPr>
        <w:t xml:space="preserve"> municipal </w:t>
      </w:r>
      <w:proofErr w:type="spellStart"/>
      <w:r w:rsidRPr="00554CB7">
        <w:rPr>
          <w:lang w:val="pt-BR"/>
        </w:rPr>
        <w:t>public</w:t>
      </w:r>
      <w:proofErr w:type="spellEnd"/>
      <w:r w:rsidRPr="00554CB7">
        <w:rPr>
          <w:lang w:val="pt-BR"/>
        </w:rPr>
        <w:t xml:space="preserve"> </w:t>
      </w:r>
      <w:proofErr w:type="spellStart"/>
      <w:r w:rsidRPr="00554CB7">
        <w:rPr>
          <w:lang w:val="pt-BR"/>
        </w:rPr>
        <w:t>creditors</w:t>
      </w:r>
      <w:proofErr w:type="spellEnd"/>
      <w:r w:rsidRPr="00554CB7">
        <w:rPr>
          <w:lang w:val="pt-BR"/>
        </w:rPr>
        <w:t>.</w:t>
      </w:r>
    </w:p>
    <w:p w14:paraId="2A690C97" w14:textId="77777777" w:rsidR="00382E09" w:rsidRPr="00554CB7" w:rsidRDefault="00382E09" w:rsidP="00382E09">
      <w:pPr>
        <w:spacing w:line="360" w:lineRule="auto"/>
        <w:jc w:val="both"/>
        <w:rPr>
          <w:lang w:val="pt-BR"/>
        </w:rPr>
      </w:pPr>
      <w:r w:rsidRPr="00554CB7">
        <w:rPr>
          <w:b/>
          <w:lang w:val="pt-BR"/>
        </w:rPr>
        <w:t xml:space="preserve">Keywords: </w:t>
      </w:r>
      <w:proofErr w:type="spellStart"/>
      <w:r w:rsidRPr="00554CB7">
        <w:rPr>
          <w:lang w:val="pt-BR"/>
        </w:rPr>
        <w:t>Small</w:t>
      </w:r>
      <w:proofErr w:type="spellEnd"/>
      <w:r w:rsidRPr="00554CB7">
        <w:rPr>
          <w:lang w:val="pt-BR"/>
        </w:rPr>
        <w:t xml:space="preserve"> </w:t>
      </w:r>
      <w:proofErr w:type="spellStart"/>
      <w:r w:rsidRPr="00554CB7">
        <w:rPr>
          <w:lang w:val="pt-BR"/>
        </w:rPr>
        <w:t>Value</w:t>
      </w:r>
      <w:proofErr w:type="spellEnd"/>
      <w:r w:rsidRPr="00554CB7">
        <w:rPr>
          <w:lang w:val="pt-BR"/>
        </w:rPr>
        <w:t xml:space="preserve"> </w:t>
      </w:r>
      <w:proofErr w:type="spellStart"/>
      <w:r w:rsidRPr="00554CB7">
        <w:rPr>
          <w:lang w:val="pt-BR"/>
        </w:rPr>
        <w:t>Requisition</w:t>
      </w:r>
      <w:proofErr w:type="spellEnd"/>
      <w:r w:rsidRPr="00554CB7">
        <w:rPr>
          <w:lang w:val="pt-BR"/>
        </w:rPr>
        <w:t xml:space="preserve">; municipal </w:t>
      </w:r>
      <w:proofErr w:type="spellStart"/>
      <w:r w:rsidRPr="00554CB7">
        <w:rPr>
          <w:lang w:val="pt-BR"/>
        </w:rPr>
        <w:t>legislative</w:t>
      </w:r>
      <w:proofErr w:type="spellEnd"/>
      <w:r w:rsidRPr="00554CB7">
        <w:rPr>
          <w:lang w:val="pt-BR"/>
        </w:rPr>
        <w:t xml:space="preserve"> </w:t>
      </w:r>
      <w:proofErr w:type="spellStart"/>
      <w:r w:rsidRPr="00554CB7">
        <w:rPr>
          <w:lang w:val="pt-BR"/>
        </w:rPr>
        <w:t>authority</w:t>
      </w:r>
      <w:proofErr w:type="spellEnd"/>
      <w:r w:rsidRPr="00554CB7">
        <w:rPr>
          <w:lang w:val="pt-BR"/>
        </w:rPr>
        <w:t xml:space="preserve">; </w:t>
      </w:r>
      <w:proofErr w:type="spellStart"/>
      <w:r w:rsidRPr="00554CB7">
        <w:rPr>
          <w:lang w:val="pt-BR"/>
        </w:rPr>
        <w:t>public</w:t>
      </w:r>
      <w:proofErr w:type="spellEnd"/>
      <w:r w:rsidRPr="00554CB7">
        <w:rPr>
          <w:lang w:val="pt-BR"/>
        </w:rPr>
        <w:t xml:space="preserve"> </w:t>
      </w:r>
      <w:proofErr w:type="spellStart"/>
      <w:r w:rsidRPr="00554CB7">
        <w:rPr>
          <w:lang w:val="pt-BR"/>
        </w:rPr>
        <w:t>policy</w:t>
      </w:r>
      <w:proofErr w:type="spellEnd"/>
      <w:r w:rsidRPr="00554CB7">
        <w:rPr>
          <w:lang w:val="pt-BR"/>
        </w:rPr>
        <w:t xml:space="preserve">; </w:t>
      </w:r>
      <w:proofErr w:type="spellStart"/>
      <w:r w:rsidRPr="00554CB7">
        <w:rPr>
          <w:lang w:val="pt-BR"/>
        </w:rPr>
        <w:t>constitutional</w:t>
      </w:r>
      <w:proofErr w:type="spellEnd"/>
      <w:r w:rsidRPr="00554CB7">
        <w:rPr>
          <w:lang w:val="pt-BR"/>
        </w:rPr>
        <w:t xml:space="preserve"> review; Rio de Janeiro </w:t>
      </w:r>
      <w:proofErr w:type="spellStart"/>
      <w:r w:rsidRPr="00554CB7">
        <w:rPr>
          <w:lang w:val="pt-BR"/>
        </w:rPr>
        <w:t>municipalities</w:t>
      </w:r>
      <w:proofErr w:type="spellEnd"/>
      <w:r w:rsidRPr="00554CB7">
        <w:rPr>
          <w:lang w:val="pt-BR"/>
        </w:rPr>
        <w:t>.</w:t>
      </w:r>
    </w:p>
    <w:p w14:paraId="1B14BC53" w14:textId="77777777" w:rsidR="00382E09" w:rsidRPr="00554CB7" w:rsidRDefault="00382E09" w:rsidP="00382E09">
      <w:pPr>
        <w:spacing w:before="360" w:after="240" w:line="360" w:lineRule="auto"/>
        <w:rPr>
          <w:lang w:val="pt-BR"/>
        </w:rPr>
      </w:pPr>
      <w:r w:rsidRPr="00554CB7">
        <w:rPr>
          <w:b/>
          <w:lang w:val="pt-BR"/>
        </w:rPr>
        <w:t>1. INTRODUÇÃO</w:t>
      </w:r>
    </w:p>
    <w:p w14:paraId="058969DD" w14:textId="77777777" w:rsidR="00382E09" w:rsidRPr="00554CB7" w:rsidRDefault="00382E09" w:rsidP="00382E09">
      <w:pPr>
        <w:spacing w:line="360" w:lineRule="auto"/>
        <w:ind w:firstLine="709"/>
        <w:jc w:val="both"/>
        <w:rPr>
          <w:lang w:val="pt-BR"/>
        </w:rPr>
      </w:pPr>
      <w:r w:rsidRPr="00554CB7">
        <w:rPr>
          <w:lang w:val="pt-BR"/>
        </w:rPr>
        <w:t>O pagamento de dívidas judiciais pelo Poder Público constitui um dos pontos de tensão mais persistentes entre a efetividade da prestação jurisdicional e a sustentabilidade das finanças públicas no Brasil. Até dezembro de 2024, a dívida total de precatórios acumulada pelos entes federativos atingiu R$ 310,9 bilhões, patamar que evidencia a magnitude do passivo judicial e a pressão estrutural que ele exerce sobre os orçamentos públicos. No âmbito municipal, essa pressão assume contornos próprios: diferentemente da União e dos estados, os municípios operam com orçamentos menores, maior rigidez de despesas e menor margem de manobra fiscal, o que torna a gestão do passivo judicial uma variável de impacto direto sobre a capacidade de prestação de serviços públicos essenciais.</w:t>
      </w:r>
    </w:p>
    <w:p w14:paraId="03AEEF1F" w14:textId="27CF61EA" w:rsidR="00382E09" w:rsidRPr="00554CB7" w:rsidRDefault="00382E09" w:rsidP="00382E09">
      <w:pPr>
        <w:spacing w:line="360" w:lineRule="auto"/>
        <w:ind w:firstLine="709"/>
        <w:jc w:val="both"/>
        <w:rPr>
          <w:lang w:val="pt-BR"/>
        </w:rPr>
      </w:pPr>
      <w:r w:rsidRPr="00554CB7">
        <w:rPr>
          <w:lang w:val="pt-BR"/>
        </w:rPr>
        <w:t xml:space="preserve">Nesse sistema, as Requisições de Pequeno Valor (RPVs) ocupam posição estratégica. Concebidas pelo constituinte como instrumento de celeridade processual, destinam-se a </w:t>
      </w:r>
      <w:r w:rsidRPr="00554CB7">
        <w:rPr>
          <w:lang w:val="pt-BR"/>
        </w:rPr>
        <w:lastRenderedPageBreak/>
        <w:t xml:space="preserve">satisfazer créditos de menor expressão econômica sem a necessidade de ingresso na fila cronológica dos precatórios </w:t>
      </w:r>
      <w:r w:rsidR="006B0C68">
        <w:rPr>
          <w:lang w:val="pt-BR"/>
        </w:rPr>
        <w:t>-</w:t>
      </w:r>
      <w:r w:rsidRPr="00554CB7">
        <w:rPr>
          <w:lang w:val="pt-BR"/>
        </w:rPr>
        <w:t xml:space="preserve"> regime que, na prática, impõe ao credor espera de anos ou décadas para a satisfação de um direito já reconhecido judicialmente. Os titulares de RPVs são, em regra, pessoas físicas de menor capacidade econômica </w:t>
      </w:r>
      <w:r w:rsidR="006B0C68">
        <w:rPr>
          <w:lang w:val="pt-BR"/>
        </w:rPr>
        <w:t>-</w:t>
      </w:r>
      <w:r w:rsidRPr="00554CB7">
        <w:rPr>
          <w:lang w:val="pt-BR"/>
        </w:rPr>
        <w:t xml:space="preserve"> servidores públicos, trabalhadores, aposentados, cidadãos comuns </w:t>
      </w:r>
      <w:r w:rsidR="006B0C68">
        <w:rPr>
          <w:lang w:val="pt-BR"/>
        </w:rPr>
        <w:t>-</w:t>
      </w:r>
      <w:r w:rsidRPr="00554CB7">
        <w:rPr>
          <w:lang w:val="pt-BR"/>
        </w:rPr>
        <w:t xml:space="preserve"> que dependem da celeridade do pagamento para a efetiva satisfação de suas pretensões. A RPV opera, portanto, como política pública de acesso à justiça e de proteção ao credor vulnerável: sua razão de ser é evitar que o credor de pequeno valor seja lançado no sistema iníquo dos precatórios, onde a satisfação do crédito se torna incerta e distante. A definição do que constitui "pequeno valor" é, assim, uma decisão de política pública com consequências imediatas sobre milhares de credores.</w:t>
      </w:r>
    </w:p>
    <w:p w14:paraId="691835B3" w14:textId="77777777" w:rsidR="00382E09" w:rsidRPr="00554CB7" w:rsidRDefault="00382E09" w:rsidP="00382E09">
      <w:pPr>
        <w:spacing w:line="360" w:lineRule="auto"/>
        <w:ind w:firstLine="709"/>
        <w:jc w:val="both"/>
        <w:rPr>
          <w:lang w:val="pt-BR"/>
        </w:rPr>
      </w:pPr>
      <w:r w:rsidRPr="00554CB7">
        <w:rPr>
          <w:lang w:val="pt-BR"/>
        </w:rPr>
        <w:t xml:space="preserve">Ocorre que a Constituição Federal, em seu art. 100, §§ 3º e 4º, com a redação conferida pela Emenda Constitucional nº 62/2009, atribuiu a cada ente federado a competência para fixar, por lei própria, o valor que define o limite de RPV compatível com sua capacidade econômica, observados o princípio da proporcionalidade e o piso mínimo correspondente ao maior benefício do Regime Geral de Previdência Social (RGPS). Na ausência de lei própria, aplica-se o limite supletivo de trinta </w:t>
      </w:r>
      <w:proofErr w:type="gramStart"/>
      <w:r w:rsidRPr="00554CB7">
        <w:rPr>
          <w:lang w:val="pt-BR"/>
        </w:rPr>
        <w:t>salários mínimos</w:t>
      </w:r>
      <w:proofErr w:type="gramEnd"/>
      <w:r w:rsidRPr="00554CB7">
        <w:rPr>
          <w:lang w:val="pt-BR"/>
        </w:rPr>
        <w:t xml:space="preserve"> previsto no art. 87, II, do Ato das Disposições Constitucionais Transitórias (ADCT). Essa delegação normativa, embora coerente com o princípio federativo e com a heterogeneidade fiscal dos mais de 5.500 municípios brasileiros, criou uma competência cujos limites materiais permanecem normativamente indeterminados.</w:t>
      </w:r>
    </w:p>
    <w:p w14:paraId="60D11221" w14:textId="77777777" w:rsidR="00382E09" w:rsidRPr="00554CB7" w:rsidRDefault="00382E09" w:rsidP="00382E09">
      <w:pPr>
        <w:spacing w:line="360" w:lineRule="auto"/>
        <w:ind w:firstLine="709"/>
        <w:jc w:val="both"/>
        <w:rPr>
          <w:lang w:val="pt-BR"/>
        </w:rPr>
      </w:pPr>
      <w:r w:rsidRPr="00554CB7">
        <w:rPr>
          <w:lang w:val="pt-BR"/>
        </w:rPr>
        <w:t xml:space="preserve">O Supremo Tribunal Federal consolidou, nos Temas 1.231 e 1.326 de repercussão geral, o entendimento de que essa competência é exercível tanto para reduzir quanto para ampliar o limite supletivo do ADCT, desde que condicionada à demonstração de capacidade econômica e ao respeito à proporcionalidade. Na ADI 4.332/RO, o Tribunal assentou que é passível de censura constitucional a redução desproporcional do teto de RPV, sendo imprescindível a demonstração do descompasso entre a capacidade financeira do ente e o limite fixado em lei. Anteriormente, na ADI 2.868/PI, o STF já havia reconhecido que o limite de RPV não pode ser reduzido a ponto de </w:t>
      </w:r>
      <w:proofErr w:type="spellStart"/>
      <w:r w:rsidRPr="00554CB7">
        <w:rPr>
          <w:lang w:val="pt-BR"/>
        </w:rPr>
        <w:t>tornar</w:t>
      </w:r>
      <w:proofErr w:type="spellEnd"/>
      <w:r w:rsidRPr="00554CB7">
        <w:rPr>
          <w:lang w:val="pt-BR"/>
        </w:rPr>
        <w:t xml:space="preserve"> o instituto ineficaz. Na ADI 5.100/SC, reiterou que a fixação do limite deve guardar correspondência com a realidade fiscal do ente. Esses precedentes, tomados em conjunto, delineiam um critério material de controle constitucional, mas não o operacionalizam: o STF fixou a exigência de proporcionalidade e capacidade econômica sem definir indicadores ou parâmetros objetivos que permitam aferir, caso a caso, se a escolha legislativa municipal é constitucionalmente válida.</w:t>
      </w:r>
    </w:p>
    <w:p w14:paraId="4FB170BA" w14:textId="4C98292B" w:rsidR="00382E09" w:rsidRPr="00554CB7" w:rsidRDefault="00382E09" w:rsidP="00382E09">
      <w:pPr>
        <w:spacing w:line="360" w:lineRule="auto"/>
        <w:ind w:firstLine="709"/>
        <w:jc w:val="both"/>
        <w:rPr>
          <w:lang w:val="pt-BR"/>
        </w:rPr>
      </w:pPr>
      <w:r w:rsidRPr="00554CB7">
        <w:rPr>
          <w:lang w:val="pt-BR"/>
        </w:rPr>
        <w:lastRenderedPageBreak/>
        <w:t>Essa indeterminação prática é o cerne do problema jurídico que motiva a presente pesquisa. A norma constitucional não define quais indicadores deve</w:t>
      </w:r>
      <w:r w:rsidR="00E00783">
        <w:rPr>
          <w:lang w:val="pt-BR"/>
        </w:rPr>
        <w:t>m</w:t>
      </w:r>
      <w:r w:rsidRPr="00554CB7">
        <w:rPr>
          <w:lang w:val="pt-BR"/>
        </w:rPr>
        <w:t xml:space="preserve"> fundamentar a escolha legislativa, nem estabelece parâmetros mínimos de motivação. Essa lacuna abre espaço para que municípios financeiramente robustos reduzam seus limites de RPV sem qualquer comprovação de necessidade fiscal, valendo-se da presunção de legitimidade e validade de suas leis para postergar o cumprimento de obrigações judiciais e transferir o ônus da impugnação ao credor. Trata-se, em suma, da captura de uma política pública protetiva por seus próprios destinatários institucionais: o instrumento concebido para proteger o credor de pequeno valor passa a servir como mecanismo de gestão do passivo judicial em favor do ente devedor.</w:t>
      </w:r>
    </w:p>
    <w:p w14:paraId="653E6942" w14:textId="77777777" w:rsidR="00382E09" w:rsidRPr="00554CB7" w:rsidRDefault="00382E09" w:rsidP="00382E09">
      <w:pPr>
        <w:spacing w:line="360" w:lineRule="auto"/>
        <w:ind w:firstLine="709"/>
        <w:jc w:val="both"/>
        <w:rPr>
          <w:lang w:val="pt-BR"/>
        </w:rPr>
      </w:pPr>
      <w:r w:rsidRPr="00554CB7">
        <w:rPr>
          <w:lang w:val="pt-BR"/>
        </w:rPr>
        <w:t>O Estado do Rio de Janeiro oferece campo de observação privilegiado para essa investigação. Seus 92 municípios apresentam enorme heterogeneidade fiscal: de um lado, entes que encerraram o exercício de 2024 sem recursos em caixa suficientes para cobrir suas obrigações financeiras; de outro, municípios beneficiários de royalties de petróleo que acumularam gasto per capita médio superior a R$ 3,9 mil, mais que o dobro da média regional. Essa disparidade torna o território fluminense um laboratório natural para testar se o exercício da competência legislativa em matéria de RPV guarda correspondência com a real situação fiscal dos entes ou se revela padrão de uso estratégico e desvinculado de necessidade demonstrável.</w:t>
      </w:r>
    </w:p>
    <w:p w14:paraId="2658F314" w14:textId="51297F61" w:rsidR="00382E09" w:rsidRPr="00554CB7" w:rsidRDefault="00382E09" w:rsidP="00382E09">
      <w:pPr>
        <w:spacing w:line="360" w:lineRule="auto"/>
        <w:ind w:firstLine="709"/>
        <w:jc w:val="both"/>
        <w:rPr>
          <w:lang w:val="pt-BR"/>
        </w:rPr>
      </w:pPr>
      <w:r w:rsidRPr="00554CB7">
        <w:rPr>
          <w:lang w:val="pt-BR"/>
        </w:rPr>
        <w:t xml:space="preserve">O problema de pesquisa que orienta esta investigação é o seguinte: nos 92 municípios do Estado do Rio de Janeiro, no período posterior à EC 62/2009, os entes que editaram leis próprias fixando limites de RPV o fizeram em conformidade com os parâmetros constitucionais de capacidade econômica e proporcionalidade </w:t>
      </w:r>
      <w:r w:rsidR="006B0C68">
        <w:rPr>
          <w:lang w:val="pt-BR"/>
        </w:rPr>
        <w:t>-</w:t>
      </w:r>
      <w:r w:rsidRPr="00554CB7">
        <w:rPr>
          <w:lang w:val="pt-BR"/>
        </w:rPr>
        <w:t xml:space="preserve"> ou utilizaram essa competência de forma desvinculada de sua real situação fiscal, reduzindo obrigações de pagamento imediato independentemente de necessidade econômica demonstrável, em detrimento dos credores da Fazenda Pública municipal?</w:t>
      </w:r>
    </w:p>
    <w:p w14:paraId="3D720189" w14:textId="77777777" w:rsidR="00382E09" w:rsidRPr="00554CB7" w:rsidRDefault="00382E09" w:rsidP="00382E09">
      <w:pPr>
        <w:spacing w:line="360" w:lineRule="auto"/>
        <w:ind w:firstLine="709"/>
        <w:jc w:val="both"/>
        <w:rPr>
          <w:lang w:val="pt-BR"/>
        </w:rPr>
      </w:pPr>
      <w:r w:rsidRPr="00554CB7">
        <w:rPr>
          <w:lang w:val="pt-BR"/>
        </w:rPr>
        <w:t xml:space="preserve">O objetivo geral é verificar se os municípios fluminenses de maior arrecadação que editaram leis redutoras observaram os parâmetros constitucionais ou se exerceram a competência de forma estratégica e desvirtuada. Os objetivos específicos são: (i) analisar o regime constitucional dos requisitórios e os critérios consolidados pelo STF, com destaque para as </w:t>
      </w:r>
      <w:proofErr w:type="spellStart"/>
      <w:r w:rsidRPr="00554CB7">
        <w:rPr>
          <w:lang w:val="pt-BR"/>
        </w:rPr>
        <w:t>ADIs</w:t>
      </w:r>
      <w:proofErr w:type="spellEnd"/>
      <w:r w:rsidRPr="00554CB7">
        <w:rPr>
          <w:lang w:val="pt-BR"/>
        </w:rPr>
        <w:t xml:space="preserve"> 2.868/PI, 4.332/RO e 5.100/SC e os Temas 1.231 e 1.326 de repercussão geral; (</w:t>
      </w:r>
      <w:proofErr w:type="spellStart"/>
      <w:r w:rsidRPr="00554CB7">
        <w:rPr>
          <w:lang w:val="pt-BR"/>
        </w:rPr>
        <w:t>ii</w:t>
      </w:r>
      <w:proofErr w:type="spellEnd"/>
      <w:r w:rsidRPr="00554CB7">
        <w:rPr>
          <w:lang w:val="pt-BR"/>
        </w:rPr>
        <w:t>) examinar a indeterminação prática dos conceitos de capacidade econômica e proporcionalidade à luz da doutrina do Direito Constitucional e do Direito Financeiro; (</w:t>
      </w:r>
      <w:proofErr w:type="spellStart"/>
      <w:r w:rsidRPr="00554CB7">
        <w:rPr>
          <w:lang w:val="pt-BR"/>
        </w:rPr>
        <w:t>iii</w:t>
      </w:r>
      <w:proofErr w:type="spellEnd"/>
      <w:r w:rsidRPr="00554CB7">
        <w:rPr>
          <w:lang w:val="pt-BR"/>
        </w:rPr>
        <w:t xml:space="preserve">) mapear o exercício da </w:t>
      </w:r>
      <w:r w:rsidRPr="00554CB7">
        <w:rPr>
          <w:lang w:val="pt-BR"/>
        </w:rPr>
        <w:lastRenderedPageBreak/>
        <w:t>competência legislativa nos 92 municípios fluminenses, classificando-os segundo a existência ou ausência de lei própria, os valores fixados e a correspondência com indicadores de capacidade econômica; (</w:t>
      </w:r>
      <w:proofErr w:type="spellStart"/>
      <w:r w:rsidRPr="00554CB7">
        <w:rPr>
          <w:lang w:val="pt-BR"/>
        </w:rPr>
        <w:t>iv</w:t>
      </w:r>
      <w:proofErr w:type="spellEnd"/>
      <w:r w:rsidRPr="00554CB7">
        <w:rPr>
          <w:lang w:val="pt-BR"/>
        </w:rPr>
        <w:t>) confrontar as escolhas legislativas dos municípios de maior arrecadação com indicadores fiscais objetivos extraídos da CAPAG e do SICONFI; e (v) propor critérios objetivos e replicáveis de controle constitucional material do exercício da competência legislativa municipal em matéria de RPV.</w:t>
      </w:r>
    </w:p>
    <w:p w14:paraId="59B1B23F" w14:textId="77777777" w:rsidR="00382E09" w:rsidRPr="00554CB7" w:rsidRDefault="00382E09" w:rsidP="00382E09">
      <w:pPr>
        <w:spacing w:line="360" w:lineRule="auto"/>
        <w:ind w:firstLine="709"/>
        <w:jc w:val="both"/>
        <w:rPr>
          <w:lang w:val="pt-BR"/>
        </w:rPr>
      </w:pPr>
      <w:r w:rsidRPr="00554CB7">
        <w:rPr>
          <w:lang w:val="pt-BR"/>
        </w:rPr>
        <w:t xml:space="preserve">A hipótese sustenta que os maiores municípios fluminenses e os municípios </w:t>
      </w:r>
      <w:proofErr w:type="spellStart"/>
      <w:r w:rsidRPr="00554CB7">
        <w:rPr>
          <w:lang w:val="pt-BR"/>
        </w:rPr>
        <w:t>petrorrentistas</w:t>
      </w:r>
      <w:proofErr w:type="spellEnd"/>
      <w:r w:rsidRPr="00554CB7">
        <w:rPr>
          <w:lang w:val="pt-BR"/>
        </w:rPr>
        <w:t xml:space="preserve"> que editaram leis reduzindo o limite de RPV não observaram os parâmetros constitucionais de capacidade econômica e proporcionalidade exigidos pelo art. 100, §§ 3º e 4º, da Constituição Federal, valendo-se da presunção de legitimidade e validade de suas leis para reduzir obrigações de pagamento imediato sem demonstração de necessidade fiscal, desvirtuando a finalidade protetiva do instituto e violando os critérios materiais consolidados pelo STF, em detrimento dos credores da Fazenda Pública municipal.</w:t>
      </w:r>
    </w:p>
    <w:p w14:paraId="110FEDB0" w14:textId="6477D582" w:rsidR="00382E09" w:rsidRPr="00554CB7" w:rsidRDefault="00382E09" w:rsidP="00382E09">
      <w:pPr>
        <w:spacing w:line="360" w:lineRule="auto"/>
        <w:ind w:firstLine="709"/>
        <w:jc w:val="both"/>
        <w:rPr>
          <w:lang w:val="pt-BR"/>
        </w:rPr>
      </w:pPr>
      <w:r w:rsidRPr="00554CB7">
        <w:rPr>
          <w:lang w:val="pt-BR"/>
        </w:rPr>
        <w:t xml:space="preserve">As consequências práticas dessa captura são imediatas e mensuráveis. Quando um município reduz o limite de RPV de 30 para 10 </w:t>
      </w:r>
      <w:proofErr w:type="gramStart"/>
      <w:r w:rsidRPr="00554CB7">
        <w:rPr>
          <w:lang w:val="pt-BR"/>
        </w:rPr>
        <w:t>salários mínimos</w:t>
      </w:r>
      <w:proofErr w:type="gramEnd"/>
      <w:r w:rsidRPr="00554CB7">
        <w:rPr>
          <w:lang w:val="pt-BR"/>
        </w:rPr>
        <w:t xml:space="preserve">, todo crédito judicial entre 10 e 30 </w:t>
      </w:r>
      <w:proofErr w:type="gramStart"/>
      <w:r w:rsidRPr="00554CB7">
        <w:rPr>
          <w:lang w:val="pt-BR"/>
        </w:rPr>
        <w:t>salários mínimos</w:t>
      </w:r>
      <w:proofErr w:type="gramEnd"/>
      <w:r w:rsidRPr="00554CB7">
        <w:rPr>
          <w:lang w:val="pt-BR"/>
        </w:rPr>
        <w:t xml:space="preserve"> que antes seria pago em sessenta dias por RPV passa a integrar a fila de precatórios, com previsão de pagamento que pode se estender por anos ou décadas. Para o credor </w:t>
      </w:r>
      <w:r w:rsidR="006B0C68">
        <w:rPr>
          <w:lang w:val="pt-BR"/>
        </w:rPr>
        <w:t>-</w:t>
      </w:r>
      <w:r w:rsidRPr="00554CB7">
        <w:rPr>
          <w:lang w:val="pt-BR"/>
        </w:rPr>
        <w:t xml:space="preserve"> tipicamente um servidor público com diferenças salariais reconhecidas judicialmente, um trabalhador com verbas rescisórias devidas pela administração, ou um cidadão com indenização por dano causado pelo Poder Público </w:t>
      </w:r>
      <w:r w:rsidR="006B0C68">
        <w:rPr>
          <w:lang w:val="pt-BR"/>
        </w:rPr>
        <w:t>-</w:t>
      </w:r>
      <w:r w:rsidRPr="00554CB7">
        <w:rPr>
          <w:lang w:val="pt-BR"/>
        </w:rPr>
        <w:t xml:space="preserve"> a diferença entre receber em sessenta dias e aguardar na fila de precatórios não é meramente temporal: é a diferença entre a efetividade e a frustração do direito reconhecido judicialmente. A redução do limite de RPV, quando desacompanhada de necessidade fiscal real, </w:t>
      </w:r>
      <w:r w:rsidR="0029461D">
        <w:rPr>
          <w:lang w:val="pt-BR"/>
        </w:rPr>
        <w:t>coloca o pequeno credor em posição de submissão.</w:t>
      </w:r>
    </w:p>
    <w:p w14:paraId="2B1E2166" w14:textId="7A101839" w:rsidR="00382E09" w:rsidRPr="00554CB7" w:rsidRDefault="00382E09" w:rsidP="00382E09">
      <w:pPr>
        <w:spacing w:line="360" w:lineRule="auto"/>
        <w:ind w:firstLine="709"/>
        <w:jc w:val="both"/>
        <w:rPr>
          <w:lang w:val="pt-BR"/>
        </w:rPr>
      </w:pPr>
      <w:r w:rsidRPr="00554CB7">
        <w:rPr>
          <w:lang w:val="pt-BR"/>
        </w:rPr>
        <w:t xml:space="preserve">A revisão da literatura confirma a originalidade do recorte investigativo. A produção acadêmica sobre requisitórios concentra-se em análises dogmáticas e jurisprudenciais, sem que se tenha produzido, até o momento, levantamento quantitativo sistemático das leis municipais </w:t>
      </w:r>
      <w:r w:rsidR="00BC62CD">
        <w:rPr>
          <w:lang w:val="pt-BR"/>
        </w:rPr>
        <w:t>sobre requisitórios de pequeno valor</w:t>
      </w:r>
      <w:r w:rsidRPr="00554CB7">
        <w:rPr>
          <w:lang w:val="pt-BR"/>
        </w:rPr>
        <w:t xml:space="preserve"> em qualquer unidade federativa brasileira. A tese de Eurípedes Gomes </w:t>
      </w:r>
      <w:proofErr w:type="spellStart"/>
      <w:r w:rsidRPr="00554CB7">
        <w:rPr>
          <w:lang w:val="pt-BR"/>
        </w:rPr>
        <w:t>Faim</w:t>
      </w:r>
      <w:proofErr w:type="spellEnd"/>
      <w:r w:rsidRPr="00554CB7">
        <w:rPr>
          <w:lang w:val="pt-BR"/>
        </w:rPr>
        <w:t xml:space="preserve"> Filho (USP, 2014) permanece como única obra monográfica sobre requisitórios, mas não examina o fenômeno específico aqui investigado. A novidade da pesquisa está na inversão do ângulo investigativo: enquanto a doutrina se concentra na inconstitucionalidade por redução excessiva do limite em abstrato, esta investigação foca no uso concreto e estratégico da competência por municípios que não possuem justificativa fiscal </w:t>
      </w:r>
      <w:r w:rsidRPr="00554CB7">
        <w:rPr>
          <w:lang w:val="pt-BR"/>
        </w:rPr>
        <w:lastRenderedPageBreak/>
        <w:t>para reduzi-lo, realizando o primeiro mapeamento empírico-documental das leis municipais de RPV no Estado do Rio de Janeiro.</w:t>
      </w:r>
    </w:p>
    <w:p w14:paraId="3DF42331" w14:textId="77777777" w:rsidR="00382E09" w:rsidRPr="00554CB7" w:rsidRDefault="00382E09" w:rsidP="00382E09">
      <w:pPr>
        <w:spacing w:before="360" w:after="240" w:line="360" w:lineRule="auto"/>
        <w:rPr>
          <w:lang w:val="pt-BR"/>
        </w:rPr>
      </w:pPr>
      <w:r w:rsidRPr="00554CB7">
        <w:rPr>
          <w:b/>
          <w:lang w:val="pt-BR"/>
        </w:rPr>
        <w:t>2. PRINCIPAIS MÉTODOS EMPREGADOS</w:t>
      </w:r>
    </w:p>
    <w:p w14:paraId="59F6E02C" w14:textId="6D521E1C" w:rsidR="00382E09" w:rsidRPr="00554CB7" w:rsidRDefault="00382E09" w:rsidP="00382E09">
      <w:pPr>
        <w:spacing w:line="360" w:lineRule="auto"/>
        <w:ind w:firstLine="709"/>
        <w:jc w:val="both"/>
        <w:rPr>
          <w:lang w:val="pt-BR"/>
        </w:rPr>
      </w:pPr>
      <w:r w:rsidRPr="00554CB7">
        <w:rPr>
          <w:lang w:val="pt-BR"/>
        </w:rPr>
        <w:t>A pesquisa adota abordagem mista, combinando</w:t>
      </w:r>
      <w:r w:rsidR="00BC62CD">
        <w:rPr>
          <w:lang w:val="pt-BR"/>
        </w:rPr>
        <w:t xml:space="preserve"> as</w:t>
      </w:r>
      <w:r w:rsidRPr="00554CB7">
        <w:rPr>
          <w:lang w:val="pt-BR"/>
        </w:rPr>
        <w:t xml:space="preserve"> dimensões qualitativa e quantitativa. A dimensão qualitativa é empregada na análise dogmática e jurisprudencial do regime constitucional das RPVs, no exame do conteúdo das leis municipais e de suas justificativas legislativas, e na interpretação dos precedentes do STF à luz do marco teórico adotado. A dimensão quantitativa é empregada no tratamento dos dados fiscais municipais, extraídos das planilhas oficiais da CAPAG (Capacidade de Pagamento) do Tesouro Nacional e do SICONFI, operacionalizados sobre indicadores que permitem a comparação sistemática entre capacidade econômica e escolha legislativa.</w:t>
      </w:r>
    </w:p>
    <w:p w14:paraId="6F02DBDC" w14:textId="77777777" w:rsidR="00382E09" w:rsidRPr="00554CB7" w:rsidRDefault="00382E09" w:rsidP="00382E09">
      <w:pPr>
        <w:spacing w:line="360" w:lineRule="auto"/>
        <w:ind w:firstLine="709"/>
        <w:jc w:val="both"/>
        <w:rPr>
          <w:lang w:val="pt-BR"/>
        </w:rPr>
      </w:pPr>
      <w:r w:rsidRPr="00554CB7">
        <w:rPr>
          <w:lang w:val="pt-BR"/>
        </w:rPr>
        <w:t>Quanto aos fins, a pesquisa é simultaneamente descritiva e explicativa. É descritiva na medida em que mapeia, pela primeira vez de forma sistemática, o exercício da competência legislativa municipal em matéria de RPV no Estado do Rio de Janeiro, classificando os 92 municípios segundo a existência ou ausência de lei própria e os valores fixados. É explicativa na medida em que investiga as relações entre a capacidade econômica dos municípios de maior arrecadação e suas escolhas legislativas, buscando identificar se o exercício dessa competência observou os parâmetros constitucionais ou revelou padrão de uso estratégico e desvirtuado do instituto.</w:t>
      </w:r>
    </w:p>
    <w:p w14:paraId="5BB98BFE" w14:textId="5CD41FD0" w:rsidR="00382E09" w:rsidRPr="00554CB7" w:rsidRDefault="00382E09" w:rsidP="00382E09">
      <w:pPr>
        <w:spacing w:line="360" w:lineRule="auto"/>
        <w:ind w:firstLine="709"/>
        <w:jc w:val="both"/>
        <w:rPr>
          <w:lang w:val="pt-BR"/>
        </w:rPr>
      </w:pPr>
      <w:r w:rsidRPr="00554CB7">
        <w:rPr>
          <w:lang w:val="pt-BR"/>
        </w:rPr>
        <w:t xml:space="preserve">Três procedimentos complementares foram </w:t>
      </w:r>
      <w:r w:rsidR="00CC1433">
        <w:rPr>
          <w:lang w:val="pt-BR"/>
        </w:rPr>
        <w:t>utilizados</w:t>
      </w:r>
      <w:r w:rsidRPr="00554CB7">
        <w:rPr>
          <w:lang w:val="pt-BR"/>
        </w:rPr>
        <w:t>. O primeiro</w:t>
      </w:r>
      <w:r w:rsidR="00CC1433">
        <w:rPr>
          <w:lang w:val="pt-BR"/>
        </w:rPr>
        <w:t xml:space="preserve"> deles</w:t>
      </w:r>
      <w:r w:rsidRPr="00554CB7">
        <w:rPr>
          <w:lang w:val="pt-BR"/>
        </w:rPr>
        <w:t xml:space="preserve"> é a pesquisa bibliográfica, voltada à construção do marco teórico e à revisão da literatura acadêmica sobre requisitórios, federalismo fiscal e controle constitucional da discricionariedade legislativa. As fontes primárias são os autores identificados no marco teórico </w:t>
      </w:r>
      <w:r w:rsidR="006B0C68">
        <w:rPr>
          <w:lang w:val="pt-BR"/>
        </w:rPr>
        <w:t>-</w:t>
      </w:r>
      <w:r w:rsidRPr="00554CB7">
        <w:rPr>
          <w:lang w:val="pt-BR"/>
        </w:rPr>
        <w:t xml:space="preserve"> Fernando </w:t>
      </w:r>
      <w:proofErr w:type="spellStart"/>
      <w:r w:rsidRPr="00554CB7">
        <w:rPr>
          <w:lang w:val="pt-BR"/>
        </w:rPr>
        <w:t>Facury</w:t>
      </w:r>
      <w:proofErr w:type="spellEnd"/>
      <w:r w:rsidRPr="00554CB7">
        <w:rPr>
          <w:lang w:val="pt-BR"/>
        </w:rPr>
        <w:t xml:space="preserve"> </w:t>
      </w:r>
      <w:proofErr w:type="spellStart"/>
      <w:r w:rsidRPr="00554CB7">
        <w:rPr>
          <w:lang w:val="pt-BR"/>
        </w:rPr>
        <w:t>Scaff</w:t>
      </w:r>
      <w:proofErr w:type="spellEnd"/>
      <w:r w:rsidRPr="00554CB7">
        <w:rPr>
          <w:lang w:val="pt-BR"/>
        </w:rPr>
        <w:t xml:space="preserve">, José Maurício Conti, Luís Roberto Barroso e Ivan César Ribeiro </w:t>
      </w:r>
      <w:r w:rsidR="006B0C68">
        <w:rPr>
          <w:lang w:val="pt-BR"/>
        </w:rPr>
        <w:t>-</w:t>
      </w:r>
      <w:r w:rsidRPr="00554CB7">
        <w:rPr>
          <w:lang w:val="pt-BR"/>
        </w:rPr>
        <w:t xml:space="preserve">, complementadas pela produção doutrinária identificada na revisão de literatura, com destaque para a tese de Eurípedes Gomes </w:t>
      </w:r>
      <w:proofErr w:type="spellStart"/>
      <w:r w:rsidRPr="00554CB7">
        <w:rPr>
          <w:lang w:val="pt-BR"/>
        </w:rPr>
        <w:t>Faim</w:t>
      </w:r>
      <w:proofErr w:type="spellEnd"/>
      <w:r w:rsidRPr="00554CB7">
        <w:rPr>
          <w:lang w:val="pt-BR"/>
        </w:rPr>
        <w:t xml:space="preserve"> Filho (USP, 2014) como única obra monográfica sobre requisitórios no direito brasileiro.</w:t>
      </w:r>
    </w:p>
    <w:p w14:paraId="783C7FE3" w14:textId="68C61B32" w:rsidR="00382E09" w:rsidRPr="00554CB7" w:rsidRDefault="00382E09" w:rsidP="00382E09">
      <w:pPr>
        <w:spacing w:line="360" w:lineRule="auto"/>
        <w:ind w:firstLine="709"/>
        <w:jc w:val="both"/>
        <w:rPr>
          <w:lang w:val="pt-BR"/>
        </w:rPr>
      </w:pPr>
      <w:r w:rsidRPr="00554CB7">
        <w:rPr>
          <w:lang w:val="pt-BR"/>
        </w:rPr>
        <w:t>O segundo é a pesquisa documental, centrada no levantamento e análise das leis municipais de RPV dos 92 municípios do Estado do Rio de Janeiro, realizado junto ao portal Leis Municipais</w:t>
      </w:r>
      <w:r w:rsidR="004760F7">
        <w:rPr>
          <w:lang w:val="pt-BR"/>
        </w:rPr>
        <w:t>,</w:t>
      </w:r>
      <w:r w:rsidRPr="00554CB7">
        <w:rPr>
          <w:lang w:val="pt-BR"/>
        </w:rPr>
        <w:t xml:space="preserve"> aos portais das Câmaras e Prefeituras Municipais</w:t>
      </w:r>
      <w:r w:rsidR="004760F7">
        <w:rPr>
          <w:lang w:val="pt-BR"/>
        </w:rPr>
        <w:t xml:space="preserve"> e ao portal do Tribunal de Justiça.</w:t>
      </w:r>
      <w:r w:rsidRPr="00554CB7">
        <w:rPr>
          <w:lang w:val="pt-BR"/>
        </w:rPr>
        <w:t xml:space="preserve"> Para cada município foram registrados: existência ou ausência de lei própria; valor fixado como limite de RPV; data de edição da norma; e justificativas legislativas, quando </w:t>
      </w:r>
      <w:r w:rsidRPr="00554CB7">
        <w:rPr>
          <w:lang w:val="pt-BR"/>
        </w:rPr>
        <w:lastRenderedPageBreak/>
        <w:t xml:space="preserve">disponíveis. Os municípios foram classificados em cinco grupos: (a) sem lei própria, submetidos ao limite supletivo de 30 </w:t>
      </w:r>
      <w:proofErr w:type="gramStart"/>
      <w:r w:rsidRPr="00554CB7">
        <w:rPr>
          <w:lang w:val="pt-BR"/>
        </w:rPr>
        <w:t>salários mínimos</w:t>
      </w:r>
      <w:proofErr w:type="gramEnd"/>
      <w:r w:rsidRPr="00554CB7">
        <w:rPr>
          <w:lang w:val="pt-BR"/>
        </w:rPr>
        <w:t xml:space="preserve"> do ADCT; (b) com lei fixando o limite no piso do RGPS; (c) de grande porte e elevada capacidade fiscal que editaram leis redutoras </w:t>
      </w:r>
      <w:r w:rsidR="006B0C68">
        <w:rPr>
          <w:lang w:val="pt-BR"/>
        </w:rPr>
        <w:t>-</w:t>
      </w:r>
      <w:r w:rsidRPr="00554CB7">
        <w:rPr>
          <w:lang w:val="pt-BR"/>
        </w:rPr>
        <w:t xml:space="preserve"> como Rio de Janeiro, Niterói, Duque de Caxias e Nova Iguaçu; (d) de pequeno porte com elevada receita de royalties que também editaram leis redutoras </w:t>
      </w:r>
      <w:r w:rsidR="006B0C68">
        <w:rPr>
          <w:lang w:val="pt-BR"/>
        </w:rPr>
        <w:t>-</w:t>
      </w:r>
      <w:r w:rsidRPr="00554CB7">
        <w:rPr>
          <w:lang w:val="pt-BR"/>
        </w:rPr>
        <w:t xml:space="preserve"> como Carapebus e Quissamã; e (e) que aumentaram o limite acima de 30 </w:t>
      </w:r>
      <w:proofErr w:type="gramStart"/>
      <w:r w:rsidRPr="00554CB7">
        <w:rPr>
          <w:lang w:val="pt-BR"/>
        </w:rPr>
        <w:t>salários mínimos</w:t>
      </w:r>
      <w:proofErr w:type="gramEnd"/>
      <w:r w:rsidRPr="00554CB7">
        <w:rPr>
          <w:lang w:val="pt-BR"/>
        </w:rPr>
        <w:t>. Os grupos (c) e (d) constituem o núcleo do teste da hipótese.</w:t>
      </w:r>
    </w:p>
    <w:p w14:paraId="440327E4" w14:textId="04735AD3" w:rsidR="00382E09" w:rsidRPr="00554CB7" w:rsidRDefault="00382E09" w:rsidP="00382E09">
      <w:pPr>
        <w:spacing w:line="360" w:lineRule="auto"/>
        <w:ind w:firstLine="709"/>
        <w:jc w:val="both"/>
        <w:rPr>
          <w:lang w:val="pt-BR"/>
        </w:rPr>
      </w:pPr>
      <w:r w:rsidRPr="00554CB7">
        <w:rPr>
          <w:lang w:val="pt-BR"/>
        </w:rPr>
        <w:t>O terceiro é a pesquisa empírica, consistente na coleta e análise d</w:t>
      </w:r>
      <w:r w:rsidR="004760F7">
        <w:rPr>
          <w:lang w:val="pt-BR"/>
        </w:rPr>
        <w:t>e</w:t>
      </w:r>
      <w:r w:rsidRPr="00554CB7">
        <w:rPr>
          <w:lang w:val="pt-BR"/>
        </w:rPr>
        <w:t xml:space="preserve"> indicadores fiscais dos municípios dos grupos (c) e (d). Os dados foram extraídos das planilhas oficiais da CAPAG do Tesouro Nacional, anos-base 2023 e 2024, que consolidam três indicadores padronizados: (i) endividamento </w:t>
      </w:r>
      <w:r w:rsidR="006B0C68">
        <w:rPr>
          <w:lang w:val="pt-BR"/>
        </w:rPr>
        <w:t>-</w:t>
      </w:r>
      <w:r w:rsidRPr="00554CB7">
        <w:rPr>
          <w:lang w:val="pt-BR"/>
        </w:rPr>
        <w:t xml:space="preserve"> razão entre Dívida Consolidada Líquida e Receita Corrente Líquida (DCL/RCL), cujo limite estabelecido pela LRF é de 120%; (</w:t>
      </w:r>
      <w:proofErr w:type="spellStart"/>
      <w:r w:rsidRPr="00554CB7">
        <w:rPr>
          <w:lang w:val="pt-BR"/>
        </w:rPr>
        <w:t>ii</w:t>
      </w:r>
      <w:proofErr w:type="spellEnd"/>
      <w:r w:rsidRPr="00554CB7">
        <w:rPr>
          <w:lang w:val="pt-BR"/>
        </w:rPr>
        <w:t xml:space="preserve">) poupança corrente </w:t>
      </w:r>
      <w:r w:rsidR="006B0C68">
        <w:rPr>
          <w:lang w:val="pt-BR"/>
        </w:rPr>
        <w:t>-</w:t>
      </w:r>
      <w:r w:rsidRPr="00554CB7">
        <w:rPr>
          <w:lang w:val="pt-BR"/>
        </w:rPr>
        <w:t xml:space="preserve"> razão entre Despesas Correntes e Receitas Correntes (DC/RC), em que valores acima de 95% indicam margem fiscal comprimida; e (</w:t>
      </w:r>
      <w:proofErr w:type="spellStart"/>
      <w:r w:rsidRPr="00554CB7">
        <w:rPr>
          <w:lang w:val="pt-BR"/>
        </w:rPr>
        <w:t>iii</w:t>
      </w:r>
      <w:proofErr w:type="spellEnd"/>
      <w:r w:rsidRPr="00554CB7">
        <w:rPr>
          <w:lang w:val="pt-BR"/>
        </w:rPr>
        <w:t xml:space="preserve">) liquidez </w:t>
      </w:r>
      <w:r w:rsidR="006B0C68">
        <w:rPr>
          <w:lang w:val="pt-BR"/>
        </w:rPr>
        <w:t>-</w:t>
      </w:r>
      <w:r w:rsidRPr="00554CB7">
        <w:rPr>
          <w:lang w:val="pt-BR"/>
        </w:rPr>
        <w:t xml:space="preserve"> razão entre obrigações financeiras e disponibilidade de caixa, em que valores negativos indicam insuficiência de caixa. Esses indicadores foram confrontados com as escolhas legislativas de cada município, permitindo verificar empiricamente a existência ou ausência de correspondência entre capacidade econômica e decisão normativa.</w:t>
      </w:r>
    </w:p>
    <w:p w14:paraId="481E3C8E" w14:textId="230D4198" w:rsidR="00382E09" w:rsidRPr="00554CB7" w:rsidRDefault="00382E09" w:rsidP="00382E09">
      <w:pPr>
        <w:spacing w:line="360" w:lineRule="auto"/>
        <w:ind w:firstLine="709"/>
        <w:jc w:val="both"/>
        <w:rPr>
          <w:lang w:val="pt-BR"/>
        </w:rPr>
      </w:pPr>
      <w:r w:rsidRPr="00554CB7">
        <w:rPr>
          <w:lang w:val="pt-BR"/>
        </w:rPr>
        <w:t xml:space="preserve">A verificação da hipótese opera da seguinte forma: municípios para os quais nenhum dos três indicadores fiscais revele pressão orçamentária real </w:t>
      </w:r>
      <w:r w:rsidR="006B0C68">
        <w:rPr>
          <w:lang w:val="pt-BR"/>
        </w:rPr>
        <w:t>-</w:t>
      </w:r>
      <w:r w:rsidRPr="00554CB7">
        <w:rPr>
          <w:lang w:val="pt-BR"/>
        </w:rPr>
        <w:t xml:space="preserve"> especialmente quando acompanhados de justificativas legislativas genéricas e </w:t>
      </w:r>
      <w:r w:rsidR="0060317C">
        <w:rPr>
          <w:lang w:val="pt-BR"/>
        </w:rPr>
        <w:t xml:space="preserve">sem </w:t>
      </w:r>
      <w:r w:rsidRPr="00554CB7">
        <w:rPr>
          <w:lang w:val="pt-BR"/>
        </w:rPr>
        <w:t xml:space="preserve">prova concreta </w:t>
      </w:r>
      <w:r w:rsidR="006B0C68">
        <w:rPr>
          <w:lang w:val="pt-BR"/>
        </w:rPr>
        <w:t>-</w:t>
      </w:r>
      <w:r w:rsidRPr="00554CB7">
        <w:rPr>
          <w:lang w:val="pt-BR"/>
        </w:rPr>
        <w:t xml:space="preserve"> terão sua escolha legislativa submetida ao juízo de inconstitucionalidade material por violação dos critérios de capacidade econômica e proporcionalidade consolidados pelo STF.</w:t>
      </w:r>
    </w:p>
    <w:p w14:paraId="4B05EE8C" w14:textId="2C8E2281" w:rsidR="00382E09" w:rsidRPr="00554CB7" w:rsidRDefault="00382E09" w:rsidP="00382E09">
      <w:pPr>
        <w:spacing w:line="360" w:lineRule="auto"/>
        <w:ind w:firstLine="709"/>
        <w:jc w:val="both"/>
        <w:rPr>
          <w:lang w:val="pt-BR"/>
        </w:rPr>
      </w:pPr>
      <w:r w:rsidRPr="00554CB7">
        <w:rPr>
          <w:lang w:val="pt-BR"/>
        </w:rPr>
        <w:t xml:space="preserve">A escolha da CAPAG como fonte primária de dados fiscais justifica-se por três razões. Primeira, trata-se de indicador oficial produzido pelo Tesouro Nacional com metodologia padronizada e pública, aplicável uniformemente a todos os municípios brasileiros, o que assegura comparabilidade. Segunda, os três indicadores da CAPAG </w:t>
      </w:r>
      <w:r w:rsidR="006B0C68">
        <w:rPr>
          <w:lang w:val="pt-BR"/>
        </w:rPr>
        <w:t>-</w:t>
      </w:r>
      <w:r w:rsidRPr="00554CB7">
        <w:rPr>
          <w:lang w:val="pt-BR"/>
        </w:rPr>
        <w:t xml:space="preserve"> endividamento, poupança corrente e liquidez </w:t>
      </w:r>
      <w:r w:rsidR="006B0C68">
        <w:rPr>
          <w:lang w:val="pt-BR"/>
        </w:rPr>
        <w:t>-</w:t>
      </w:r>
      <w:r w:rsidRPr="00554CB7">
        <w:rPr>
          <w:lang w:val="pt-BR"/>
        </w:rPr>
        <w:t xml:space="preserve"> capturam dimensões complementares da saúde fiscal municipal: capacidade de endividamento, margem operacional e solvência de curto prazo. Terceira, a classificação final em notas (A, B e C) e o CAPAG geral são utilizados pelo próprio governo federal como critério para concessão de garantias e operações de crédito, o que confere aos indicadores legitimidade institucional. Essa escolha metodológica permite que os resultados da </w:t>
      </w:r>
      <w:r w:rsidRPr="00554CB7">
        <w:rPr>
          <w:lang w:val="pt-BR"/>
        </w:rPr>
        <w:lastRenderedPageBreak/>
        <w:t>pesquisa sejam verificáveis e replicáveis por qualquer pesquisador que acesse as planilhas públicas do Tesouro Nacional.</w:t>
      </w:r>
    </w:p>
    <w:p w14:paraId="3D9D5E55" w14:textId="00C1C838" w:rsidR="00382E09" w:rsidRPr="00554CB7" w:rsidRDefault="00382E09" w:rsidP="00382E09">
      <w:pPr>
        <w:spacing w:line="360" w:lineRule="auto"/>
        <w:ind w:firstLine="709"/>
        <w:jc w:val="both"/>
        <w:rPr>
          <w:lang w:val="pt-BR"/>
        </w:rPr>
      </w:pPr>
      <w:r w:rsidRPr="00554CB7">
        <w:rPr>
          <w:lang w:val="pt-BR"/>
        </w:rPr>
        <w:t xml:space="preserve">É necessário registrar, contudo, as limitações da CAPAG como instrumento de análise. O indicador não desagrega as despesas correntes por natureza, o que impede identificar diretamente o peso dos requisitórios sobre a RCL. Essa limitação será parcialmente contornada nas próximas etapas da pesquisa com dados desagregados do SICONFI. Além disso, a CAPAG depende da qualidade da informação contábil prestada pelo município </w:t>
      </w:r>
      <w:r w:rsidR="006B0C68">
        <w:rPr>
          <w:lang w:val="pt-BR"/>
        </w:rPr>
        <w:t>-</w:t>
      </w:r>
      <w:r w:rsidRPr="00554CB7">
        <w:rPr>
          <w:lang w:val="pt-BR"/>
        </w:rPr>
        <w:t xml:space="preserve"> e, como demonstra o caso de Carapebus, entes que não homologam suas declarações contábeis ficam com dados incompletos ou indisponíveis, o que paradoxalmente reforça o argumento da pesquisa: a ausência de dados fiscais confiáveis, por si só, impede a demonstração de capacidade econômica que a Constituição exige como pressuposto para o exercício da competência redutora.</w:t>
      </w:r>
    </w:p>
    <w:p w14:paraId="5938A4D1" w14:textId="77777777" w:rsidR="00382E09" w:rsidRPr="00554CB7" w:rsidRDefault="00382E09" w:rsidP="00382E09">
      <w:pPr>
        <w:spacing w:before="360" w:after="240" w:line="360" w:lineRule="auto"/>
        <w:rPr>
          <w:lang w:val="pt-BR"/>
        </w:rPr>
      </w:pPr>
      <w:r w:rsidRPr="00554CB7">
        <w:rPr>
          <w:b/>
          <w:lang w:val="pt-BR"/>
        </w:rPr>
        <w:t>3. FUNDAMENTAÇÃO TEÓRICA</w:t>
      </w:r>
    </w:p>
    <w:p w14:paraId="6D17B9C5" w14:textId="77777777" w:rsidR="00382E09" w:rsidRPr="00554CB7" w:rsidRDefault="00382E09" w:rsidP="00382E09">
      <w:pPr>
        <w:spacing w:line="360" w:lineRule="auto"/>
        <w:ind w:firstLine="709"/>
        <w:jc w:val="both"/>
        <w:rPr>
          <w:lang w:val="pt-BR"/>
        </w:rPr>
      </w:pPr>
      <w:r w:rsidRPr="00554CB7">
        <w:rPr>
          <w:lang w:val="pt-BR"/>
        </w:rPr>
        <w:t>A investigação se apoia em três eixos teóricos complementares, articulados para fornecer o instrumental analítico necessário ao enfrentamento do problema de pesquisa.</w:t>
      </w:r>
    </w:p>
    <w:p w14:paraId="423E9E39" w14:textId="74D9C3C7" w:rsidR="00382E09" w:rsidRPr="00554CB7" w:rsidRDefault="00382E09" w:rsidP="00382E09">
      <w:pPr>
        <w:spacing w:line="360" w:lineRule="auto"/>
        <w:ind w:firstLine="709"/>
        <w:jc w:val="both"/>
        <w:rPr>
          <w:lang w:val="pt-BR"/>
        </w:rPr>
      </w:pPr>
      <w:r w:rsidRPr="00554CB7">
        <w:rPr>
          <w:lang w:val="pt-BR"/>
        </w:rPr>
        <w:t xml:space="preserve">Antes de desenvolver os eixos teóricos, cumpre situar o instituto da RPV no campo das políticas públicas. Na concepção de Maria Paula Dallari Bucci, as políticas públicas são arranjos institucionais dotados de estrutura jurídica própria, cujo funcionamento deve ser analisado a partir de sua efetividade concreta. A RPV, nessa perspectiva, não é mera regra processual de execução: é um arranjo institucional que materializa a política pública de acesso à justiça para credores de pequeno valor contra a Fazenda Pública. A definição do limite de RPV por lei municipal é, portanto, uma decisão de política pública com consequências distributivas imediatas: ela determina quais credores terão acesso ao pagamento célere e quais serão remetidos à fila de precatórios. Quando essa definição é feita sem correspondência com a capacidade fiscal do ente, o arranjo institucional é desvirtuado </w:t>
      </w:r>
      <w:r w:rsidR="006B0C68">
        <w:rPr>
          <w:lang w:val="pt-BR"/>
        </w:rPr>
        <w:t>-</w:t>
      </w:r>
      <w:r w:rsidRPr="00554CB7">
        <w:rPr>
          <w:lang w:val="pt-BR"/>
        </w:rPr>
        <w:t xml:space="preserve"> a política pública de proteção ao credor vulnerável é capturada pelo ente devedor.</w:t>
      </w:r>
    </w:p>
    <w:p w14:paraId="7748BAA9" w14:textId="77777777" w:rsidR="00382E09" w:rsidRPr="00554CB7" w:rsidRDefault="00382E09" w:rsidP="00382E09">
      <w:pPr>
        <w:spacing w:line="360" w:lineRule="auto"/>
        <w:ind w:firstLine="709"/>
        <w:jc w:val="both"/>
        <w:rPr>
          <w:lang w:val="pt-BR"/>
        </w:rPr>
      </w:pPr>
      <w:r w:rsidRPr="00554CB7">
        <w:rPr>
          <w:lang w:val="pt-BR"/>
        </w:rPr>
        <w:t xml:space="preserve">O primeiro eixo ancora a pesquisa na teoria do federalismo fiscal constitucional, com ênfase na distribuição de competências entre entes federativos e nos limites constitucionais ao seu exercício. Fernando </w:t>
      </w:r>
      <w:proofErr w:type="spellStart"/>
      <w:r w:rsidRPr="00554CB7">
        <w:rPr>
          <w:lang w:val="pt-BR"/>
        </w:rPr>
        <w:t>Facury</w:t>
      </w:r>
      <w:proofErr w:type="spellEnd"/>
      <w:r w:rsidRPr="00554CB7">
        <w:rPr>
          <w:lang w:val="pt-BR"/>
        </w:rPr>
        <w:t xml:space="preserve"> </w:t>
      </w:r>
      <w:proofErr w:type="spellStart"/>
      <w:r w:rsidRPr="00554CB7">
        <w:rPr>
          <w:lang w:val="pt-BR"/>
        </w:rPr>
        <w:t>Scaff</w:t>
      </w:r>
      <w:proofErr w:type="spellEnd"/>
      <w:r w:rsidRPr="00554CB7">
        <w:rPr>
          <w:lang w:val="pt-BR"/>
        </w:rPr>
        <w:t xml:space="preserve">, em Orçamento republicano e liberdade igual (2018), demonstra que a autonomia financeira dos entes federados opera dentro de um quadro republicano que impõe limites materiais ao exercício das competências, especialmente quando </w:t>
      </w:r>
      <w:r w:rsidRPr="00554CB7">
        <w:rPr>
          <w:lang w:val="pt-BR"/>
        </w:rPr>
        <w:lastRenderedPageBreak/>
        <w:t xml:space="preserve">esse exercício afeta direitos de terceiros. A liberdade orçamentária do município não é irrestrita: ela encontra limite na vedação de que a escolha alocativa prejudique direitos fundamentais de cidadãos que já obtiveram reconhecimento judicial de suas pretensões. José Maurício Conti, em Dívida Pública (2019), situa os requisitórios no quadro mais amplo da dívida pública, demonstrando que o pagamento de condenações judiciais integra o sistema de responsabilidade fiscal e não pode ser tratado como variável de ajuste discricionário pelo gestor municipal. A articulação entre </w:t>
      </w:r>
      <w:proofErr w:type="spellStart"/>
      <w:r w:rsidRPr="00554CB7">
        <w:rPr>
          <w:lang w:val="pt-BR"/>
        </w:rPr>
        <w:t>Scaff</w:t>
      </w:r>
      <w:proofErr w:type="spellEnd"/>
      <w:r w:rsidRPr="00554CB7">
        <w:rPr>
          <w:lang w:val="pt-BR"/>
        </w:rPr>
        <w:t xml:space="preserve"> e Conti fornece o primeiro pilar analítico: a competência para fixar limites de RPV não é absoluta, mas condicionada, e seu exercício válido pressupõe correspondência com a real situação fiscal do ente. Um município que reduz o limite de RPV sem necessidade fiscal demonstrável viola não apenas a proporcionalidade constitucional, mas o próprio fundamento republicano da autonomia federativa.</w:t>
      </w:r>
    </w:p>
    <w:p w14:paraId="3C2DC9F3" w14:textId="634B9CD8" w:rsidR="00382E09" w:rsidRPr="00554CB7" w:rsidRDefault="00382E09" w:rsidP="00382E09">
      <w:pPr>
        <w:spacing w:line="360" w:lineRule="auto"/>
        <w:ind w:firstLine="709"/>
        <w:jc w:val="both"/>
        <w:rPr>
          <w:lang w:val="pt-BR"/>
        </w:rPr>
      </w:pPr>
      <w:r w:rsidRPr="00554CB7">
        <w:rPr>
          <w:lang w:val="pt-BR"/>
        </w:rPr>
        <w:t xml:space="preserve">O segundo eixo mobiliza a teoria do controle constitucional da discricionariedade legislativa, com base na obra de Luís Roberto Barroso. Em Interpretação e aplicação da Constituição (2014) e no Curso de direito constitucional contemporâneo (2020), Barroso desenvolve a tese de que a discricionariedade legislativa não é imune ao controle judicial quando o ato normativo, embora formalmente válido, revela-se materialmente desproporcional ou desarrazoado à luz dos parâmetros constitucionais. O princípio da proporcionalidade, na formulação tripartite adotada por Barroso </w:t>
      </w:r>
      <w:r w:rsidR="006B0C68">
        <w:rPr>
          <w:lang w:val="pt-BR"/>
        </w:rPr>
        <w:t>-</w:t>
      </w:r>
      <w:r w:rsidRPr="00554CB7">
        <w:rPr>
          <w:lang w:val="pt-BR"/>
        </w:rPr>
        <w:t xml:space="preserve"> adequação, necessidade e proporcionalidade em sentido estrito </w:t>
      </w:r>
      <w:r w:rsidR="006B0C68">
        <w:rPr>
          <w:lang w:val="pt-BR"/>
        </w:rPr>
        <w:t>-</w:t>
      </w:r>
      <w:r w:rsidRPr="00554CB7">
        <w:rPr>
          <w:lang w:val="pt-BR"/>
        </w:rPr>
        <w:t>, opera como critério de controle da relação entre meio e fim. A aplicação ao objeto da pesquisa é direta: a redução do limite de RPV constitui o meio; a proteção da capacidade fiscal do ente constitui o fim alegado. Para que a medida seja constitucionalmente válida, é necessário demonstrar que ela é adequada (a redução efetivamente protege a capacidade fiscal), necessária (não há meio menos gravoso para o credor que produza o mesmo resultado) e proporcional em sentido estrito (o benefício fiscal obtido pelo município justifica a restrição imposta ao direito do credor). A presunção de legitimidade das leis municipais que reduziram o limite de RPV não afasta esse controle, especialmente quando ausente qualquer demonstração de necessidade fiscal que justifique a escolha legislativa. Em O controle de constitucionalidade no direito brasileiro (2012), Barroso demonstra ainda que o controle incidental de constitucionalidade pode ser exercido por qualquer juízo, o que abre caminho para que magistrados de execução declarem incidentalmente a inconstitucionalidade de leis municipais que violem os parâmetros materiais fixados pelo STF.</w:t>
      </w:r>
    </w:p>
    <w:p w14:paraId="43A94020" w14:textId="04CEF3BF" w:rsidR="00382E09" w:rsidRPr="00554CB7" w:rsidRDefault="00382E09" w:rsidP="00382E09">
      <w:pPr>
        <w:spacing w:line="360" w:lineRule="auto"/>
        <w:ind w:firstLine="709"/>
        <w:jc w:val="both"/>
        <w:rPr>
          <w:lang w:val="pt-BR"/>
        </w:rPr>
      </w:pPr>
      <w:r w:rsidRPr="00554CB7">
        <w:rPr>
          <w:lang w:val="pt-BR"/>
        </w:rPr>
        <w:t xml:space="preserve">O terceiro eixo é fornecido pela análise econômica do direito e pela teoria das políticas públicas de médio alcance, tendo Ivan César Ribeiro como referência central. Em sua produção </w:t>
      </w:r>
      <w:r w:rsidRPr="00554CB7">
        <w:rPr>
          <w:lang w:val="pt-BR"/>
        </w:rPr>
        <w:lastRenderedPageBreak/>
        <w:t xml:space="preserve">sobre análise de impacto regulatório (RIBEIRO, 2012) e sobre causalidade e políticas públicas (RIBEIRO, 2022), Ribeiro permite compreender a escolha legislativa municipal não apenas como ato jurídico, mas como decisão estratégica de gestão do passivo judicial, suscetível de análise pelos seus efeitos concretos. Municípios com capacidade econômica elevada têm incentivos institucionais para reduzir o limite de RPV: ao converter créditos de RPV em precatórios, o município posterga o pagamento por anos, alivia o fluxo de caixa de curto prazo e transfere o ônus ao credor </w:t>
      </w:r>
      <w:r w:rsidR="006B0C68">
        <w:rPr>
          <w:lang w:val="pt-BR"/>
        </w:rPr>
        <w:t>-</w:t>
      </w:r>
      <w:r w:rsidRPr="00554CB7">
        <w:rPr>
          <w:lang w:val="pt-BR"/>
        </w:rPr>
        <w:t xml:space="preserve"> que, para ter seu crédito pago como RPV, precisará ajuizar ação questionando a constitucionalidade da lei municipal. Esse comportamento é identificado pela teoria da </w:t>
      </w:r>
      <w:proofErr w:type="spellStart"/>
      <w:r w:rsidRPr="006948B4">
        <w:rPr>
          <w:i/>
          <w:iCs/>
          <w:lang w:val="pt-BR"/>
        </w:rPr>
        <w:t>public</w:t>
      </w:r>
      <w:proofErr w:type="spellEnd"/>
      <w:r w:rsidRPr="006948B4">
        <w:rPr>
          <w:i/>
          <w:iCs/>
          <w:lang w:val="pt-BR"/>
        </w:rPr>
        <w:t xml:space="preserve"> </w:t>
      </w:r>
      <w:proofErr w:type="spellStart"/>
      <w:r w:rsidRPr="006948B4">
        <w:rPr>
          <w:i/>
          <w:iCs/>
          <w:lang w:val="pt-BR"/>
        </w:rPr>
        <w:t>choice</w:t>
      </w:r>
      <w:proofErr w:type="spellEnd"/>
      <w:r w:rsidRPr="00554CB7">
        <w:rPr>
          <w:lang w:val="pt-BR"/>
        </w:rPr>
        <w:t xml:space="preserve"> como oportunismo fiscal: o agente público maximiza seu interesse de curto prazo (gestão de caixa) às custas do bem-estar do credor (que já teve seu direito reconhecido judicialmente). A contribuição específica de Ribeiro sobre análise de impacto regulatório fornece o instrumental para avaliar se as escolhas legislativas municipais produziram os efeitos que alegadamente as justificaram </w:t>
      </w:r>
      <w:r w:rsidR="006B0C68">
        <w:rPr>
          <w:lang w:val="pt-BR"/>
        </w:rPr>
        <w:t>-</w:t>
      </w:r>
      <w:r w:rsidRPr="00554CB7">
        <w:rPr>
          <w:lang w:val="pt-BR"/>
        </w:rPr>
        <w:t xml:space="preserve"> ou se, como a hipótese sugere, serviram predominantemente como mecanismo de postergação sem fundamentação fiscal.</w:t>
      </w:r>
    </w:p>
    <w:p w14:paraId="4F0DE517" w14:textId="77777777" w:rsidR="00382E09" w:rsidRPr="00554CB7" w:rsidRDefault="00382E09" w:rsidP="00382E09">
      <w:pPr>
        <w:spacing w:line="360" w:lineRule="auto"/>
        <w:ind w:firstLine="709"/>
        <w:jc w:val="both"/>
        <w:rPr>
          <w:lang w:val="pt-BR"/>
        </w:rPr>
      </w:pPr>
      <w:r w:rsidRPr="00554CB7">
        <w:rPr>
          <w:lang w:val="pt-BR"/>
        </w:rPr>
        <w:t>Os três eixos operam de forma articulada e não se sobrepõem: o federalismo fiscal delimita o espaço de competência e seus limites republicanos; o controle da proporcionalidade define os critérios de validade constitucional do exercício dessa competência; e a análise econômica explica o incentivo que conduz municípios ricos a exercerem essa competência de forma estratégica e potencialmente nociva. É a articulação entre os três que torna possível responder ao problema de pesquisa proposto.</w:t>
      </w:r>
    </w:p>
    <w:p w14:paraId="631A788C" w14:textId="46E65025" w:rsidR="00382E09" w:rsidRPr="00554CB7" w:rsidRDefault="00382E09" w:rsidP="00382E09">
      <w:pPr>
        <w:spacing w:line="360" w:lineRule="auto"/>
        <w:ind w:firstLine="709"/>
        <w:jc w:val="both"/>
        <w:rPr>
          <w:lang w:val="pt-BR"/>
        </w:rPr>
      </w:pPr>
      <w:r w:rsidRPr="00554CB7">
        <w:rPr>
          <w:lang w:val="pt-BR"/>
        </w:rPr>
        <w:t xml:space="preserve">A pesquisa dialoga, ainda, com a produção de Eurípedes Gomes </w:t>
      </w:r>
      <w:proofErr w:type="spellStart"/>
      <w:r w:rsidRPr="00554CB7">
        <w:rPr>
          <w:lang w:val="pt-BR"/>
        </w:rPr>
        <w:t>Faim</w:t>
      </w:r>
      <w:proofErr w:type="spellEnd"/>
      <w:r w:rsidRPr="00554CB7">
        <w:rPr>
          <w:lang w:val="pt-BR"/>
        </w:rPr>
        <w:t xml:space="preserve"> Filho, cuja tese Requisitórios: precatórios e requisições de pequeno valor (USP, 2014) permanece como única obra monográfica sobre o tema no direito brasileiro. A tese oferece </w:t>
      </w:r>
      <w:r w:rsidR="00BE5128">
        <w:rPr>
          <w:lang w:val="pt-BR"/>
        </w:rPr>
        <w:t xml:space="preserve">uma </w:t>
      </w:r>
      <w:r w:rsidRPr="00554CB7">
        <w:rPr>
          <w:lang w:val="pt-BR"/>
        </w:rPr>
        <w:t>análise abrangente do regime constitucional dos requisitórios, mas não se debruça sobre o fenômeno específico aqui investigado: o uso estratégico da competência legislativa por municípios de elevada capacidade fiscal. Essa lacuna confirma a originalidade da presente pesquisa, que inverte o ângulo investigativo dominante ao examinar não a inconstitucionalidade por redução excessiva do limite em abstrato, mas o uso concreto da competência por entes que não possuem justificativa fiscal para reduzi-lo.</w:t>
      </w:r>
    </w:p>
    <w:p w14:paraId="098F80DC" w14:textId="77777777" w:rsidR="00382E09" w:rsidRPr="00554CB7" w:rsidRDefault="00382E09" w:rsidP="00382E09">
      <w:pPr>
        <w:spacing w:line="360" w:lineRule="auto"/>
        <w:ind w:firstLine="709"/>
        <w:jc w:val="both"/>
        <w:rPr>
          <w:lang w:val="pt-BR"/>
        </w:rPr>
      </w:pPr>
      <w:r w:rsidRPr="00554CB7">
        <w:rPr>
          <w:lang w:val="pt-BR"/>
        </w:rPr>
        <w:t xml:space="preserve">A investigação se vincula à área de concentração em Direito e Políticas Públicas do PPGD/UNIRIO e à linha de pesquisa "Agendas das Políticas Públicas", ao examinar como os municípios incorporam ou omitem de sua agenda legislativa a competência constitucional de </w:t>
      </w:r>
      <w:r w:rsidRPr="00554CB7">
        <w:rPr>
          <w:lang w:val="pt-BR"/>
        </w:rPr>
        <w:lastRenderedPageBreak/>
        <w:t xml:space="preserve">fixar limites próprios de RPV, e como essa (in)ação normativa reflete escolhas regulatórias com impacto direto sobre os credores da Fazenda Pública. A pesquisa dialoga diretamente com o projeto de pesquisa coordenado pelo Prof. Dr. Ivan César Ribeiro, que analisa como a implementação dos modelos de reforma econômica e administrativa ocorre por via das políticas públicas, determinando o papel regulatório estatal perante agentes privados e a construção de um </w:t>
      </w:r>
      <w:proofErr w:type="spellStart"/>
      <w:r w:rsidRPr="00A13200">
        <w:rPr>
          <w:i/>
          <w:iCs/>
          <w:lang w:val="pt-BR"/>
        </w:rPr>
        <w:t>locus</w:t>
      </w:r>
      <w:proofErr w:type="spellEnd"/>
      <w:r w:rsidRPr="00554CB7">
        <w:rPr>
          <w:lang w:val="pt-BR"/>
        </w:rPr>
        <w:t xml:space="preserve"> de governança pública.</w:t>
      </w:r>
    </w:p>
    <w:p w14:paraId="614F1DE9" w14:textId="77777777" w:rsidR="00382E09" w:rsidRPr="00554CB7" w:rsidRDefault="00382E09" w:rsidP="00382E09">
      <w:pPr>
        <w:spacing w:before="360" w:after="240" w:line="360" w:lineRule="auto"/>
        <w:rPr>
          <w:lang w:val="pt-BR"/>
        </w:rPr>
      </w:pPr>
      <w:r w:rsidRPr="00554CB7">
        <w:rPr>
          <w:b/>
          <w:lang w:val="pt-BR"/>
        </w:rPr>
        <w:t>4. DESENVOLVIMENTO: RESULTADOS PARCIAIS E DISCUSSÃO</w:t>
      </w:r>
    </w:p>
    <w:p w14:paraId="333B5102" w14:textId="77777777" w:rsidR="00382E09" w:rsidRPr="00554CB7" w:rsidRDefault="00382E09" w:rsidP="00382E09">
      <w:pPr>
        <w:spacing w:before="240" w:after="160" w:line="360" w:lineRule="auto"/>
        <w:rPr>
          <w:lang w:val="pt-BR"/>
        </w:rPr>
      </w:pPr>
      <w:r w:rsidRPr="00554CB7">
        <w:rPr>
          <w:b/>
          <w:i/>
          <w:lang w:val="pt-BR"/>
        </w:rPr>
        <w:t>4.1 O mapeamento: panorama geral dos 92 municípios</w:t>
      </w:r>
    </w:p>
    <w:p w14:paraId="059F79A5" w14:textId="7F2311AA" w:rsidR="00382E09" w:rsidRPr="00554CB7" w:rsidRDefault="00382E09" w:rsidP="00382E09">
      <w:pPr>
        <w:spacing w:line="360" w:lineRule="auto"/>
        <w:ind w:firstLine="709"/>
        <w:jc w:val="both"/>
        <w:rPr>
          <w:lang w:val="pt-BR"/>
        </w:rPr>
      </w:pPr>
      <w:r w:rsidRPr="00554CB7">
        <w:rPr>
          <w:lang w:val="pt-BR"/>
        </w:rPr>
        <w:t>O levantamento documental realizado junto ao portal Leis Municipais</w:t>
      </w:r>
      <w:r w:rsidR="005C3AB9">
        <w:rPr>
          <w:lang w:val="pt-BR"/>
        </w:rPr>
        <w:t xml:space="preserve">, </w:t>
      </w:r>
      <w:r w:rsidRPr="00554CB7">
        <w:rPr>
          <w:lang w:val="pt-BR"/>
        </w:rPr>
        <w:t>portais das Câmaras e Prefeituras</w:t>
      </w:r>
      <w:r w:rsidR="005C3AB9">
        <w:rPr>
          <w:lang w:val="pt-BR"/>
        </w:rPr>
        <w:t xml:space="preserve"> e ao site do Tribunal de Justiça</w:t>
      </w:r>
      <w:r w:rsidRPr="00554CB7">
        <w:rPr>
          <w:lang w:val="pt-BR"/>
        </w:rPr>
        <w:t xml:space="preserve"> permitiu classificar os 92 municípios do Estado do Rio de Janeiro segundo o exercício da competência legislativa em matéria de RPV. Os dados revelam o seguinte panorama.</w:t>
      </w:r>
    </w:p>
    <w:p w14:paraId="520A6018" w14:textId="78D8DE19" w:rsidR="00382E09" w:rsidRPr="00554CB7" w:rsidRDefault="00382E09" w:rsidP="00382E09">
      <w:pPr>
        <w:spacing w:line="360" w:lineRule="auto"/>
        <w:ind w:firstLine="709"/>
        <w:jc w:val="both"/>
        <w:rPr>
          <w:lang w:val="pt-BR"/>
        </w:rPr>
      </w:pPr>
      <w:r w:rsidRPr="00554CB7">
        <w:rPr>
          <w:lang w:val="pt-BR"/>
        </w:rPr>
        <w:t xml:space="preserve">Do universo de 92 municípios, 74 editaram lei própria fixando limite de RPV (80,4%) e 17 permanecem sem legislação específica, submetidos à regra supletiva de 30 </w:t>
      </w:r>
      <w:proofErr w:type="gramStart"/>
      <w:r w:rsidRPr="00554CB7">
        <w:rPr>
          <w:lang w:val="pt-BR"/>
        </w:rPr>
        <w:t>salários mínimos</w:t>
      </w:r>
      <w:proofErr w:type="gramEnd"/>
      <w:r w:rsidRPr="00554CB7">
        <w:rPr>
          <w:lang w:val="pt-BR"/>
        </w:rPr>
        <w:t xml:space="preserve"> do ADCT (18,5%). O Município de Sumidouro apresenta situação peculiar: possui projeto de lei em tramitação (PL nº 30/2018), mas sem norma vigente, mantendo-se na regra supletiva. O Município do Rio de Janeiro, capital do estado, permaneceu sem lei própria até 2025, quando editou a Lei Municipal nº 9.005/2025 reduzindo o limite para 10 </w:t>
      </w:r>
      <w:proofErr w:type="gramStart"/>
      <w:r w:rsidRPr="00554CB7">
        <w:rPr>
          <w:lang w:val="pt-BR"/>
        </w:rPr>
        <w:t>salários mínimos</w:t>
      </w:r>
      <w:proofErr w:type="gramEnd"/>
      <w:r w:rsidRPr="00554CB7">
        <w:rPr>
          <w:lang w:val="pt-BR"/>
        </w:rPr>
        <w:t xml:space="preserve"> </w:t>
      </w:r>
      <w:r w:rsidR="006B0C68">
        <w:rPr>
          <w:lang w:val="pt-BR"/>
        </w:rPr>
        <w:t>-</w:t>
      </w:r>
      <w:r w:rsidRPr="00554CB7">
        <w:rPr>
          <w:lang w:val="pt-BR"/>
        </w:rPr>
        <w:t xml:space="preserve"> caso analisado em detalhe na seção 4.2.</w:t>
      </w:r>
    </w:p>
    <w:p w14:paraId="7315588D" w14:textId="5E157B32" w:rsidR="00382E09" w:rsidRPr="00554CB7" w:rsidRDefault="00382E09" w:rsidP="00382E09">
      <w:pPr>
        <w:spacing w:line="360" w:lineRule="auto"/>
        <w:ind w:firstLine="709"/>
        <w:jc w:val="both"/>
        <w:rPr>
          <w:lang w:val="pt-BR"/>
        </w:rPr>
      </w:pPr>
      <w:r w:rsidRPr="00554CB7">
        <w:rPr>
          <w:lang w:val="pt-BR"/>
        </w:rPr>
        <w:t xml:space="preserve">Dentre os 74 municípios com lei própria, a distribuição dos limites revela padrões significativos. O grupo mais numeroso é o dos municípios que fixaram o limite no teto do RGPS </w:t>
      </w:r>
      <w:r w:rsidR="006B0C68">
        <w:rPr>
          <w:lang w:val="pt-BR"/>
        </w:rPr>
        <w:t>-</w:t>
      </w:r>
      <w:r w:rsidRPr="00554CB7">
        <w:rPr>
          <w:lang w:val="pt-BR"/>
        </w:rPr>
        <w:t xml:space="preserve"> 37 entes, correspondentes a 50% dos que legislaram. Em seguida, identificam-se 34 municípios que fixaram limites em patamares diversos: em </w:t>
      </w:r>
      <w:proofErr w:type="gramStart"/>
      <w:r w:rsidRPr="00554CB7">
        <w:rPr>
          <w:lang w:val="pt-BR"/>
        </w:rPr>
        <w:t>salários mínimos</w:t>
      </w:r>
      <w:proofErr w:type="gramEnd"/>
      <w:r w:rsidRPr="00554CB7">
        <w:rPr>
          <w:lang w:val="pt-BR"/>
        </w:rPr>
        <w:t xml:space="preserve"> abaixo de 30 (como 5, 7, 8, 10 e 15 SM), em valores nominais fixos (com ou sem correção monetária) e em unidades fiscais municipais próprias. Apenas 2 municípios fixaram por lei o mesmo limite supletivo de 30 </w:t>
      </w:r>
      <w:proofErr w:type="gramStart"/>
      <w:r w:rsidRPr="00554CB7">
        <w:rPr>
          <w:lang w:val="pt-BR"/>
        </w:rPr>
        <w:t>salários mínimos</w:t>
      </w:r>
      <w:proofErr w:type="gramEnd"/>
      <w:r w:rsidRPr="00554CB7">
        <w:rPr>
          <w:lang w:val="pt-BR"/>
        </w:rPr>
        <w:t xml:space="preserve"> (Resende e Rio Bonito), e somente 1 município </w:t>
      </w:r>
      <w:r w:rsidR="006B0C68">
        <w:rPr>
          <w:lang w:val="pt-BR"/>
        </w:rPr>
        <w:t>-</w:t>
      </w:r>
      <w:r w:rsidRPr="00554CB7">
        <w:rPr>
          <w:lang w:val="pt-BR"/>
        </w:rPr>
        <w:t xml:space="preserve"> Japeri </w:t>
      </w:r>
      <w:r w:rsidR="006B0C68">
        <w:rPr>
          <w:lang w:val="pt-BR"/>
        </w:rPr>
        <w:t>-</w:t>
      </w:r>
      <w:r w:rsidRPr="00554CB7">
        <w:rPr>
          <w:lang w:val="pt-BR"/>
        </w:rPr>
        <w:t xml:space="preserve"> fixou limite acima do patamar supletivo, em 40 </w:t>
      </w:r>
      <w:proofErr w:type="gramStart"/>
      <w:r w:rsidRPr="00554CB7">
        <w:rPr>
          <w:lang w:val="pt-BR"/>
        </w:rPr>
        <w:t>salários mínimos</w:t>
      </w:r>
      <w:proofErr w:type="gramEnd"/>
      <w:r w:rsidRPr="00554CB7">
        <w:rPr>
          <w:lang w:val="pt-BR"/>
        </w:rPr>
        <w:t>.</w:t>
      </w:r>
    </w:p>
    <w:p w14:paraId="14F2FF47" w14:textId="1EDBB08A" w:rsidR="00382E09" w:rsidRPr="00554CB7" w:rsidRDefault="00382E09" w:rsidP="00382E09">
      <w:pPr>
        <w:spacing w:line="360" w:lineRule="auto"/>
        <w:ind w:firstLine="709"/>
        <w:jc w:val="both"/>
        <w:rPr>
          <w:lang w:val="pt-BR"/>
        </w:rPr>
      </w:pPr>
      <w:r w:rsidRPr="00554CB7">
        <w:rPr>
          <w:lang w:val="pt-BR"/>
        </w:rPr>
        <w:t xml:space="preserve">Um dado que merece destaque: dos 34 municípios que fixaram limites em patamares diversos, a grande maioria estabeleceu valores inferiores ao limite supletivo de 30 </w:t>
      </w:r>
      <w:proofErr w:type="gramStart"/>
      <w:r w:rsidRPr="00554CB7">
        <w:rPr>
          <w:lang w:val="pt-BR"/>
        </w:rPr>
        <w:t>salários mínimos</w:t>
      </w:r>
      <w:proofErr w:type="gramEnd"/>
      <w:r w:rsidRPr="00554CB7">
        <w:rPr>
          <w:lang w:val="pt-BR"/>
        </w:rPr>
        <w:t xml:space="preserve">. Isso significa que a competência legislativa foi exercida predominantemente no </w:t>
      </w:r>
      <w:r w:rsidRPr="00554CB7">
        <w:rPr>
          <w:lang w:val="pt-BR"/>
        </w:rPr>
        <w:lastRenderedPageBreak/>
        <w:t xml:space="preserve">sentido de redução, e não de ampliação do teto de RPV. A exceção de Japeri, que elevou o limite para 40 </w:t>
      </w:r>
      <w:proofErr w:type="gramStart"/>
      <w:r w:rsidRPr="00554CB7">
        <w:rPr>
          <w:lang w:val="pt-BR"/>
        </w:rPr>
        <w:t>salários mínimos</w:t>
      </w:r>
      <w:proofErr w:type="gramEnd"/>
      <w:r w:rsidR="005C3AB9">
        <w:rPr>
          <w:lang w:val="pt-BR"/>
        </w:rPr>
        <w:t xml:space="preserve"> – só há referência à lei no site do Tribunal de Justiça</w:t>
      </w:r>
      <w:r w:rsidRPr="00554CB7">
        <w:rPr>
          <w:lang w:val="pt-BR"/>
        </w:rPr>
        <w:t>,</w:t>
      </w:r>
      <w:r w:rsidR="00431B0F">
        <w:rPr>
          <w:lang w:val="pt-BR"/>
        </w:rPr>
        <w:t xml:space="preserve"> não estando disponível em nenhum portal - </w:t>
      </w:r>
      <w:r w:rsidRPr="00554CB7">
        <w:rPr>
          <w:lang w:val="pt-BR"/>
        </w:rPr>
        <w:t>é reveladora justamente por seu isolamento: nenhum outro município fluminense utilizou a competência constitucional para ampliar a proteção ao credor. Esse dado empírico, por si só, já sugere uma tendência de exercício da competência em favor do ente devedor e em detrimento do credor.</w:t>
      </w:r>
    </w:p>
    <w:p w14:paraId="4938098E" w14:textId="792424F9" w:rsidR="00382E09" w:rsidRPr="00554CB7" w:rsidRDefault="00382E09" w:rsidP="00382E09">
      <w:pPr>
        <w:spacing w:line="360" w:lineRule="auto"/>
        <w:ind w:firstLine="709"/>
        <w:jc w:val="both"/>
        <w:rPr>
          <w:lang w:val="pt-BR"/>
        </w:rPr>
      </w:pPr>
      <w:r w:rsidRPr="00554CB7">
        <w:rPr>
          <w:lang w:val="pt-BR"/>
        </w:rPr>
        <w:t xml:space="preserve">Outro achado relevante diz respeito aos municípios que fixaram seus limites em unidades fiscais municipais próprias (UFITA, UFIMCA, UFMBIJI, URM, UFIR municipal, UFITAN), em valores nominais fixos ou com indexadores próprios. Nesses casos, a conversão em reais revela, em diversos municípios, valores significativamente abaixo do piso constitucional do RGPS </w:t>
      </w:r>
      <w:r w:rsidR="006B0C68">
        <w:rPr>
          <w:lang w:val="pt-BR"/>
        </w:rPr>
        <w:t>-</w:t>
      </w:r>
      <w:r w:rsidRPr="00554CB7">
        <w:rPr>
          <w:lang w:val="pt-BR"/>
        </w:rPr>
        <w:t xml:space="preserve"> o que suscita questionamento</w:t>
      </w:r>
      <w:r w:rsidR="00431B0F">
        <w:rPr>
          <w:lang w:val="pt-BR"/>
        </w:rPr>
        <w:t>s</w:t>
      </w:r>
      <w:r w:rsidRPr="00554CB7">
        <w:rPr>
          <w:lang w:val="pt-BR"/>
        </w:rPr>
        <w:t xml:space="preserve"> sobre a validade dessas leis à luz do art. 100, § 4º, da CF. Casimiro de Abreu, por exemplo, fixou o limite em 70 </w:t>
      </w:r>
      <w:proofErr w:type="spellStart"/>
      <w:r w:rsidRPr="00554CB7">
        <w:rPr>
          <w:lang w:val="pt-BR"/>
        </w:rPr>
        <w:t>UFIMCAs</w:t>
      </w:r>
      <w:proofErr w:type="spellEnd"/>
      <w:r w:rsidRPr="00554CB7">
        <w:rPr>
          <w:lang w:val="pt-BR"/>
        </w:rPr>
        <w:t xml:space="preserve">, equivalentes a aproximadamente R$700,00 </w:t>
      </w:r>
      <w:r w:rsidR="006B0C68">
        <w:rPr>
          <w:lang w:val="pt-BR"/>
        </w:rPr>
        <w:t>-</w:t>
      </w:r>
      <w:r w:rsidRPr="00554CB7">
        <w:rPr>
          <w:lang w:val="pt-BR"/>
        </w:rPr>
        <w:t xml:space="preserve"> valor manifestamente inferior ao teto previdenciário, ao </w:t>
      </w:r>
      <w:proofErr w:type="gramStart"/>
      <w:r w:rsidRPr="00554CB7">
        <w:rPr>
          <w:lang w:val="pt-BR"/>
        </w:rPr>
        <w:t>salário mínimo</w:t>
      </w:r>
      <w:proofErr w:type="gramEnd"/>
      <w:r w:rsidRPr="00554CB7">
        <w:rPr>
          <w:lang w:val="pt-BR"/>
        </w:rPr>
        <w:t xml:space="preserve"> e a qualquer parâmetro razoável de pequeno valor. Saquarema fixou o limite em apenas 5 </w:t>
      </w:r>
      <w:proofErr w:type="gramStart"/>
      <w:r w:rsidRPr="00554CB7">
        <w:rPr>
          <w:lang w:val="pt-BR"/>
        </w:rPr>
        <w:t>salários mínimos</w:t>
      </w:r>
      <w:proofErr w:type="gramEnd"/>
      <w:r w:rsidRPr="00554CB7">
        <w:rPr>
          <w:lang w:val="pt-BR"/>
        </w:rPr>
        <w:t>. Barra do Piraí estabeleceu R$7.000,00. Esses casos sugerem que a indeterminação dos critérios constitucionais não apenas permitiu a redução estratégica por municípios ricos, mas também viabilizou a fixação de valores irrisórios por municípios que, ao legislar, ignoraram o piso constitucional do RGPS.</w:t>
      </w:r>
    </w:p>
    <w:p w14:paraId="05D3605C" w14:textId="20CB0681" w:rsidR="00382E09" w:rsidRPr="00554CB7" w:rsidRDefault="00382E09" w:rsidP="00382E09">
      <w:pPr>
        <w:spacing w:line="360" w:lineRule="auto"/>
        <w:ind w:firstLine="709"/>
        <w:jc w:val="both"/>
        <w:rPr>
          <w:lang w:val="pt-BR"/>
        </w:rPr>
      </w:pPr>
      <w:r w:rsidRPr="00554CB7">
        <w:rPr>
          <w:lang w:val="pt-BR"/>
        </w:rPr>
        <w:t xml:space="preserve">A utilização de unidades fiscais municipais como parâmetro de fixação do limite de RPV merece análise específica. Ao vincular o teto de RPV a uma unidade de referência cuja atualização depende de ato do próprio Executivo municipal, o legislador local cria um mecanismo de controle unilateral sobre o valor do limite: se a unidade fiscal não for corrigida, o limite de RPV se erode silenciosamente pela inflação, convertendo em precatórios créditos que, em valores atualizados, seriam de pequena monta. Esse fenômeno foi identificado em Itaboraí, cujo limite é fixado em 2.500 </w:t>
      </w:r>
      <w:proofErr w:type="spellStart"/>
      <w:r w:rsidRPr="00554CB7">
        <w:rPr>
          <w:lang w:val="pt-BR"/>
        </w:rPr>
        <w:t>UFITAs</w:t>
      </w:r>
      <w:proofErr w:type="spellEnd"/>
      <w:r w:rsidRPr="00554CB7">
        <w:rPr>
          <w:lang w:val="pt-BR"/>
        </w:rPr>
        <w:t xml:space="preserve">, e em Queimados, que utiliza 2.470 UFIRs municipais. A opacidade desses parâmetros dificulta o controle jurisdicional e impõe ao credor o ônus adicional de converter e atualizar a unidade fiscal para verificar se seu crédito se enquadra no limite de RPV </w:t>
      </w:r>
      <w:r w:rsidR="006B0C68">
        <w:rPr>
          <w:lang w:val="pt-BR"/>
        </w:rPr>
        <w:t>-</w:t>
      </w:r>
      <w:r w:rsidRPr="00554CB7">
        <w:rPr>
          <w:lang w:val="pt-BR"/>
        </w:rPr>
        <w:t xml:space="preserve"> barreira informacional que, na prática, reforça a assimetria entre credor e Fazenda Pública.</w:t>
      </w:r>
    </w:p>
    <w:p w14:paraId="19245FBF" w14:textId="77777777" w:rsidR="00382E09" w:rsidRPr="00554CB7" w:rsidRDefault="00382E09" w:rsidP="00382E09">
      <w:pPr>
        <w:spacing w:line="360" w:lineRule="auto"/>
        <w:ind w:firstLine="709"/>
        <w:jc w:val="both"/>
        <w:rPr>
          <w:lang w:val="pt-BR"/>
        </w:rPr>
      </w:pPr>
      <w:r w:rsidRPr="00554CB7">
        <w:rPr>
          <w:lang w:val="pt-BR"/>
        </w:rPr>
        <w:t xml:space="preserve">O panorama geral do mapeamento permite, portanto, identificar três padrões distintos de exercício da competência legislativa. O primeiro é o padrão de adequação mínima: municípios que fixaram o limite no teto do RGPS, atendendo ao piso constitucional, mas sem </w:t>
      </w:r>
      <w:r w:rsidRPr="00554CB7">
        <w:rPr>
          <w:lang w:val="pt-BR"/>
        </w:rPr>
        <w:lastRenderedPageBreak/>
        <w:t>ampliá-lo. O segundo é o padrão de redução estratégica: municípios de elevada capacidade fiscal que utilizaram a competência para reduzir o limite abaixo do parâmetro supletivo, sem demonstração de necessidade. O terceiro é o padrão de opacidade normativa: municípios que fixaram limites em unidades fiscais próprias ou valores nominais congelados, criando mecanismos que, na prática, erodem progressivamente o limite de RPV em detrimento do credor. Os dois últimos padrões são os que interessam diretamente ao teste da hipótese.</w:t>
      </w:r>
    </w:p>
    <w:p w14:paraId="2379F050" w14:textId="77777777" w:rsidR="00382E09" w:rsidRPr="00554CB7" w:rsidRDefault="00382E09" w:rsidP="00382E09">
      <w:pPr>
        <w:spacing w:before="240" w:after="160" w:line="360" w:lineRule="auto"/>
        <w:rPr>
          <w:lang w:val="pt-BR"/>
        </w:rPr>
      </w:pPr>
      <w:r w:rsidRPr="00554CB7">
        <w:rPr>
          <w:b/>
          <w:i/>
          <w:lang w:val="pt-BR"/>
        </w:rPr>
        <w:t>4.2 Os municípios de maior arrecadação: o núcleo do teste</w:t>
      </w:r>
    </w:p>
    <w:p w14:paraId="1805034F" w14:textId="26C7545A" w:rsidR="00382E09" w:rsidRPr="00554CB7" w:rsidRDefault="00382E09" w:rsidP="00382E09">
      <w:pPr>
        <w:spacing w:line="360" w:lineRule="auto"/>
        <w:ind w:firstLine="709"/>
        <w:jc w:val="both"/>
        <w:rPr>
          <w:lang w:val="pt-BR"/>
        </w:rPr>
      </w:pPr>
      <w:r w:rsidRPr="00554CB7">
        <w:rPr>
          <w:lang w:val="pt-BR"/>
        </w:rPr>
        <w:t xml:space="preserve">O cruzamento entre os dados legislativos e os indicadores fiscais da CAPAG (Capacidade de Pagamento) do Tesouro Nacional permite examinar os municípios dos grupos (c) e (d) </w:t>
      </w:r>
      <w:r w:rsidR="006B0C68">
        <w:rPr>
          <w:lang w:val="pt-BR"/>
        </w:rPr>
        <w:t>-</w:t>
      </w:r>
      <w:r w:rsidRPr="00554CB7">
        <w:rPr>
          <w:lang w:val="pt-BR"/>
        </w:rPr>
        <w:t xml:space="preserve"> aqueles de grande porte ou elevada capacidade fiscal que editaram leis redutoras. Os dados da CAPAG consolidam três indicadores padronizados para cada município: endividamento (DCL/RCL), poupança corrente (DC/RC) e liquidez. A classificação final vai de "A" (melhor situação fiscal, apta a receber garantias da União) a "C" (situação fiscal comprometida, impedida de contratar operações de crédito com garantia federal). Um município com CAPAG "A" ou "B" possui, segundo os critérios do próprio Tesouro Nacional, capacidade de pagamento adequada </w:t>
      </w:r>
      <w:r w:rsidR="006B0C68">
        <w:rPr>
          <w:lang w:val="pt-BR"/>
        </w:rPr>
        <w:t>-</w:t>
      </w:r>
      <w:r w:rsidRPr="00554CB7">
        <w:rPr>
          <w:lang w:val="pt-BR"/>
        </w:rPr>
        <w:t xml:space="preserve"> o que torna particularmente difícil justificar a redução do limite de RPV com base em fragilidade fiscal. A seguir, analisa-se cada caso individualmente, confrontando os indicadores com a escolha legislativa.</w:t>
      </w:r>
    </w:p>
    <w:p w14:paraId="135CA3CD" w14:textId="5E5D9602" w:rsidR="00382E09" w:rsidRPr="00554CB7" w:rsidRDefault="00382E09" w:rsidP="00382E09">
      <w:pPr>
        <w:spacing w:line="360" w:lineRule="auto"/>
        <w:ind w:firstLine="709"/>
        <w:jc w:val="both"/>
        <w:rPr>
          <w:lang w:val="pt-BR"/>
        </w:rPr>
      </w:pPr>
      <w:r w:rsidRPr="00554CB7">
        <w:rPr>
          <w:b/>
          <w:lang w:val="pt-BR"/>
        </w:rPr>
        <w:t xml:space="preserve">Município do Rio de Janeiro. </w:t>
      </w:r>
      <w:r w:rsidRPr="00554CB7">
        <w:rPr>
          <w:lang w:val="pt-BR"/>
        </w:rPr>
        <w:t xml:space="preserve">Capital do estado e maior município em população e arrecadação, com Receita Corrente Líquida superior a R$ 30 bilhões (dado de 2023). O município permaneceu na regra supletiva de 30 </w:t>
      </w:r>
      <w:proofErr w:type="gramStart"/>
      <w:r w:rsidRPr="00554CB7">
        <w:rPr>
          <w:lang w:val="pt-BR"/>
        </w:rPr>
        <w:t>salários mínimos</w:t>
      </w:r>
      <w:proofErr w:type="gramEnd"/>
      <w:r w:rsidRPr="00554CB7">
        <w:rPr>
          <w:lang w:val="pt-BR"/>
        </w:rPr>
        <w:t xml:space="preserve"> até 2025, quando editou a Lei Municipal nº 9.005/2025 reduzindo o limite para 10 </w:t>
      </w:r>
      <w:proofErr w:type="gramStart"/>
      <w:r w:rsidRPr="00554CB7">
        <w:rPr>
          <w:lang w:val="pt-BR"/>
        </w:rPr>
        <w:t>salários mínimos</w:t>
      </w:r>
      <w:proofErr w:type="gramEnd"/>
      <w:r w:rsidRPr="00554CB7">
        <w:rPr>
          <w:lang w:val="pt-BR"/>
        </w:rPr>
        <w:t xml:space="preserve">. Os indicadores CAPAG revelam: endividamento DCL/RCL de 54,86% em 2024 (Nota A </w:t>
      </w:r>
      <w:r w:rsidR="006B0C68">
        <w:rPr>
          <w:lang w:val="pt-BR"/>
        </w:rPr>
        <w:t>-</w:t>
      </w:r>
      <w:r w:rsidRPr="00554CB7">
        <w:rPr>
          <w:lang w:val="pt-BR"/>
        </w:rPr>
        <w:t xml:space="preserve"> bem abaixo do limite de 120% da LRF); poupança corrente DC/RC de 94,82% (Nota B); e liquidez de 0,45% (Nota B). O CAPAG geral é "B", indicando capacidade de pagamento. O endividamento moderado e a classificação fiscal não indicam pressão orçamentária que justifique a redução do teto de RPV ao patamar de um terço do limite supletivo. A medida converteu em precatórios de longa tramitação créditos de até 30 </w:t>
      </w:r>
      <w:proofErr w:type="gramStart"/>
      <w:r w:rsidRPr="00554CB7">
        <w:rPr>
          <w:lang w:val="pt-BR"/>
        </w:rPr>
        <w:t>salários mínimos</w:t>
      </w:r>
      <w:proofErr w:type="gramEnd"/>
      <w:r w:rsidRPr="00554CB7">
        <w:rPr>
          <w:lang w:val="pt-BR"/>
        </w:rPr>
        <w:t xml:space="preserve"> que, até então, seriam satisfeitos por RPV em prazo de sessenta dias, afetando diretamente milhares de credores </w:t>
      </w:r>
      <w:r w:rsidR="006B0C68">
        <w:rPr>
          <w:lang w:val="pt-BR"/>
        </w:rPr>
        <w:t>-</w:t>
      </w:r>
      <w:r w:rsidRPr="00554CB7">
        <w:rPr>
          <w:lang w:val="pt-BR"/>
        </w:rPr>
        <w:t xml:space="preserve"> predominantemente servidores públicos municipais e cidadãos comuns com condenações de pequeno valor contra a Fazenda municipal.</w:t>
      </w:r>
    </w:p>
    <w:p w14:paraId="6404A87E" w14:textId="156E1589" w:rsidR="00382E09" w:rsidRPr="00554CB7" w:rsidRDefault="00382E09" w:rsidP="00382E09">
      <w:pPr>
        <w:spacing w:line="360" w:lineRule="auto"/>
        <w:ind w:firstLine="709"/>
        <w:jc w:val="both"/>
        <w:rPr>
          <w:lang w:val="pt-BR"/>
        </w:rPr>
      </w:pPr>
      <w:r w:rsidRPr="00554CB7">
        <w:rPr>
          <w:b/>
          <w:lang w:val="pt-BR"/>
        </w:rPr>
        <w:lastRenderedPageBreak/>
        <w:t xml:space="preserve">Duque de Caxias. </w:t>
      </w:r>
      <w:r w:rsidRPr="00554CB7">
        <w:rPr>
          <w:lang w:val="pt-BR"/>
        </w:rPr>
        <w:t xml:space="preserve">Segundo município em população na Região Metropolitana, com PIB industrial expressivo, fixou o limite no teto do RGPS. Os indicadores CAPAG revelam endividamento de apenas 4,48% da RCL em 2024 (Nota A) </w:t>
      </w:r>
      <w:r w:rsidR="006B0C68">
        <w:rPr>
          <w:lang w:val="pt-BR"/>
        </w:rPr>
        <w:t>-</w:t>
      </w:r>
      <w:r w:rsidRPr="00554CB7">
        <w:rPr>
          <w:lang w:val="pt-BR"/>
        </w:rPr>
        <w:t xml:space="preserve"> um dos menores do estado </w:t>
      </w:r>
      <w:r w:rsidR="006B0C68">
        <w:rPr>
          <w:lang w:val="pt-BR"/>
        </w:rPr>
        <w:t>-</w:t>
      </w:r>
      <w:r w:rsidRPr="00554CB7">
        <w:rPr>
          <w:lang w:val="pt-BR"/>
        </w:rPr>
        <w:t xml:space="preserve">, significando que a dívida consolidada líquida do município é praticamente irrelevante frente à sua receita. A poupança corrente é de 95,71% (Nota C em 2024), indicando que o município gasta quase tudo o que arrecada em despesas correntes, e a liquidez é negativa em -1,16% (Nota C). Embora a compressão da poupança corrente sugira alguma pressão fiscal, o endividamento ínfimo e a própria natureza do comprometimento </w:t>
      </w:r>
      <w:r w:rsidR="006B0C68">
        <w:rPr>
          <w:lang w:val="pt-BR"/>
        </w:rPr>
        <w:t>-</w:t>
      </w:r>
      <w:r w:rsidRPr="00554CB7">
        <w:rPr>
          <w:lang w:val="pt-BR"/>
        </w:rPr>
        <w:t xml:space="preserve"> predominantemente despesa com pessoal e custeio, não pagamento de RPVs </w:t>
      </w:r>
      <w:r w:rsidR="006B0C68">
        <w:rPr>
          <w:lang w:val="pt-BR"/>
        </w:rPr>
        <w:t>-</w:t>
      </w:r>
      <w:r w:rsidRPr="00554CB7">
        <w:rPr>
          <w:lang w:val="pt-BR"/>
        </w:rPr>
        <w:t xml:space="preserve"> enfraquecem a justificativa para fixação do limite no piso constitucional.</w:t>
      </w:r>
    </w:p>
    <w:p w14:paraId="21C0CC62" w14:textId="77777777" w:rsidR="00382E09" w:rsidRPr="00554CB7" w:rsidRDefault="00382E09" w:rsidP="00382E09">
      <w:pPr>
        <w:spacing w:line="360" w:lineRule="auto"/>
        <w:ind w:firstLine="709"/>
        <w:jc w:val="both"/>
        <w:rPr>
          <w:lang w:val="pt-BR"/>
        </w:rPr>
      </w:pPr>
      <w:r w:rsidRPr="00554CB7">
        <w:rPr>
          <w:b/>
          <w:lang w:val="pt-BR"/>
        </w:rPr>
        <w:t xml:space="preserve">Nova Iguaçu. </w:t>
      </w:r>
      <w:r w:rsidRPr="00554CB7">
        <w:rPr>
          <w:lang w:val="pt-BR"/>
        </w:rPr>
        <w:t>Fixou o limite no teto do RGPS. Endividamento DCL/RCL de 52,56% em 2024 (Nota A), poupança corrente de 96,39% (Nota C). A migração da Nota B para C no indicador de poupança corrente entre 2023 e 2024 indica deterioração da margem fiscal, mas novamente por fatores estruturais de custeio, não por pressão atribuível ao pagamento de RPVs. O município não demonstrou, em nenhum documento público acessível, que o pagamento de RPVs comprometia sua capacidade fiscal.</w:t>
      </w:r>
    </w:p>
    <w:p w14:paraId="7C6D8093" w14:textId="2B94AF22" w:rsidR="00382E09" w:rsidRPr="00554CB7" w:rsidRDefault="00382E09" w:rsidP="00382E09">
      <w:pPr>
        <w:spacing w:line="360" w:lineRule="auto"/>
        <w:ind w:firstLine="709"/>
        <w:jc w:val="both"/>
        <w:rPr>
          <w:lang w:val="pt-BR"/>
        </w:rPr>
      </w:pPr>
      <w:r w:rsidRPr="00554CB7">
        <w:rPr>
          <w:b/>
          <w:lang w:val="pt-BR"/>
        </w:rPr>
        <w:t xml:space="preserve">Niterói. </w:t>
      </w:r>
      <w:r w:rsidRPr="00554CB7">
        <w:rPr>
          <w:lang w:val="pt-BR"/>
        </w:rPr>
        <w:t xml:space="preserve">Fixou o limite em 15 </w:t>
      </w:r>
      <w:proofErr w:type="gramStart"/>
      <w:r w:rsidRPr="00554CB7">
        <w:rPr>
          <w:lang w:val="pt-BR"/>
        </w:rPr>
        <w:t>salários mínimos</w:t>
      </w:r>
      <w:proofErr w:type="gramEnd"/>
      <w:r w:rsidRPr="00554CB7">
        <w:rPr>
          <w:lang w:val="pt-BR"/>
        </w:rPr>
        <w:t xml:space="preserve"> pela Lei Municipal nº 3.247/2016 </w:t>
      </w:r>
      <w:r w:rsidR="006B0C68">
        <w:rPr>
          <w:lang w:val="pt-BR"/>
        </w:rPr>
        <w:t>-</w:t>
      </w:r>
      <w:r w:rsidRPr="00554CB7">
        <w:rPr>
          <w:lang w:val="pt-BR"/>
        </w:rPr>
        <w:t xml:space="preserve"> metade do limite supletivo. Embora os dados completos da CAPAG para Niterói não constem da amostra analisada, o município é reconhecidamente um dos de maior arrecadação per capita do estado, com receitas expressivas de ISS, IPTU e participações governamentais. A redução para 15 SM, sem dados fiscais que demonstrem necessidade, enquadra-se no padrão identificado pela pesquisa: exercício da competência redutora por município de elevada capacidade fiscal.</w:t>
      </w:r>
    </w:p>
    <w:p w14:paraId="0FEA715B" w14:textId="5155B899" w:rsidR="00382E09" w:rsidRPr="00554CB7" w:rsidRDefault="00382E09" w:rsidP="00382E09">
      <w:pPr>
        <w:spacing w:line="360" w:lineRule="auto"/>
        <w:ind w:firstLine="709"/>
        <w:jc w:val="both"/>
        <w:rPr>
          <w:lang w:val="pt-BR"/>
        </w:rPr>
      </w:pPr>
      <w:r w:rsidRPr="00554CB7">
        <w:rPr>
          <w:b/>
          <w:lang w:val="pt-BR"/>
        </w:rPr>
        <w:t xml:space="preserve">Carapebus. </w:t>
      </w:r>
      <w:r w:rsidRPr="00554CB7">
        <w:rPr>
          <w:lang w:val="pt-BR"/>
        </w:rPr>
        <w:t xml:space="preserve">Município </w:t>
      </w:r>
      <w:proofErr w:type="spellStart"/>
      <w:r w:rsidRPr="00554CB7">
        <w:rPr>
          <w:lang w:val="pt-BR"/>
        </w:rPr>
        <w:t>petrorrentista</w:t>
      </w:r>
      <w:proofErr w:type="spellEnd"/>
      <w:r w:rsidRPr="00554CB7">
        <w:rPr>
          <w:lang w:val="pt-BR"/>
        </w:rPr>
        <w:t xml:space="preserve"> de pequeno porte que fixou o limite em R$ 8.433,00 (corrigido pelo IGPM-FGV) pela Lei Municipal nº 671/2017 </w:t>
      </w:r>
      <w:r w:rsidR="006B0C68">
        <w:rPr>
          <w:lang w:val="pt-BR"/>
        </w:rPr>
        <w:t>-</w:t>
      </w:r>
      <w:r w:rsidRPr="00554CB7">
        <w:rPr>
          <w:lang w:val="pt-BR"/>
        </w:rPr>
        <w:t xml:space="preserve"> valor próximo ao teto do RGPS, mas indexado a critério próprio. Os dados da CAPAG revelam o caso mais emblemático de opacidade fiscal do universo analisado: Carapebus não homologou a Declaração de Contas Anuais (DCA) em 2023 nem em 2024, recebeu a pior classificação de qualidade da informação contábil (</w:t>
      </w:r>
      <w:proofErr w:type="spellStart"/>
      <w:r w:rsidRPr="00554CB7">
        <w:rPr>
          <w:lang w:val="pt-BR"/>
        </w:rPr>
        <w:t>Eicf</w:t>
      </w:r>
      <w:proofErr w:type="spellEnd"/>
      <w:r w:rsidRPr="00554CB7">
        <w:rPr>
          <w:lang w:val="pt-BR"/>
        </w:rPr>
        <w:t xml:space="preserve">) do Tesouro Nacional, apresenta DCB zerada ou negativa, e em 2024 registrou endividamento de 74,74% (Nota B). A ausência de dados fiscais confiáveis impede, por si só, qualquer demonstração de capacidade econômica que justifique a escolha legislativa </w:t>
      </w:r>
      <w:r w:rsidR="006B0C68">
        <w:rPr>
          <w:lang w:val="pt-BR"/>
        </w:rPr>
        <w:t>-</w:t>
      </w:r>
      <w:r w:rsidRPr="00554CB7">
        <w:rPr>
          <w:lang w:val="pt-BR"/>
        </w:rPr>
        <w:t xml:space="preserve"> mas o município ainda assim editou lei reduzindo o teto de RPV. A </w:t>
      </w:r>
      <w:r w:rsidRPr="00554CB7">
        <w:rPr>
          <w:lang w:val="pt-BR"/>
        </w:rPr>
        <w:lastRenderedPageBreak/>
        <w:t>opacidade contábil de Carapebus, combinada com a edição de lei redutora, configura situação particularmente grave: um ente que sequer presta contas adequadas ao Tesouro Nacional utiliza a competência constitucional para restringir direitos de credores, sem que haja qualquer possibilidade de controle fiscal sobre essa decisão.</w:t>
      </w:r>
    </w:p>
    <w:p w14:paraId="300B5D8B" w14:textId="32B7D053" w:rsidR="00382E09" w:rsidRPr="00554CB7" w:rsidRDefault="00382E09" w:rsidP="00382E09">
      <w:pPr>
        <w:spacing w:line="360" w:lineRule="auto"/>
        <w:ind w:firstLine="709"/>
        <w:jc w:val="both"/>
        <w:rPr>
          <w:lang w:val="pt-BR"/>
        </w:rPr>
      </w:pPr>
      <w:r w:rsidRPr="00554CB7">
        <w:rPr>
          <w:b/>
          <w:lang w:val="pt-BR"/>
        </w:rPr>
        <w:t xml:space="preserve">Quissamã. </w:t>
      </w:r>
      <w:r w:rsidRPr="00554CB7">
        <w:rPr>
          <w:lang w:val="pt-BR"/>
        </w:rPr>
        <w:t xml:space="preserve">Outro município </w:t>
      </w:r>
      <w:proofErr w:type="spellStart"/>
      <w:r w:rsidRPr="00554CB7">
        <w:rPr>
          <w:lang w:val="pt-BR"/>
        </w:rPr>
        <w:t>petrorrentista</w:t>
      </w:r>
      <w:proofErr w:type="spellEnd"/>
      <w:r w:rsidRPr="00554CB7">
        <w:rPr>
          <w:lang w:val="pt-BR"/>
        </w:rPr>
        <w:t xml:space="preserve"> de pequeno porte que fixou o limite em R$ 9.327,50 (corrigido pelo IGPM-FGV) pela Lei Municipal nº 1.557/2015, igualmente próximo ao piso do RGPS. Os indicadores CAPAG revelam endividamento de apenas 8,03% da RCL em 2024 (Nota A) e poupança corrente de 92,63% (Nota B), mas liquidez negativa de -11,05% (Nota C). O contraste é revelador: o município possui endividamento ínfimo e receita elevada de royalties, configurando capacidade fiscal significativa, mas apresenta gestão de caixa deficitária </w:t>
      </w:r>
      <w:r w:rsidR="006B0C68">
        <w:rPr>
          <w:lang w:val="pt-BR"/>
        </w:rPr>
        <w:t>-</w:t>
      </w:r>
      <w:r w:rsidRPr="00554CB7">
        <w:rPr>
          <w:lang w:val="pt-BR"/>
        </w:rPr>
        <w:t xml:space="preserve"> o que aponta para problemas de administração financeira e não para necessidade fiscal que justifique a redução do teto de RPV. A liquidez negativa resulta de escolhas de gestão de caixa, não do peso dos requisitórios sobre o orçamento.</w:t>
      </w:r>
    </w:p>
    <w:p w14:paraId="3F105ACA" w14:textId="77777777" w:rsidR="00382E09" w:rsidRPr="00554CB7" w:rsidRDefault="00382E09" w:rsidP="00382E09">
      <w:pPr>
        <w:spacing w:before="240" w:after="160" w:line="360" w:lineRule="auto"/>
        <w:rPr>
          <w:lang w:val="pt-BR"/>
        </w:rPr>
      </w:pPr>
      <w:r w:rsidRPr="00554CB7">
        <w:rPr>
          <w:b/>
          <w:i/>
          <w:lang w:val="pt-BR"/>
        </w:rPr>
        <w:t>4.3 Análise cruzada e discussão</w:t>
      </w:r>
    </w:p>
    <w:p w14:paraId="7177C12F" w14:textId="77777777" w:rsidR="00382E09" w:rsidRPr="00554CB7" w:rsidRDefault="00382E09" w:rsidP="00382E09">
      <w:pPr>
        <w:spacing w:line="360" w:lineRule="auto"/>
        <w:ind w:firstLine="709"/>
        <w:jc w:val="both"/>
        <w:rPr>
          <w:lang w:val="pt-BR"/>
        </w:rPr>
      </w:pPr>
      <w:r w:rsidRPr="00554CB7">
        <w:rPr>
          <w:lang w:val="pt-BR"/>
        </w:rPr>
        <w:t>A análise cruzada dos dados legislativos e fiscais permite extrair inferências diretas para o teste da hipótese, organizadas em torno dos três indicadores da CAPAG.</w:t>
      </w:r>
    </w:p>
    <w:p w14:paraId="1A3B250F" w14:textId="6715A53E" w:rsidR="00382E09" w:rsidRPr="00554CB7" w:rsidRDefault="00382E09" w:rsidP="00382E09">
      <w:pPr>
        <w:spacing w:line="360" w:lineRule="auto"/>
        <w:ind w:firstLine="709"/>
        <w:jc w:val="both"/>
        <w:rPr>
          <w:lang w:val="pt-BR"/>
        </w:rPr>
      </w:pPr>
      <w:r w:rsidRPr="00554CB7">
        <w:rPr>
          <w:lang w:val="pt-BR"/>
        </w:rPr>
        <w:t xml:space="preserve">Quanto ao endividamento (DCL/RCL), nenhum dos municípios analisados apresenta patamar elevado. Todos possuem Nota A (abaixo de 60% da RCL), à exceção de Carapebus em 2024 (74,74%, Nota B </w:t>
      </w:r>
      <w:r w:rsidR="006B0C68">
        <w:rPr>
          <w:lang w:val="pt-BR"/>
        </w:rPr>
        <w:t>-</w:t>
      </w:r>
      <w:r w:rsidRPr="00554CB7">
        <w:rPr>
          <w:lang w:val="pt-BR"/>
        </w:rPr>
        <w:t xml:space="preserve"> ainda assim significativamente abaixo do limite de 120% estabelecido pela LRF). O dado é particularmente expressivo nos casos de Duque de Caxias (4,48%) e Quissamã (8,03%), cujas dívidas consolidadas são ínfimas frente à RCL. Esse indicador é decisivo: municípios com endividamento inferior a 10% da RCL dificilmente podem alegar necessidade fiscal para reduzir o teto de RPV ao piso constitucional, quando o limite legal de endividamento é de 120%.</w:t>
      </w:r>
    </w:p>
    <w:p w14:paraId="6A096306" w14:textId="43DCC4F9" w:rsidR="00382E09" w:rsidRPr="00554CB7" w:rsidRDefault="00382E09" w:rsidP="00382E09">
      <w:pPr>
        <w:spacing w:line="360" w:lineRule="auto"/>
        <w:ind w:firstLine="709"/>
        <w:jc w:val="both"/>
        <w:rPr>
          <w:lang w:val="pt-BR"/>
        </w:rPr>
      </w:pPr>
      <w:r w:rsidRPr="00554CB7">
        <w:rPr>
          <w:lang w:val="pt-BR"/>
        </w:rPr>
        <w:t xml:space="preserve">Quanto à poupança corrente (DC/RC), o indicador revela a margem entre receitas e despesas correntes. Duque de Caxias (97,48% em 2023 e 95,71% em 2024) e Nova Iguaçu (96,39% em 2024) apresentam Nota C, sugerindo compressão da margem fiscal. O Município do Rio de Janeiro, embora em Nota B, subiu de 91,31% para 94,82% entre 2023 e 2024, indicando tendência de compressão. Quissamã manteve Nota B (92,63% em 2024), com margem razoável para um município </w:t>
      </w:r>
      <w:proofErr w:type="spellStart"/>
      <w:r w:rsidRPr="00554CB7">
        <w:rPr>
          <w:lang w:val="pt-BR"/>
        </w:rPr>
        <w:t>petrorrentista</w:t>
      </w:r>
      <w:proofErr w:type="spellEnd"/>
      <w:r w:rsidRPr="00554CB7">
        <w:rPr>
          <w:lang w:val="pt-BR"/>
        </w:rPr>
        <w:t xml:space="preserve">. Esse indicador é o mais próximo do que o art. 22, parágrafo único, da LRF trata em relação ao limite prudencial de despesa com pessoal. </w:t>
      </w:r>
      <w:r w:rsidRPr="00554CB7">
        <w:rPr>
          <w:lang w:val="pt-BR"/>
        </w:rPr>
        <w:lastRenderedPageBreak/>
        <w:t xml:space="preserve">Contudo, o comprometimento da despesa corrente verificado nesses municípios decorre predominantemente de despesa com pessoal e custeio, não do pagamento de RPVs </w:t>
      </w:r>
      <w:r w:rsidR="006B0C68">
        <w:rPr>
          <w:lang w:val="pt-BR"/>
        </w:rPr>
        <w:t>-</w:t>
      </w:r>
      <w:r w:rsidRPr="00554CB7">
        <w:rPr>
          <w:lang w:val="pt-BR"/>
        </w:rPr>
        <w:t xml:space="preserve"> o que enfraquece substancialmente a justificativa fiscal para a redução do teto. Nenhum dos municípios demonstrou, com base em dados públicos acessíveis, que o pagamento de RPVs foi ou seria determinante para o ingresso no limite prudencial de 57% da RCL.</w:t>
      </w:r>
    </w:p>
    <w:p w14:paraId="0528CE53" w14:textId="6CB1BCA5" w:rsidR="00382E09" w:rsidRPr="00554CB7" w:rsidRDefault="00382E09" w:rsidP="00382E09">
      <w:pPr>
        <w:spacing w:line="360" w:lineRule="auto"/>
        <w:ind w:firstLine="709"/>
        <w:jc w:val="both"/>
        <w:rPr>
          <w:lang w:val="pt-BR"/>
        </w:rPr>
      </w:pPr>
      <w:r w:rsidRPr="00554CB7">
        <w:rPr>
          <w:lang w:val="pt-BR"/>
        </w:rPr>
        <w:t xml:space="preserve">Quanto à liquidez, os dados são especialmente reveladores. Quissamã apresenta liquidez de -11,05% (Nota C) em 2024, indicando que suas obrigações financeiras superam a disponibilidade de caixa. Duque de Caxias registra -1,16% (Nota C). Carapebus sequer fornece dados suficientes para cálculo </w:t>
      </w:r>
      <w:r w:rsidR="006B0C68">
        <w:rPr>
          <w:lang w:val="pt-BR"/>
        </w:rPr>
        <w:t>-</w:t>
      </w:r>
      <w:r w:rsidRPr="00554CB7">
        <w:rPr>
          <w:lang w:val="pt-BR"/>
        </w:rPr>
        <w:t xml:space="preserve"> a observação do Tesouro registra DCB zerada ou negativa e qualidade de informação contábil </w:t>
      </w:r>
      <w:proofErr w:type="spellStart"/>
      <w:r w:rsidRPr="00554CB7">
        <w:rPr>
          <w:lang w:val="pt-BR"/>
        </w:rPr>
        <w:t>Eicf</w:t>
      </w:r>
      <w:proofErr w:type="spellEnd"/>
      <w:r w:rsidRPr="00554CB7">
        <w:rPr>
          <w:lang w:val="pt-BR"/>
        </w:rPr>
        <w:t xml:space="preserve"> (a pior classificação), o que por si só já constitui indicador grave de opacidade fiscal. A liquidez negativa em municípios com endividamento ínfimo aponta para problemas de gestão financeira e fluxo de caixa, não para pressão estrutural de dívida judicial que justifique a restrição de direitos dos credores.</w:t>
      </w:r>
    </w:p>
    <w:p w14:paraId="09800446" w14:textId="77777777" w:rsidR="00382E09" w:rsidRPr="00554CB7" w:rsidRDefault="00382E09" w:rsidP="00382E09">
      <w:pPr>
        <w:spacing w:line="360" w:lineRule="auto"/>
        <w:ind w:firstLine="709"/>
        <w:jc w:val="both"/>
        <w:rPr>
          <w:lang w:val="pt-BR"/>
        </w:rPr>
      </w:pPr>
      <w:r w:rsidRPr="00554CB7">
        <w:rPr>
          <w:lang w:val="pt-BR"/>
        </w:rPr>
        <w:t xml:space="preserve">A síntese dos achados permite as seguintes conclusões parciais. Os municípios </w:t>
      </w:r>
      <w:proofErr w:type="spellStart"/>
      <w:r w:rsidRPr="00554CB7">
        <w:rPr>
          <w:lang w:val="pt-BR"/>
        </w:rPr>
        <w:t>petrorrentistas</w:t>
      </w:r>
      <w:proofErr w:type="spellEnd"/>
      <w:r w:rsidRPr="00554CB7">
        <w:rPr>
          <w:lang w:val="pt-BR"/>
        </w:rPr>
        <w:t xml:space="preserve"> (Carapebus e Quissamã) combinam alta receita per capita, baixo endividamento e, no caso de Carapebus, opacidade fiscal grave, configurando o cenário descrito na hipótese: exercício da competência legislativa sobre RPV de forma desvinculada da real situação fiscal, em detrimento dos credores. O caso do Município do Rio de Janeiro é paradigmático: com RCL superior a R$ 30 bilhões e CAPAG "B", editou a Lei Municipal nº 9.005/2025 reduzindo o teto de RPV de 30 para 10 </w:t>
      </w:r>
      <w:proofErr w:type="gramStart"/>
      <w:r w:rsidRPr="00554CB7">
        <w:rPr>
          <w:lang w:val="pt-BR"/>
        </w:rPr>
        <w:t>salários mínimos</w:t>
      </w:r>
      <w:proofErr w:type="gramEnd"/>
      <w:r w:rsidRPr="00554CB7">
        <w:rPr>
          <w:lang w:val="pt-BR"/>
        </w:rPr>
        <w:t>, sem que os indicadores fiscais disponíveis demonstrem necessidade que justifique medida de tal magnitude.</w:t>
      </w:r>
    </w:p>
    <w:p w14:paraId="0F3094CD" w14:textId="094B3AF0" w:rsidR="00382E09" w:rsidRPr="00554CB7" w:rsidRDefault="00382E09" w:rsidP="00382E09">
      <w:pPr>
        <w:spacing w:line="360" w:lineRule="auto"/>
        <w:ind w:firstLine="709"/>
        <w:jc w:val="both"/>
        <w:rPr>
          <w:lang w:val="pt-BR"/>
        </w:rPr>
      </w:pPr>
      <w:r w:rsidRPr="00554CB7">
        <w:rPr>
          <w:lang w:val="pt-BR"/>
        </w:rPr>
        <w:t xml:space="preserve">É importante ressaltar a dimensão quantitativa do impacto da redução do limite de RPV pelo Município do Rio de Janeiro. A capital fluminense concentra o maior volume de ações judiciais contra a Fazenda Pública municipal do estado, em razão de sua população de mais de 6,7 milhões de habitantes e do tamanho de sua máquina administrativa. A redução do limite de 30 para 10 </w:t>
      </w:r>
      <w:proofErr w:type="gramStart"/>
      <w:r w:rsidRPr="00554CB7">
        <w:rPr>
          <w:lang w:val="pt-BR"/>
        </w:rPr>
        <w:t>salários mínimos</w:t>
      </w:r>
      <w:proofErr w:type="gramEnd"/>
      <w:r w:rsidRPr="00554CB7">
        <w:rPr>
          <w:lang w:val="pt-BR"/>
        </w:rPr>
        <w:t xml:space="preserve"> significa que todo crédito judicial entre aproximadamente R$ 15.180,00 (10 SM) e R$ 45.540,00 (30 SM) </w:t>
      </w:r>
      <w:r w:rsidR="006B0C68">
        <w:rPr>
          <w:lang w:val="pt-BR"/>
        </w:rPr>
        <w:t>-</w:t>
      </w:r>
      <w:r w:rsidRPr="00554CB7">
        <w:rPr>
          <w:lang w:val="pt-BR"/>
        </w:rPr>
        <w:t xml:space="preserve"> faixa que abrange parcela significativa das condenações contra a Fazenda municipal, especialmente em matéria de diferenças salariais de servidores e indenizações de pequeno valor </w:t>
      </w:r>
      <w:r w:rsidR="006B0C68">
        <w:rPr>
          <w:lang w:val="pt-BR"/>
        </w:rPr>
        <w:t>-</w:t>
      </w:r>
      <w:r w:rsidRPr="00554CB7">
        <w:rPr>
          <w:lang w:val="pt-BR"/>
        </w:rPr>
        <w:t xml:space="preserve"> deixou de ser pago em sessenta dias por RPV e passou a integrar a fila de precatórios. A magnitude desse deslocamento de créditos, concentrado em um único ato legislativo, sem qualquer demonstração de impacto fiscal que o </w:t>
      </w:r>
      <w:r w:rsidRPr="00554CB7">
        <w:rPr>
          <w:lang w:val="pt-BR"/>
        </w:rPr>
        <w:lastRenderedPageBreak/>
        <w:t xml:space="preserve">justifique, configura o que a pesquisa denomina </w:t>
      </w:r>
      <w:r w:rsidR="007861AB">
        <w:rPr>
          <w:lang w:val="pt-BR"/>
        </w:rPr>
        <w:t xml:space="preserve">de </w:t>
      </w:r>
      <w:r w:rsidRPr="00554CB7">
        <w:rPr>
          <w:lang w:val="pt-BR"/>
        </w:rPr>
        <w:t>captura em escala da política pública de RPV.</w:t>
      </w:r>
    </w:p>
    <w:p w14:paraId="55C925C2" w14:textId="5D733F0D" w:rsidR="00382E09" w:rsidRPr="00554CB7" w:rsidRDefault="00382E09" w:rsidP="00382E09">
      <w:pPr>
        <w:spacing w:line="360" w:lineRule="auto"/>
        <w:ind w:firstLine="709"/>
        <w:jc w:val="both"/>
        <w:rPr>
          <w:lang w:val="pt-BR"/>
        </w:rPr>
      </w:pPr>
      <w:r w:rsidRPr="00554CB7">
        <w:rPr>
          <w:lang w:val="pt-BR"/>
        </w:rPr>
        <w:t xml:space="preserve">A análise também revela uma dimensão temporal relevante. Muitos dos municípios que editaram leis redutoras o fizeram entre 2010 e 2018, no período imediatamente posterior à EC 62/2009, quando a ausência de jurisprudência consolidada do STF sobre os limites materiais da competência criava ambiente de maior permissividade normativa. O caso do Rio de Janeiro, porém, é distinto: a Lei Municipal nº 9.005/2025 foi editada após a consolidação dos Temas 1.231 e 1.326 pelo STF, o que significa que o legislador municipal tinha pleno conhecimento da exigência de demonstração de capacidade econômica e proporcionalidade </w:t>
      </w:r>
      <w:r w:rsidR="006B0C68">
        <w:rPr>
          <w:lang w:val="pt-BR"/>
        </w:rPr>
        <w:t>-</w:t>
      </w:r>
      <w:r w:rsidRPr="00554CB7">
        <w:rPr>
          <w:lang w:val="pt-BR"/>
        </w:rPr>
        <w:t xml:space="preserve"> e, ainda assim, optou pela redução sem fundamentação fiscal concreta. Essa circunstância agrava a avaliação de constitucionalidade da medida.</w:t>
      </w:r>
    </w:p>
    <w:p w14:paraId="20BA608A" w14:textId="31AC7734" w:rsidR="00382E09" w:rsidRPr="00554CB7" w:rsidRDefault="00382E09" w:rsidP="00382E09">
      <w:pPr>
        <w:spacing w:line="360" w:lineRule="auto"/>
        <w:ind w:firstLine="709"/>
        <w:jc w:val="both"/>
        <w:rPr>
          <w:lang w:val="pt-BR"/>
        </w:rPr>
      </w:pPr>
      <w:r w:rsidRPr="00554CB7">
        <w:rPr>
          <w:lang w:val="pt-BR"/>
        </w:rPr>
        <w:t xml:space="preserve">Por fim, o caso de Japeri </w:t>
      </w:r>
      <w:r w:rsidR="006B0C68">
        <w:rPr>
          <w:lang w:val="pt-BR"/>
        </w:rPr>
        <w:t>-</w:t>
      </w:r>
      <w:r w:rsidRPr="00554CB7">
        <w:rPr>
          <w:lang w:val="pt-BR"/>
        </w:rPr>
        <w:t xml:space="preserve"> único município fluminense que elevou o limite para 40 </w:t>
      </w:r>
      <w:proofErr w:type="gramStart"/>
      <w:r w:rsidRPr="00554CB7">
        <w:rPr>
          <w:lang w:val="pt-BR"/>
        </w:rPr>
        <w:t>salários mínimos</w:t>
      </w:r>
      <w:proofErr w:type="gramEnd"/>
      <w:r w:rsidRPr="00554CB7">
        <w:rPr>
          <w:lang w:val="pt-BR"/>
        </w:rPr>
        <w:t xml:space="preserve"> </w:t>
      </w:r>
      <w:r w:rsidR="006B0C68">
        <w:rPr>
          <w:lang w:val="pt-BR"/>
        </w:rPr>
        <w:t>-</w:t>
      </w:r>
      <w:r w:rsidRPr="00554CB7">
        <w:rPr>
          <w:lang w:val="pt-BR"/>
        </w:rPr>
        <w:t xml:space="preserve"> funciona como contraprova empírica: um município de menor arrecadação utilizou a mesma competência constitucional para ampliar a proteção ao credor, demonstrando que o exercício da competência em favor do credor é juridicamente viável e financeiramente sustentável. Essa contraprova torna ainda mais evidente o caráter estratégico da escolha dos municípios que, dispondo de maior capacidade fiscal, optaram pela redução.</w:t>
      </w:r>
    </w:p>
    <w:p w14:paraId="2916588A" w14:textId="67C13C7A" w:rsidR="00382E09" w:rsidRPr="00554CB7" w:rsidRDefault="00382E09" w:rsidP="00382E09">
      <w:pPr>
        <w:spacing w:line="360" w:lineRule="auto"/>
        <w:ind w:firstLine="709"/>
        <w:jc w:val="both"/>
        <w:rPr>
          <w:lang w:val="pt-BR"/>
        </w:rPr>
      </w:pPr>
      <w:r w:rsidRPr="00554CB7">
        <w:rPr>
          <w:lang w:val="pt-BR"/>
        </w:rPr>
        <w:t xml:space="preserve">O caso de Japeri é digno de análise mais detida. Trata-se de município da Baixada Fluminense com indicadores socioeconômicos modestos, Índice de Desenvolvimento Humano Municipal entre os mais baixos do estado e arrecadação própria limitada. Ainda assim, o legislador local optou por fixar o limite de RPV em 40 </w:t>
      </w:r>
      <w:proofErr w:type="gramStart"/>
      <w:r w:rsidRPr="00554CB7">
        <w:rPr>
          <w:lang w:val="pt-BR"/>
        </w:rPr>
        <w:t>salários mínimos</w:t>
      </w:r>
      <w:proofErr w:type="gramEnd"/>
      <w:r w:rsidRPr="00554CB7">
        <w:rPr>
          <w:lang w:val="pt-BR"/>
        </w:rPr>
        <w:t xml:space="preserve"> </w:t>
      </w:r>
      <w:r w:rsidR="006B0C68">
        <w:rPr>
          <w:lang w:val="pt-BR"/>
        </w:rPr>
        <w:t>-</w:t>
      </w:r>
      <w:r w:rsidRPr="00554CB7">
        <w:rPr>
          <w:lang w:val="pt-BR"/>
        </w:rPr>
        <w:t xml:space="preserve"> 33% acima do parâmetro supletivo </w:t>
      </w:r>
      <w:r w:rsidR="006B0C68">
        <w:rPr>
          <w:lang w:val="pt-BR"/>
        </w:rPr>
        <w:t>-</w:t>
      </w:r>
      <w:r w:rsidRPr="00554CB7">
        <w:rPr>
          <w:lang w:val="pt-BR"/>
        </w:rPr>
        <w:t xml:space="preserve">, ampliando o universo de credores protegidos pela via célere de pagamento. Se um município com essas características pode ampliar o limite de RPV sem comprometer sua sustentabilidade fiscal, a conclusão lógica é que municípios com arrecadação muitas vezes superior </w:t>
      </w:r>
      <w:r w:rsidR="006B0C68">
        <w:rPr>
          <w:lang w:val="pt-BR"/>
        </w:rPr>
        <w:t>-</w:t>
      </w:r>
      <w:r w:rsidRPr="00554CB7">
        <w:rPr>
          <w:lang w:val="pt-BR"/>
        </w:rPr>
        <w:t xml:space="preserve"> como o Rio de Janeiro, Niterói e os </w:t>
      </w:r>
      <w:proofErr w:type="spellStart"/>
      <w:r w:rsidRPr="00554CB7">
        <w:rPr>
          <w:lang w:val="pt-BR"/>
        </w:rPr>
        <w:t>petrorrentistas</w:t>
      </w:r>
      <w:proofErr w:type="spellEnd"/>
      <w:r w:rsidRPr="00554CB7">
        <w:rPr>
          <w:lang w:val="pt-BR"/>
        </w:rPr>
        <w:t xml:space="preserve"> </w:t>
      </w:r>
      <w:r w:rsidR="006B0C68">
        <w:rPr>
          <w:lang w:val="pt-BR"/>
        </w:rPr>
        <w:t>-</w:t>
      </w:r>
      <w:r w:rsidRPr="00554CB7">
        <w:rPr>
          <w:lang w:val="pt-BR"/>
        </w:rPr>
        <w:t xml:space="preserve"> teriam condições fiscais ainda mais favoráveis para manter ou ampliar seus limites, e não para reduzi-los.</w:t>
      </w:r>
    </w:p>
    <w:p w14:paraId="594F67C5" w14:textId="31A675BA" w:rsidR="00382E09" w:rsidRPr="00554CB7" w:rsidRDefault="00382E09" w:rsidP="00382E09">
      <w:pPr>
        <w:spacing w:line="360" w:lineRule="auto"/>
        <w:ind w:firstLine="709"/>
        <w:jc w:val="both"/>
        <w:rPr>
          <w:lang w:val="pt-BR"/>
        </w:rPr>
      </w:pPr>
      <w:r w:rsidRPr="00554CB7">
        <w:rPr>
          <w:lang w:val="pt-BR"/>
        </w:rPr>
        <w:t xml:space="preserve">A análise comparativa entre Japeri e os municípios dos grupos (c) e (d) expõe, em termos empíricos, a assimetria que a pesquisa busca demonstrar: a competência constitucional que deveria ser exercida proporcionalmente à capacidade econômica do ente foi, na prática fluminense, exercida em sentido inverso. Os municípios mais ricos reduziram seus limites; o município mais pobre que legislou sobre o tema foi o único a ampliá-lo. Essa inversão não é explicável pela lógica constitucional da proporcionalidade </w:t>
      </w:r>
      <w:r w:rsidR="006B0C68">
        <w:rPr>
          <w:lang w:val="pt-BR"/>
        </w:rPr>
        <w:t>-</w:t>
      </w:r>
      <w:r w:rsidRPr="00554CB7">
        <w:rPr>
          <w:lang w:val="pt-BR"/>
        </w:rPr>
        <w:t xml:space="preserve"> só se torna compreensível pela </w:t>
      </w:r>
      <w:r w:rsidRPr="00554CB7">
        <w:rPr>
          <w:lang w:val="pt-BR"/>
        </w:rPr>
        <w:lastRenderedPageBreak/>
        <w:t>lógica do oportunismo fiscal descrito no terceiro eixo teórico: municípios com maior passivo judicial têm maior incentivo para reduzir o limite de RPV, independentemente de sua capacidade de pagamento, porque a redução produz alívio imediato</w:t>
      </w:r>
      <w:r w:rsidR="005C6254">
        <w:rPr>
          <w:lang w:val="pt-BR"/>
        </w:rPr>
        <w:t xml:space="preserve"> – no caso do Rio de Janeiro um alívio </w:t>
      </w:r>
      <w:r w:rsidR="003B33DB">
        <w:rPr>
          <w:lang w:val="pt-BR"/>
        </w:rPr>
        <w:t xml:space="preserve">0,09% nas despesas Municipais </w:t>
      </w:r>
      <w:r w:rsidR="00A017FC">
        <w:rPr>
          <w:lang w:val="pt-BR"/>
        </w:rPr>
        <w:t xml:space="preserve">em 2024, segundo notícia de O Globo </w:t>
      </w:r>
      <w:r w:rsidR="005C6254">
        <w:rPr>
          <w:lang w:val="pt-BR"/>
        </w:rPr>
        <w:t>-</w:t>
      </w:r>
      <w:r w:rsidRPr="00554CB7">
        <w:rPr>
          <w:lang w:val="pt-BR"/>
        </w:rPr>
        <w:t xml:space="preserve"> no fluxo de caixa às custas de credores que individualmente têm baixo poder de reação institucional.</w:t>
      </w:r>
    </w:p>
    <w:p w14:paraId="564CCEE6" w14:textId="77777777" w:rsidR="00382E09" w:rsidRPr="00554CB7" w:rsidRDefault="00382E09" w:rsidP="00382E09">
      <w:pPr>
        <w:spacing w:before="360" w:after="240" w:line="360" w:lineRule="auto"/>
        <w:rPr>
          <w:lang w:val="pt-BR"/>
        </w:rPr>
      </w:pPr>
      <w:r w:rsidRPr="00554CB7">
        <w:rPr>
          <w:b/>
          <w:lang w:val="pt-BR"/>
        </w:rPr>
        <w:t>5. CONCLUSÕES / CONSIDERAÇÕES FINAIS</w:t>
      </w:r>
    </w:p>
    <w:p w14:paraId="5BAA41B1" w14:textId="77777777" w:rsidR="00382E09" w:rsidRPr="00554CB7" w:rsidRDefault="00382E09" w:rsidP="00382E09">
      <w:pPr>
        <w:spacing w:line="360" w:lineRule="auto"/>
        <w:ind w:firstLine="709"/>
        <w:jc w:val="both"/>
        <w:rPr>
          <w:lang w:val="pt-BR"/>
        </w:rPr>
      </w:pPr>
      <w:r w:rsidRPr="00554CB7">
        <w:rPr>
          <w:lang w:val="pt-BR"/>
        </w:rPr>
        <w:t>Os resultados parciais da pesquisa confirmam, até o estágio atual da investigação, a plausibilidade da hipótese formulada. O mapeamento inédito das leis municipais de RPV nos 92 municípios do Estado do Rio de Janeiro revela que a competência legislativa prevista no art. 100, §§ 3º e 4º, da Constituição Federal foi exercida predominantemente no sentido de redução dos limites, e não de ampliação da proteção ao credor. Dos 74 municípios que editaram lei própria, a maioria fixou limites iguais ou inferiores ao piso do RGPS, e apenas um elevou o teto acima do parâmetro supletivo.</w:t>
      </w:r>
    </w:p>
    <w:p w14:paraId="2DA711F9" w14:textId="77777777" w:rsidR="00382E09" w:rsidRPr="00554CB7" w:rsidRDefault="00382E09" w:rsidP="00382E09">
      <w:pPr>
        <w:spacing w:line="360" w:lineRule="auto"/>
        <w:ind w:firstLine="709"/>
        <w:jc w:val="both"/>
        <w:rPr>
          <w:lang w:val="pt-BR"/>
        </w:rPr>
      </w:pPr>
      <w:r w:rsidRPr="00554CB7">
        <w:rPr>
          <w:lang w:val="pt-BR"/>
        </w:rPr>
        <w:t xml:space="preserve">O confronto entre as escolhas legislativas dos municípios de maior arrecadação e os indicadores fiscais da CAPAG demonstra que nenhum dos municípios analisados apresentou endividamento elevado ou pressão fiscal diretamente atribuível ao pagamento de RPVs que justificasse a redução do teto. O Município do Rio de Janeiro, com CAPAG "B" e RCL superior a R$ 30 bilhões, editou a Lei Municipal nº 9.005/2025 reduzindo o limite para 10 </w:t>
      </w:r>
      <w:proofErr w:type="gramStart"/>
      <w:r w:rsidRPr="00554CB7">
        <w:rPr>
          <w:lang w:val="pt-BR"/>
        </w:rPr>
        <w:t>salários mínimos</w:t>
      </w:r>
      <w:proofErr w:type="gramEnd"/>
      <w:r w:rsidRPr="00554CB7">
        <w:rPr>
          <w:lang w:val="pt-BR"/>
        </w:rPr>
        <w:t xml:space="preserve"> sem demonstração de necessidade. Duque de Caxias e Quissamã, com endividamento inferior a 10% da RCL, fixaram limites no piso constitucional. Carapebus, o caso mais grave, sequer dispõe de dados fiscais confiáveis para sustentar qualquer demonstração de capacidade econômica, mas ainda assim editou lei redutora.</w:t>
      </w:r>
    </w:p>
    <w:p w14:paraId="7D693BCB" w14:textId="7B3B256C" w:rsidR="00382E09" w:rsidRPr="00554CB7" w:rsidRDefault="00382E09" w:rsidP="00382E09">
      <w:pPr>
        <w:spacing w:line="360" w:lineRule="auto"/>
        <w:ind w:firstLine="709"/>
        <w:jc w:val="both"/>
        <w:rPr>
          <w:lang w:val="pt-BR"/>
        </w:rPr>
      </w:pPr>
      <w:r w:rsidRPr="00554CB7">
        <w:rPr>
          <w:lang w:val="pt-BR"/>
        </w:rPr>
        <w:t xml:space="preserve">Esses achados evidenciam o fenômeno que a pesquisa denomina captura da política pública de RPV: o instrumento constitucional concebido para proteger o credor de pequeno valor contra a morosidade do regime de precatórios é utilizado, por municípios de elevada capacidade fiscal, como mecanismo de postergação do cumprimento de obrigações judiciais. A presunção de legitimidade das leis municipais, combinada com a indeterminação dos critérios constitucionais de capacidade econômica e proporcionalidade, cria um ambiente institucional em que o ônus da impugnação recai integralmente sobre o credor </w:t>
      </w:r>
      <w:r w:rsidR="006B0C68">
        <w:rPr>
          <w:lang w:val="pt-BR"/>
        </w:rPr>
        <w:t>-</w:t>
      </w:r>
      <w:r w:rsidRPr="00554CB7">
        <w:rPr>
          <w:lang w:val="pt-BR"/>
        </w:rPr>
        <w:t xml:space="preserve"> geralmente a parte hipossuficiente na relação processual com a Fazenda Pública.</w:t>
      </w:r>
    </w:p>
    <w:p w14:paraId="4927DFBE" w14:textId="0D8ACC48" w:rsidR="00382E09" w:rsidRPr="00554CB7" w:rsidRDefault="00382E09" w:rsidP="00382E09">
      <w:pPr>
        <w:spacing w:line="360" w:lineRule="auto"/>
        <w:ind w:firstLine="709"/>
        <w:jc w:val="both"/>
        <w:rPr>
          <w:lang w:val="pt-BR"/>
        </w:rPr>
      </w:pPr>
      <w:r w:rsidRPr="00554CB7">
        <w:rPr>
          <w:lang w:val="pt-BR"/>
        </w:rPr>
        <w:lastRenderedPageBreak/>
        <w:t xml:space="preserve">A pesquisa contribui para o estado da arte em múltiplas dimensões. No plano teórico, propõe critérios objetivos e replicáveis de controle constitucional da competência legislativa municipal em matéria de RPV, operacionalizando os conceitos indeterminados de capacidade econômica e proporcionalidade com indicadores fiscais ancorados na RCL e nos parâmetros da CAPAG e da Lei de Responsabilidade Fiscal </w:t>
      </w:r>
      <w:r w:rsidR="006B0C68">
        <w:rPr>
          <w:lang w:val="pt-BR"/>
        </w:rPr>
        <w:t>-</w:t>
      </w:r>
      <w:r w:rsidRPr="00554CB7">
        <w:rPr>
          <w:lang w:val="pt-BR"/>
        </w:rPr>
        <w:t xml:space="preserve"> construção inexistente na literatura atual. No plano judicial, oferece subsídio concreto para que magistrados e advogados possam questionar a validade constitucional de leis municipais redutoras sem suporte fiscal demonstrável, fortalecendo o controle incidental de constitucionalidade e colmatando a lacuna deixada pelo STF nos Temas 1.231 e 1.326. No plano legislativo, subsidia a discussão sobre a necessidade de reforma normativa que estabeleça critérios mínimos objetivos para o exercício da competência, de modo que a fixação do limite de RPV deixe de ser ato de discricionariedade legislativa plena e passe a exigir motivação fiscal concreta e verificável. No plano social, evidencia que o desvirtuamento do instituto prejudica diretamente credores que já obtiveram reconhecimento judicial de seus direitos </w:t>
      </w:r>
      <w:r w:rsidR="006B0C68">
        <w:rPr>
          <w:lang w:val="pt-BR"/>
        </w:rPr>
        <w:t>-</w:t>
      </w:r>
      <w:r w:rsidRPr="00554CB7">
        <w:rPr>
          <w:lang w:val="pt-BR"/>
        </w:rPr>
        <w:t xml:space="preserve"> cidadãos que, na maioria dos casos, litigaram durante anos contra a Fazenda Pública, obtiveram sentença favorável transitada em julgado, e agora veem a satisfação de seu crédito postergada por decisão legislativa de um ente devedor que sequer demonstrou necessidade fiscal para tanto.</w:t>
      </w:r>
    </w:p>
    <w:p w14:paraId="19BF65C0" w14:textId="3F7DFA41" w:rsidR="00382E09" w:rsidRPr="00554CB7" w:rsidRDefault="00382E09" w:rsidP="00382E09">
      <w:pPr>
        <w:spacing w:line="360" w:lineRule="auto"/>
        <w:ind w:firstLine="709"/>
        <w:jc w:val="both"/>
        <w:rPr>
          <w:lang w:val="pt-BR"/>
        </w:rPr>
      </w:pPr>
      <w:r w:rsidRPr="00554CB7">
        <w:rPr>
          <w:lang w:val="pt-BR"/>
        </w:rPr>
        <w:t xml:space="preserve">Os achados parciais também suscitam reflexão sobre o papel do controle externo. Se os Tribunais de Contas municipais e estaduais fiscalizam a execução orçamentária e a gestão fiscal dos municípios, seria razoável que também avaliassem a coerência entre as escolhas legislativas em matéria de RPV e os indicadores fiscais do ente </w:t>
      </w:r>
      <w:r w:rsidR="006B0C68">
        <w:rPr>
          <w:lang w:val="pt-BR"/>
        </w:rPr>
        <w:t>-</w:t>
      </w:r>
      <w:r w:rsidRPr="00554CB7">
        <w:rPr>
          <w:lang w:val="pt-BR"/>
        </w:rPr>
        <w:t xml:space="preserve"> emitindo pareceres sobre a adequação das leis redutoras à real capacidade econômica municipal. Essa possibilidade, embora não desenvolvida na presente pesquisa, constitui desdobramento natural dos achados e pode ser objeto de investigação futura.</w:t>
      </w:r>
    </w:p>
    <w:p w14:paraId="5EAF358A" w14:textId="77777777" w:rsidR="00382E09" w:rsidRPr="00554CB7" w:rsidRDefault="00382E09" w:rsidP="00382E09">
      <w:pPr>
        <w:spacing w:line="360" w:lineRule="auto"/>
        <w:ind w:firstLine="709"/>
        <w:jc w:val="both"/>
        <w:rPr>
          <w:lang w:val="pt-BR"/>
        </w:rPr>
      </w:pPr>
      <w:r w:rsidRPr="00554CB7">
        <w:rPr>
          <w:lang w:val="pt-BR"/>
        </w:rPr>
        <w:t>As próximas etapas da investigação incluem o aprofundamento da análise fiscal com dados desagregados do SICONFI e dos Relatórios de Gestão Fiscal, a verificação do percentual de comprometimento da RCL especificamente com o pagamento de RPVs nos exercícios anteriores à edição das leis redutoras, e o exame pormenorizado das justificativas legislativas e mensagens executivas que acompanharam essas leis. O objetivo final é construir uma matriz de evidências que permita, para cada município dos grupos (c) e (d), a avaliação objetiva da constitucionalidade material da escolha legislativa, contribuindo para a construção de parâmetros mais seguros para credores, gestores públicos e magistrados que atuam na execução contra a Fazenda Pública municipal.</w:t>
      </w:r>
    </w:p>
    <w:p w14:paraId="02A5D138" w14:textId="77777777" w:rsidR="00382E09" w:rsidRPr="00554CB7" w:rsidRDefault="00382E09" w:rsidP="00382E09">
      <w:pPr>
        <w:spacing w:line="360" w:lineRule="auto"/>
        <w:ind w:firstLine="709"/>
        <w:jc w:val="both"/>
        <w:rPr>
          <w:lang w:val="pt-BR"/>
        </w:rPr>
      </w:pPr>
      <w:r w:rsidRPr="00554CB7">
        <w:rPr>
          <w:lang w:val="pt-BR"/>
        </w:rPr>
        <w:lastRenderedPageBreak/>
        <w:t>A pesquisa aponta, desde já, para a necessidade de construção de critérios objetivos que operacionalizem os conceitos indeterminados de capacidade econômica e proporcionalidade. Com base nos achados parciais, propõe-se que três condições cumulativas devem ser verificadas para que a redução do limite de RPV seja considerada constitucionalmente válida: primeiro, que o percentual de comprometimento da RCL com o pagamento de RPVs nos três exercícios anteriores tenha representado pressão orçamentária efetiva e documentada; segundo, que a redução não resulte em limite inferior ao piso do RGPS; terceiro, que a lei redutora seja acompanhada de justificativa fiscal concreta, com indicação dos dados orçamentários que fundamentaram a escolha. A ausência de qualquer dessas condições deveria, na proposta da pesquisa, gerar presunção relativa de inconstitucionalidade material, transferindo ao município o ônus de demonstrar a necessidade da medida.</w:t>
      </w:r>
    </w:p>
    <w:p w14:paraId="2E57FBE8" w14:textId="77777777" w:rsidR="00382E09" w:rsidRPr="00554CB7" w:rsidRDefault="00382E09" w:rsidP="00382E09">
      <w:pPr>
        <w:spacing w:line="360" w:lineRule="auto"/>
        <w:ind w:firstLine="709"/>
        <w:jc w:val="both"/>
        <w:rPr>
          <w:lang w:val="pt-BR"/>
        </w:rPr>
      </w:pPr>
      <w:r w:rsidRPr="00554CB7">
        <w:rPr>
          <w:lang w:val="pt-BR"/>
        </w:rPr>
        <w:t>Essa proposição dialoga diretamente com a jurisprudência do STF, que nos Temas 1.231 e 1.326 fixou a exigência de demonstração de capacidade econômica e proporcionalidade sem, contudo, indicar como essa demonstração deve ser feita. A pesquisa pretende, assim, preencher a lacuna entre o critério material fixado pelo Supremo Tribunal Federal e sua aplicação prática pelo Judiciário de primeiro grau, oferecendo instrumental concreto para que o controle incidental de constitucionalidade dessas leis municipais seja exercido de forma objetiva, replicável e fundamentada em dados fiscais verificáveis.</w:t>
      </w:r>
    </w:p>
    <w:p w14:paraId="0067AD5B" w14:textId="77777777" w:rsidR="00382E09" w:rsidRPr="00554CB7" w:rsidRDefault="00382E09" w:rsidP="00382E09">
      <w:pPr>
        <w:spacing w:line="360" w:lineRule="auto"/>
        <w:ind w:firstLine="709"/>
        <w:jc w:val="both"/>
        <w:rPr>
          <w:lang w:val="pt-BR"/>
        </w:rPr>
      </w:pPr>
      <w:r w:rsidRPr="00554CB7">
        <w:rPr>
          <w:lang w:val="pt-BR"/>
        </w:rPr>
        <w:t>Em síntese, o mapeamento inédito das leis municipais de RPV no Estado do Rio de Janeiro, aliado à análise cruzada com indicadores fiscais oficiais, permite afirmar que a competência legislativa prevista no art. 100, §§ 3º e 4º, da Constituição Federal foi, no território fluminense, predominantemente exercida em favor dos entes devedores e em detrimento dos credores. A pesquisa prossegue com o objetivo de converter esses achados parciais em critérios normativos que possam efetivamente reequilibrar a relação entre Fazenda Pública e credor de pequeno valor, restituindo à RPV sua função constitucional originária de política pública de proteção ao jurisdicionado vulnerável.</w:t>
      </w:r>
    </w:p>
    <w:p w14:paraId="24723DC6" w14:textId="77777777" w:rsidR="00382E09" w:rsidRPr="00554CB7" w:rsidRDefault="00382E09" w:rsidP="00382E09">
      <w:pPr>
        <w:spacing w:before="360" w:after="240" w:line="360" w:lineRule="auto"/>
        <w:rPr>
          <w:lang w:val="pt-BR"/>
        </w:rPr>
      </w:pPr>
      <w:r w:rsidRPr="00554CB7">
        <w:rPr>
          <w:b/>
          <w:lang w:val="pt-BR"/>
        </w:rPr>
        <w:t>REFERÊNCIAS</w:t>
      </w:r>
    </w:p>
    <w:p w14:paraId="4DB893DF" w14:textId="77777777" w:rsidR="00382E09" w:rsidRPr="00554CB7" w:rsidRDefault="00382E09" w:rsidP="00382E09">
      <w:pPr>
        <w:spacing w:after="120" w:line="360" w:lineRule="auto"/>
        <w:rPr>
          <w:lang w:val="pt-BR"/>
        </w:rPr>
      </w:pPr>
      <w:r w:rsidRPr="00554CB7">
        <w:rPr>
          <w:lang w:val="pt-BR"/>
        </w:rPr>
        <w:t xml:space="preserve">BARROSO, Luís Roberto. </w:t>
      </w:r>
      <w:r w:rsidRPr="00554CB7">
        <w:rPr>
          <w:i/>
          <w:lang w:val="pt-BR"/>
        </w:rPr>
        <w:t>Curso de direito constitucional contemporâneo</w:t>
      </w:r>
      <w:r w:rsidRPr="00554CB7">
        <w:rPr>
          <w:lang w:val="pt-BR"/>
        </w:rPr>
        <w:t xml:space="preserve">: os conceitos fundamentais e a construção do novo modelo. 9. ed. São Paulo: </w:t>
      </w:r>
      <w:proofErr w:type="spellStart"/>
      <w:r w:rsidRPr="00554CB7">
        <w:rPr>
          <w:lang w:val="pt-BR"/>
        </w:rPr>
        <w:t>SaraivaJur</w:t>
      </w:r>
      <w:proofErr w:type="spellEnd"/>
      <w:r w:rsidRPr="00554CB7">
        <w:rPr>
          <w:lang w:val="pt-BR"/>
        </w:rPr>
        <w:t>, 2020.</w:t>
      </w:r>
    </w:p>
    <w:p w14:paraId="3D0DAA0E" w14:textId="77777777" w:rsidR="00382E09" w:rsidRPr="00554CB7" w:rsidRDefault="00382E09" w:rsidP="00382E09">
      <w:pPr>
        <w:spacing w:after="120" w:line="360" w:lineRule="auto"/>
        <w:rPr>
          <w:lang w:val="pt-BR"/>
        </w:rPr>
      </w:pPr>
      <w:r w:rsidRPr="00554CB7">
        <w:rPr>
          <w:lang w:val="pt-BR"/>
        </w:rPr>
        <w:t xml:space="preserve">BARROSO, Luís Roberto. </w:t>
      </w:r>
      <w:r w:rsidRPr="00554CB7">
        <w:rPr>
          <w:i/>
          <w:lang w:val="pt-BR"/>
        </w:rPr>
        <w:t>Interpretação e aplicação da Constituição</w:t>
      </w:r>
      <w:r w:rsidRPr="00554CB7">
        <w:rPr>
          <w:lang w:val="pt-BR"/>
        </w:rPr>
        <w:t xml:space="preserve">: fundamentos de uma dogmática constitucional transformadora. 7. ed. São Paulo: </w:t>
      </w:r>
      <w:proofErr w:type="spellStart"/>
      <w:r w:rsidRPr="00554CB7">
        <w:rPr>
          <w:lang w:val="pt-BR"/>
        </w:rPr>
        <w:t>SaraivaJur</w:t>
      </w:r>
      <w:proofErr w:type="spellEnd"/>
      <w:r w:rsidRPr="00554CB7">
        <w:rPr>
          <w:lang w:val="pt-BR"/>
        </w:rPr>
        <w:t>, 2014.</w:t>
      </w:r>
    </w:p>
    <w:p w14:paraId="50419EF8" w14:textId="77777777" w:rsidR="00382E09" w:rsidRPr="00554CB7" w:rsidRDefault="00382E09" w:rsidP="00382E09">
      <w:pPr>
        <w:spacing w:after="120" w:line="360" w:lineRule="auto"/>
        <w:rPr>
          <w:lang w:val="pt-BR"/>
        </w:rPr>
      </w:pPr>
      <w:r w:rsidRPr="00554CB7">
        <w:rPr>
          <w:lang w:val="pt-BR"/>
        </w:rPr>
        <w:lastRenderedPageBreak/>
        <w:t xml:space="preserve">BARROSO, Luís Roberto. </w:t>
      </w:r>
      <w:r w:rsidRPr="00554CB7">
        <w:rPr>
          <w:i/>
          <w:lang w:val="pt-BR"/>
        </w:rPr>
        <w:t>O controle de constitucionalidade no direito brasileiro</w:t>
      </w:r>
      <w:r w:rsidRPr="00554CB7">
        <w:rPr>
          <w:lang w:val="pt-BR"/>
        </w:rPr>
        <w:t>: exposição sistemática da doutrina e análise crítica da jurisprudência. 6. ed. rev. e atual. São Paulo: Saraiva, 2012.</w:t>
      </w:r>
    </w:p>
    <w:p w14:paraId="007C7FAB" w14:textId="77777777" w:rsidR="00382E09" w:rsidRPr="00554CB7" w:rsidRDefault="00382E09" w:rsidP="00382E09">
      <w:pPr>
        <w:spacing w:after="120" w:line="360" w:lineRule="auto"/>
        <w:rPr>
          <w:lang w:val="pt-BR"/>
        </w:rPr>
      </w:pPr>
      <w:r w:rsidRPr="00554CB7">
        <w:rPr>
          <w:lang w:val="pt-BR"/>
        </w:rPr>
        <w:t>BRASIL. Constituição da República Federativa do Brasil de 1988. Brasília: Senado Federal, 1988.</w:t>
      </w:r>
    </w:p>
    <w:p w14:paraId="433A61FE" w14:textId="77777777" w:rsidR="00382E09" w:rsidRPr="00554CB7" w:rsidRDefault="00382E09" w:rsidP="00382E09">
      <w:pPr>
        <w:spacing w:after="120" w:line="360" w:lineRule="auto"/>
        <w:rPr>
          <w:lang w:val="pt-BR"/>
        </w:rPr>
      </w:pPr>
      <w:r w:rsidRPr="00554CB7">
        <w:rPr>
          <w:lang w:val="pt-BR"/>
        </w:rPr>
        <w:t>BRASIL. Emenda Constitucional nº 62, de 9 de dezembro de 2009. Altera o art. 100 da Constituição Federal e acrescenta o art. 97 ao Ato das Disposições Constitucionais Transitórias. Brasília: Congresso Nacional, 2009.</w:t>
      </w:r>
    </w:p>
    <w:p w14:paraId="31CE20D2" w14:textId="77777777" w:rsidR="00382E09" w:rsidRPr="00554CB7" w:rsidRDefault="00382E09" w:rsidP="00382E09">
      <w:pPr>
        <w:spacing w:after="120" w:line="360" w:lineRule="auto"/>
        <w:rPr>
          <w:lang w:val="pt-BR"/>
        </w:rPr>
      </w:pPr>
      <w:r w:rsidRPr="00554CB7">
        <w:rPr>
          <w:lang w:val="pt-BR"/>
        </w:rPr>
        <w:t>BRASIL. Lei Complementar nº 101, de 4 de maio de 2000. Estabelece normas de finanças públicas voltadas para a responsabilidade na gestão fiscal. Brasília: Congresso Nacional, 2000.</w:t>
      </w:r>
    </w:p>
    <w:p w14:paraId="4BCDEB89" w14:textId="2E1E79FA" w:rsidR="00382E09" w:rsidRPr="00554CB7" w:rsidRDefault="00382E09" w:rsidP="00382E09">
      <w:pPr>
        <w:spacing w:after="120" w:line="360" w:lineRule="auto"/>
        <w:rPr>
          <w:lang w:val="pt-BR"/>
        </w:rPr>
      </w:pPr>
      <w:r w:rsidRPr="00554CB7">
        <w:rPr>
          <w:lang w:val="pt-BR"/>
        </w:rPr>
        <w:t xml:space="preserve">BRASIL. Secretaria do Tesouro Nacional. CAPAG </w:t>
      </w:r>
      <w:r w:rsidR="006B0C68">
        <w:rPr>
          <w:lang w:val="pt-BR"/>
        </w:rPr>
        <w:t>-</w:t>
      </w:r>
      <w:r w:rsidRPr="00554CB7">
        <w:rPr>
          <w:lang w:val="pt-BR"/>
        </w:rPr>
        <w:t xml:space="preserve"> Capacidade de Pagamento: municípios brasileiros, anos-base 2023 e 2024. Brasília: STN. Disponível em: https://www.tesourotransparente.gov.br/temas/estados-e-municipios/capacidade-de-pagamento-capag. Acesso em: 9 mar. 2026.</w:t>
      </w:r>
    </w:p>
    <w:p w14:paraId="35D1B90B" w14:textId="77777777" w:rsidR="00382E09" w:rsidRPr="00554CB7" w:rsidRDefault="00382E09" w:rsidP="00382E09">
      <w:pPr>
        <w:spacing w:after="120" w:line="360" w:lineRule="auto"/>
        <w:rPr>
          <w:lang w:val="pt-BR"/>
        </w:rPr>
      </w:pPr>
      <w:r w:rsidRPr="00554CB7">
        <w:rPr>
          <w:lang w:val="pt-BR"/>
        </w:rPr>
        <w:t>BRASIL. Secretaria do Tesouro Nacional. Relatório de Gestão Fiscal (RGF): municípios brasileiros. Brasília: STN. Disponível em: https://siconfi.tesouro.gov.br. Acesso em: 9 mar. 2026.</w:t>
      </w:r>
    </w:p>
    <w:p w14:paraId="49B49F68" w14:textId="77777777" w:rsidR="00382E09" w:rsidRPr="00554CB7" w:rsidRDefault="00382E09" w:rsidP="00382E09">
      <w:pPr>
        <w:spacing w:after="120" w:line="360" w:lineRule="auto"/>
        <w:rPr>
          <w:lang w:val="pt-BR"/>
        </w:rPr>
      </w:pPr>
      <w:r w:rsidRPr="00554CB7">
        <w:rPr>
          <w:lang w:val="pt-BR"/>
        </w:rPr>
        <w:t>BRASIL. Supremo Tribunal Federal. Ação Direta de Inconstitucionalidade nº 2.868/PI. Relator: Min. Carlos Britto. Brasília, 2004.</w:t>
      </w:r>
    </w:p>
    <w:p w14:paraId="31542C67" w14:textId="77777777" w:rsidR="00382E09" w:rsidRPr="00554CB7" w:rsidRDefault="00382E09" w:rsidP="00382E09">
      <w:pPr>
        <w:spacing w:after="120" w:line="360" w:lineRule="auto"/>
        <w:rPr>
          <w:lang w:val="pt-BR"/>
        </w:rPr>
      </w:pPr>
      <w:r w:rsidRPr="00554CB7">
        <w:rPr>
          <w:lang w:val="pt-BR"/>
        </w:rPr>
        <w:t>BRASIL. Supremo Tribunal Federal. Ação Direta de Inconstitucionalidade nº 4.332/RO. Relator: Min. Alexandre de Moraes. Brasília.</w:t>
      </w:r>
    </w:p>
    <w:p w14:paraId="05383A2C" w14:textId="77777777" w:rsidR="00382E09" w:rsidRPr="00554CB7" w:rsidRDefault="00382E09" w:rsidP="00382E09">
      <w:pPr>
        <w:spacing w:after="120" w:line="360" w:lineRule="auto"/>
        <w:rPr>
          <w:lang w:val="pt-BR"/>
        </w:rPr>
      </w:pPr>
      <w:r w:rsidRPr="00554CB7">
        <w:rPr>
          <w:lang w:val="pt-BR"/>
        </w:rPr>
        <w:t>BRASIL. Supremo Tribunal Federal. Ação Direta de Inconstitucionalidade nº 5.100/SC. Brasília.</w:t>
      </w:r>
    </w:p>
    <w:p w14:paraId="591C59CA" w14:textId="77777777" w:rsidR="00382E09" w:rsidRPr="00554CB7" w:rsidRDefault="00382E09" w:rsidP="00382E09">
      <w:pPr>
        <w:spacing w:after="120" w:line="360" w:lineRule="auto"/>
        <w:rPr>
          <w:lang w:val="pt-BR"/>
        </w:rPr>
      </w:pPr>
      <w:r w:rsidRPr="00554CB7">
        <w:rPr>
          <w:lang w:val="pt-BR"/>
        </w:rPr>
        <w:t>BRASIL. Supremo Tribunal Federal. Tema nº 1.231 da repercussão geral. Constitucionalidade da fixação de limites próprios de Requisição de Pequeno Valor por lei municipal. Brasília. Disponível em: https://portal.stf.jus.br. Acesso em: 9 mar. 2026.</w:t>
      </w:r>
    </w:p>
    <w:p w14:paraId="2FAD6FE1" w14:textId="77777777" w:rsidR="00382E09" w:rsidRPr="00554CB7" w:rsidRDefault="00382E09" w:rsidP="00382E09">
      <w:pPr>
        <w:spacing w:after="120" w:line="360" w:lineRule="auto"/>
        <w:rPr>
          <w:lang w:val="pt-BR"/>
        </w:rPr>
      </w:pPr>
      <w:r w:rsidRPr="00554CB7">
        <w:rPr>
          <w:lang w:val="pt-BR"/>
        </w:rPr>
        <w:t>BRASIL. Supremo Tribunal Federal. Tema nº 1.326 da repercussão geral. Brasília. Disponível em: https://portal.stf.jus.br. Acesso em: 9 mar. 2026.</w:t>
      </w:r>
    </w:p>
    <w:p w14:paraId="2BA9C7E2" w14:textId="77777777" w:rsidR="00382E09" w:rsidRPr="00554CB7" w:rsidRDefault="00382E09" w:rsidP="00382E09">
      <w:pPr>
        <w:spacing w:after="120" w:line="360" w:lineRule="auto"/>
        <w:rPr>
          <w:lang w:val="pt-BR"/>
        </w:rPr>
      </w:pPr>
      <w:r w:rsidRPr="00554CB7">
        <w:rPr>
          <w:lang w:val="pt-BR"/>
        </w:rPr>
        <w:t xml:space="preserve">CONTI, José Maurício. </w:t>
      </w:r>
      <w:r w:rsidRPr="00554CB7">
        <w:rPr>
          <w:i/>
          <w:lang w:val="pt-BR"/>
        </w:rPr>
        <w:t>Dívida Pública</w:t>
      </w:r>
      <w:r w:rsidRPr="00554CB7">
        <w:rPr>
          <w:lang w:val="pt-BR"/>
        </w:rPr>
        <w:t xml:space="preserve">. São Paulo: </w:t>
      </w:r>
      <w:proofErr w:type="spellStart"/>
      <w:r w:rsidRPr="00554CB7">
        <w:rPr>
          <w:lang w:val="pt-BR"/>
        </w:rPr>
        <w:t>Blucher</w:t>
      </w:r>
      <w:proofErr w:type="spellEnd"/>
      <w:r w:rsidRPr="00554CB7">
        <w:rPr>
          <w:lang w:val="pt-BR"/>
        </w:rPr>
        <w:t>, 2019.</w:t>
      </w:r>
    </w:p>
    <w:p w14:paraId="2B65E4F9" w14:textId="704D190A" w:rsidR="00382E09" w:rsidRPr="00554CB7" w:rsidRDefault="00382E09" w:rsidP="00382E09">
      <w:pPr>
        <w:spacing w:after="120" w:line="360" w:lineRule="auto"/>
        <w:rPr>
          <w:lang w:val="pt-BR"/>
        </w:rPr>
      </w:pPr>
      <w:r w:rsidRPr="00554CB7">
        <w:rPr>
          <w:lang w:val="pt-BR"/>
        </w:rPr>
        <w:lastRenderedPageBreak/>
        <w:t xml:space="preserve">FAIM FILHO, Eurípedes Gomes. </w:t>
      </w:r>
      <w:r w:rsidRPr="00554CB7">
        <w:rPr>
          <w:i/>
          <w:lang w:val="pt-BR"/>
        </w:rPr>
        <w:t>Requisitórios</w:t>
      </w:r>
      <w:r w:rsidRPr="00554CB7">
        <w:rPr>
          <w:lang w:val="pt-BR"/>
        </w:rPr>
        <w:t xml:space="preserve">: precatórios e requisições de pequeno valor: um tema de direito financeiro. 2014. 294 f. Tese (Doutorado em Direito Econômico e Financeiro) </w:t>
      </w:r>
      <w:r w:rsidR="006B0C68">
        <w:rPr>
          <w:lang w:val="pt-BR"/>
        </w:rPr>
        <w:t>-</w:t>
      </w:r>
      <w:r w:rsidRPr="00554CB7">
        <w:rPr>
          <w:lang w:val="pt-BR"/>
        </w:rPr>
        <w:t xml:space="preserve"> Faculdade de Direito, Universidade de São Paulo, São Paulo, 2014.</w:t>
      </w:r>
    </w:p>
    <w:p w14:paraId="7F0DDCF3" w14:textId="77777777" w:rsidR="00382E09" w:rsidRPr="00554CB7" w:rsidRDefault="00382E09" w:rsidP="00382E09">
      <w:pPr>
        <w:spacing w:after="120" w:line="360" w:lineRule="auto"/>
        <w:rPr>
          <w:lang w:val="pt-BR"/>
        </w:rPr>
      </w:pPr>
      <w:r w:rsidRPr="00554CB7">
        <w:rPr>
          <w:lang w:val="pt-BR"/>
        </w:rPr>
        <w:t>FIRJAN. Federação das Indústrias do Estado do Rio de Janeiro. Índice Firjan de Gestão Fiscal (IFGF). Rio de Janeiro: Firjan. Disponível em: https://www.firjan.com.br/ifgf. Acesso em: 9 mar. 2026.</w:t>
      </w:r>
    </w:p>
    <w:p w14:paraId="51E254D5" w14:textId="77777777" w:rsidR="00382E09" w:rsidRPr="00554CB7" w:rsidRDefault="00382E09" w:rsidP="00382E09">
      <w:pPr>
        <w:spacing w:after="120" w:line="360" w:lineRule="auto"/>
        <w:rPr>
          <w:lang w:val="pt-BR"/>
        </w:rPr>
      </w:pPr>
      <w:r w:rsidRPr="00554CB7">
        <w:rPr>
          <w:lang w:val="pt-BR"/>
        </w:rPr>
        <w:t>IBGE. Instituto Brasileiro de Geografia e Estatística. Perfil dos municípios brasileiros. Rio de Janeiro: IBGE. Disponível em: https://www.ibge.gov.br. Acesso em: 9 mar. 2026.</w:t>
      </w:r>
    </w:p>
    <w:p w14:paraId="72DD4146" w14:textId="77777777" w:rsidR="00382E09" w:rsidRPr="00554CB7" w:rsidRDefault="00382E09" w:rsidP="00382E09">
      <w:pPr>
        <w:spacing w:after="120" w:line="360" w:lineRule="auto"/>
        <w:rPr>
          <w:lang w:val="pt-BR"/>
        </w:rPr>
      </w:pPr>
      <w:r w:rsidRPr="00554CB7">
        <w:rPr>
          <w:lang w:val="pt-BR"/>
        </w:rPr>
        <w:t>LEIS MUNICIPAIS. Portal de pesquisa de legislação municipal brasileira. Disponível em: https://leismunicipais.com.br. Acesso em: 9 mar. 2026.</w:t>
      </w:r>
    </w:p>
    <w:p w14:paraId="2D1E08BA" w14:textId="77777777" w:rsidR="00382E09" w:rsidRPr="00554CB7" w:rsidRDefault="00382E09" w:rsidP="00382E09">
      <w:pPr>
        <w:spacing w:after="120" w:line="360" w:lineRule="auto"/>
        <w:rPr>
          <w:lang w:val="pt-BR"/>
        </w:rPr>
      </w:pPr>
      <w:r w:rsidRPr="00554CB7">
        <w:rPr>
          <w:lang w:val="pt-BR"/>
        </w:rPr>
        <w:t xml:space="preserve">RIBEIRO, Ivan César. Causalidade e políticas públicas. </w:t>
      </w:r>
      <w:r w:rsidRPr="00554CB7">
        <w:rPr>
          <w:i/>
          <w:lang w:val="pt-BR"/>
        </w:rPr>
        <w:t>Revista Direito das Políticas Públicas</w:t>
      </w:r>
      <w:r w:rsidRPr="00554CB7">
        <w:rPr>
          <w:lang w:val="pt-BR"/>
        </w:rPr>
        <w:t>, Rio de Janeiro: UNIRIO, v. 4, n. 2, p. 179-198, jul./dez. 2022.</w:t>
      </w:r>
    </w:p>
    <w:p w14:paraId="7441896E" w14:textId="522C6B63" w:rsidR="00382E09" w:rsidRPr="00554CB7" w:rsidRDefault="00382E09" w:rsidP="00382E09">
      <w:pPr>
        <w:spacing w:after="120" w:line="360" w:lineRule="auto"/>
        <w:rPr>
          <w:lang w:val="pt-BR"/>
        </w:rPr>
      </w:pPr>
      <w:r w:rsidRPr="00554CB7">
        <w:rPr>
          <w:lang w:val="pt-BR"/>
        </w:rPr>
        <w:t xml:space="preserve">RIBEIRO, Ivan César. </w:t>
      </w:r>
      <w:r w:rsidRPr="00554CB7">
        <w:rPr>
          <w:i/>
          <w:lang w:val="pt-BR"/>
        </w:rPr>
        <w:t>Regulação financeira, poder no mercado e crise financeira</w:t>
      </w:r>
      <w:r w:rsidRPr="00554CB7">
        <w:rPr>
          <w:lang w:val="pt-BR"/>
        </w:rPr>
        <w:t xml:space="preserve">. 2012. Tese (Doutorado em Direito Comercial) </w:t>
      </w:r>
      <w:r w:rsidR="006B0C68">
        <w:rPr>
          <w:lang w:val="pt-BR"/>
        </w:rPr>
        <w:t>-</w:t>
      </w:r>
      <w:r w:rsidRPr="00554CB7">
        <w:rPr>
          <w:lang w:val="pt-BR"/>
        </w:rPr>
        <w:t xml:space="preserve"> Faculdade de Direito, Universidade de São Paulo, São Paulo, 2012.</w:t>
      </w:r>
    </w:p>
    <w:p w14:paraId="11423434" w14:textId="77777777" w:rsidR="00382E09" w:rsidRPr="00554CB7" w:rsidRDefault="00382E09" w:rsidP="00382E09">
      <w:pPr>
        <w:spacing w:after="120" w:line="360" w:lineRule="auto"/>
        <w:rPr>
          <w:lang w:val="pt-BR"/>
        </w:rPr>
      </w:pPr>
      <w:r w:rsidRPr="00554CB7">
        <w:rPr>
          <w:lang w:val="pt-BR"/>
        </w:rPr>
        <w:t>RIO DE JANEIRO (Município). Lei Municipal nº 9.005, de 2025. Fixa o limite de Requisição de Pequeno Valor no âmbito do Município do Rio de Janeiro. Rio de Janeiro: Câmara Municipal, 2025.</w:t>
      </w:r>
    </w:p>
    <w:p w14:paraId="33D97074" w14:textId="77777777" w:rsidR="00382E09" w:rsidRPr="00554CB7" w:rsidRDefault="00382E09" w:rsidP="00382E09">
      <w:pPr>
        <w:spacing w:after="120" w:line="360" w:lineRule="auto"/>
        <w:rPr>
          <w:lang w:val="pt-BR"/>
        </w:rPr>
      </w:pPr>
      <w:r w:rsidRPr="00554CB7">
        <w:rPr>
          <w:lang w:val="pt-BR"/>
        </w:rPr>
        <w:t xml:space="preserve">SCAFF, Fernando </w:t>
      </w:r>
      <w:proofErr w:type="spellStart"/>
      <w:r w:rsidRPr="00554CB7">
        <w:rPr>
          <w:lang w:val="pt-BR"/>
        </w:rPr>
        <w:t>Facury</w:t>
      </w:r>
      <w:proofErr w:type="spellEnd"/>
      <w:r w:rsidRPr="00554CB7">
        <w:rPr>
          <w:lang w:val="pt-BR"/>
        </w:rPr>
        <w:t xml:space="preserve">. </w:t>
      </w:r>
      <w:r w:rsidRPr="00554CB7">
        <w:rPr>
          <w:i/>
          <w:lang w:val="pt-BR"/>
        </w:rPr>
        <w:t>Orçamento republicano e liberdade igual</w:t>
      </w:r>
      <w:r w:rsidRPr="00554CB7">
        <w:rPr>
          <w:lang w:val="pt-BR"/>
        </w:rPr>
        <w:t>. Belo Horizonte: Fórum, 2018.</w:t>
      </w:r>
    </w:p>
    <w:p w14:paraId="1B9B1EFC" w14:textId="77777777" w:rsidR="001368EF" w:rsidRPr="00554CB7" w:rsidRDefault="001368EF">
      <w:pPr>
        <w:rPr>
          <w:lang w:val="pt-BR"/>
        </w:rPr>
      </w:pPr>
    </w:p>
    <w:sectPr w:rsidR="001368EF" w:rsidRPr="00554CB7" w:rsidSect="00382E09">
      <w:pgSz w:w="11906" w:h="16838"/>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E09"/>
    <w:rsid w:val="000266DB"/>
    <w:rsid w:val="00045686"/>
    <w:rsid w:val="00052092"/>
    <w:rsid w:val="000B54EE"/>
    <w:rsid w:val="000D72E8"/>
    <w:rsid w:val="001368EF"/>
    <w:rsid w:val="0016404E"/>
    <w:rsid w:val="00172CDE"/>
    <w:rsid w:val="001753D6"/>
    <w:rsid w:val="001774B5"/>
    <w:rsid w:val="00185371"/>
    <w:rsid w:val="001A7149"/>
    <w:rsid w:val="001B0580"/>
    <w:rsid w:val="001C5C40"/>
    <w:rsid w:val="001E7F9E"/>
    <w:rsid w:val="00234DA2"/>
    <w:rsid w:val="00264293"/>
    <w:rsid w:val="0029461D"/>
    <w:rsid w:val="002D7971"/>
    <w:rsid w:val="00316858"/>
    <w:rsid w:val="00382E09"/>
    <w:rsid w:val="003B33DB"/>
    <w:rsid w:val="003C2ED1"/>
    <w:rsid w:val="003C510E"/>
    <w:rsid w:val="00402B8C"/>
    <w:rsid w:val="00431B0F"/>
    <w:rsid w:val="00462517"/>
    <w:rsid w:val="00466D94"/>
    <w:rsid w:val="00470627"/>
    <w:rsid w:val="004760F7"/>
    <w:rsid w:val="00497787"/>
    <w:rsid w:val="004E3F08"/>
    <w:rsid w:val="004F6FC6"/>
    <w:rsid w:val="00503BE1"/>
    <w:rsid w:val="00554CB7"/>
    <w:rsid w:val="00562BBF"/>
    <w:rsid w:val="005972E0"/>
    <w:rsid w:val="005C3AB9"/>
    <w:rsid w:val="005C6254"/>
    <w:rsid w:val="005C68DA"/>
    <w:rsid w:val="005E1B24"/>
    <w:rsid w:val="005E4CEB"/>
    <w:rsid w:val="0060317C"/>
    <w:rsid w:val="00652DBD"/>
    <w:rsid w:val="0065572F"/>
    <w:rsid w:val="00661569"/>
    <w:rsid w:val="0066547A"/>
    <w:rsid w:val="006948B4"/>
    <w:rsid w:val="006B0C68"/>
    <w:rsid w:val="006C2ED8"/>
    <w:rsid w:val="006D7FE5"/>
    <w:rsid w:val="00716975"/>
    <w:rsid w:val="00745B08"/>
    <w:rsid w:val="00756D39"/>
    <w:rsid w:val="0077338D"/>
    <w:rsid w:val="007861AB"/>
    <w:rsid w:val="00893E93"/>
    <w:rsid w:val="008977BE"/>
    <w:rsid w:val="008B5FA2"/>
    <w:rsid w:val="008E109B"/>
    <w:rsid w:val="00942A06"/>
    <w:rsid w:val="009F382D"/>
    <w:rsid w:val="00A017FC"/>
    <w:rsid w:val="00A13200"/>
    <w:rsid w:val="00A148CE"/>
    <w:rsid w:val="00A45975"/>
    <w:rsid w:val="00AA1BC2"/>
    <w:rsid w:val="00AA7AAC"/>
    <w:rsid w:val="00AD5D81"/>
    <w:rsid w:val="00AE3706"/>
    <w:rsid w:val="00B55A29"/>
    <w:rsid w:val="00BC62CD"/>
    <w:rsid w:val="00BE5128"/>
    <w:rsid w:val="00C03113"/>
    <w:rsid w:val="00CA35D7"/>
    <w:rsid w:val="00CA3C85"/>
    <w:rsid w:val="00CC1433"/>
    <w:rsid w:val="00CC767D"/>
    <w:rsid w:val="00D34AA0"/>
    <w:rsid w:val="00D52164"/>
    <w:rsid w:val="00D80B4A"/>
    <w:rsid w:val="00D817ED"/>
    <w:rsid w:val="00DB0548"/>
    <w:rsid w:val="00E00783"/>
    <w:rsid w:val="00E967D6"/>
    <w:rsid w:val="00F8137B"/>
    <w:rsid w:val="00F83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9847"/>
  <w15:chartTrackingRefBased/>
  <w15:docId w15:val="{084EC6D7-91E9-4DF6-B090-FAE95064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E09"/>
    <w:pPr>
      <w:spacing w:after="200" w:line="276" w:lineRule="auto"/>
    </w:pPr>
    <w:rPr>
      <w:rFonts w:ascii="Times New Roman" w:eastAsiaTheme="minorEastAsia" w:hAnsi="Times New Roman"/>
      <w:sz w:val="24"/>
      <w:lang w:val="en-US"/>
    </w:rPr>
  </w:style>
  <w:style w:type="paragraph" w:styleId="Ttulo1">
    <w:name w:val="heading 1"/>
    <w:basedOn w:val="Normal"/>
    <w:next w:val="Normal"/>
    <w:link w:val="Ttulo1Char"/>
    <w:uiPriority w:val="9"/>
    <w:qFormat/>
    <w:rsid w:val="00382E0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pt-BR"/>
    </w:rPr>
  </w:style>
  <w:style w:type="paragraph" w:styleId="Ttulo2">
    <w:name w:val="heading 2"/>
    <w:basedOn w:val="Normal"/>
    <w:next w:val="Normal"/>
    <w:link w:val="Ttulo2Char"/>
    <w:uiPriority w:val="9"/>
    <w:semiHidden/>
    <w:unhideWhenUsed/>
    <w:qFormat/>
    <w:rsid w:val="00382E0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pt-BR"/>
    </w:rPr>
  </w:style>
  <w:style w:type="paragraph" w:styleId="Ttulo3">
    <w:name w:val="heading 3"/>
    <w:basedOn w:val="Normal"/>
    <w:next w:val="Normal"/>
    <w:link w:val="Ttulo3Char"/>
    <w:uiPriority w:val="9"/>
    <w:semiHidden/>
    <w:unhideWhenUsed/>
    <w:qFormat/>
    <w:rsid w:val="00382E09"/>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pt-BR"/>
    </w:rPr>
  </w:style>
  <w:style w:type="paragraph" w:styleId="Ttulo4">
    <w:name w:val="heading 4"/>
    <w:basedOn w:val="Normal"/>
    <w:next w:val="Normal"/>
    <w:link w:val="Ttulo4Char"/>
    <w:uiPriority w:val="9"/>
    <w:semiHidden/>
    <w:unhideWhenUsed/>
    <w:qFormat/>
    <w:rsid w:val="00382E09"/>
    <w:pPr>
      <w:keepNext/>
      <w:keepLines/>
      <w:spacing w:before="80" w:after="40" w:line="259" w:lineRule="auto"/>
      <w:outlineLvl w:val="3"/>
    </w:pPr>
    <w:rPr>
      <w:rFonts w:asciiTheme="minorHAnsi" w:eastAsiaTheme="majorEastAsia" w:hAnsiTheme="minorHAnsi" w:cstheme="majorBidi"/>
      <w:i/>
      <w:iCs/>
      <w:color w:val="0F4761" w:themeColor="accent1" w:themeShade="BF"/>
      <w:sz w:val="22"/>
      <w:lang w:val="pt-BR"/>
    </w:rPr>
  </w:style>
  <w:style w:type="paragraph" w:styleId="Ttulo5">
    <w:name w:val="heading 5"/>
    <w:basedOn w:val="Normal"/>
    <w:next w:val="Normal"/>
    <w:link w:val="Ttulo5Char"/>
    <w:uiPriority w:val="9"/>
    <w:semiHidden/>
    <w:unhideWhenUsed/>
    <w:qFormat/>
    <w:rsid w:val="00382E09"/>
    <w:pPr>
      <w:keepNext/>
      <w:keepLines/>
      <w:spacing w:before="80" w:after="40" w:line="259" w:lineRule="auto"/>
      <w:outlineLvl w:val="4"/>
    </w:pPr>
    <w:rPr>
      <w:rFonts w:asciiTheme="minorHAnsi" w:eastAsiaTheme="majorEastAsia" w:hAnsiTheme="minorHAnsi" w:cstheme="majorBidi"/>
      <w:color w:val="0F4761" w:themeColor="accent1" w:themeShade="BF"/>
      <w:sz w:val="22"/>
      <w:lang w:val="pt-BR"/>
    </w:rPr>
  </w:style>
  <w:style w:type="paragraph" w:styleId="Ttulo6">
    <w:name w:val="heading 6"/>
    <w:basedOn w:val="Normal"/>
    <w:next w:val="Normal"/>
    <w:link w:val="Ttulo6Char"/>
    <w:uiPriority w:val="9"/>
    <w:semiHidden/>
    <w:unhideWhenUsed/>
    <w:qFormat/>
    <w:rsid w:val="00382E09"/>
    <w:pPr>
      <w:keepNext/>
      <w:keepLines/>
      <w:spacing w:before="40" w:after="0" w:line="259" w:lineRule="auto"/>
      <w:outlineLvl w:val="5"/>
    </w:pPr>
    <w:rPr>
      <w:rFonts w:asciiTheme="minorHAnsi" w:eastAsiaTheme="majorEastAsia" w:hAnsiTheme="minorHAnsi" w:cstheme="majorBidi"/>
      <w:i/>
      <w:iCs/>
      <w:color w:val="595959" w:themeColor="text1" w:themeTint="A6"/>
      <w:sz w:val="22"/>
      <w:lang w:val="pt-BR"/>
    </w:rPr>
  </w:style>
  <w:style w:type="paragraph" w:styleId="Ttulo7">
    <w:name w:val="heading 7"/>
    <w:basedOn w:val="Normal"/>
    <w:next w:val="Normal"/>
    <w:link w:val="Ttulo7Char"/>
    <w:uiPriority w:val="9"/>
    <w:semiHidden/>
    <w:unhideWhenUsed/>
    <w:qFormat/>
    <w:rsid w:val="00382E09"/>
    <w:pPr>
      <w:keepNext/>
      <w:keepLines/>
      <w:spacing w:before="40" w:after="0" w:line="259" w:lineRule="auto"/>
      <w:outlineLvl w:val="6"/>
    </w:pPr>
    <w:rPr>
      <w:rFonts w:asciiTheme="minorHAnsi" w:eastAsiaTheme="majorEastAsia" w:hAnsiTheme="minorHAnsi" w:cstheme="majorBidi"/>
      <w:color w:val="595959" w:themeColor="text1" w:themeTint="A6"/>
      <w:sz w:val="22"/>
      <w:lang w:val="pt-BR"/>
    </w:rPr>
  </w:style>
  <w:style w:type="paragraph" w:styleId="Ttulo8">
    <w:name w:val="heading 8"/>
    <w:basedOn w:val="Normal"/>
    <w:next w:val="Normal"/>
    <w:link w:val="Ttulo8Char"/>
    <w:uiPriority w:val="9"/>
    <w:semiHidden/>
    <w:unhideWhenUsed/>
    <w:qFormat/>
    <w:rsid w:val="00382E09"/>
    <w:pPr>
      <w:keepNext/>
      <w:keepLines/>
      <w:spacing w:after="0" w:line="259" w:lineRule="auto"/>
      <w:outlineLvl w:val="7"/>
    </w:pPr>
    <w:rPr>
      <w:rFonts w:asciiTheme="minorHAnsi" w:eastAsiaTheme="majorEastAsia" w:hAnsiTheme="minorHAnsi" w:cstheme="majorBidi"/>
      <w:i/>
      <w:iCs/>
      <w:color w:val="272727" w:themeColor="text1" w:themeTint="D8"/>
      <w:sz w:val="22"/>
      <w:lang w:val="pt-BR"/>
    </w:rPr>
  </w:style>
  <w:style w:type="paragraph" w:styleId="Ttulo9">
    <w:name w:val="heading 9"/>
    <w:basedOn w:val="Normal"/>
    <w:next w:val="Normal"/>
    <w:link w:val="Ttulo9Char"/>
    <w:uiPriority w:val="9"/>
    <w:semiHidden/>
    <w:unhideWhenUsed/>
    <w:qFormat/>
    <w:rsid w:val="00382E09"/>
    <w:pPr>
      <w:keepNext/>
      <w:keepLines/>
      <w:spacing w:after="0" w:line="259" w:lineRule="auto"/>
      <w:outlineLvl w:val="8"/>
    </w:pPr>
    <w:rPr>
      <w:rFonts w:asciiTheme="minorHAnsi" w:eastAsiaTheme="majorEastAsia" w:hAnsiTheme="minorHAnsi" w:cstheme="majorBidi"/>
      <w:color w:val="272727" w:themeColor="text1" w:themeTint="D8"/>
      <w:sz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82E0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82E0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82E0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82E0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82E0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82E0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82E0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82E0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82E09"/>
    <w:rPr>
      <w:rFonts w:eastAsiaTheme="majorEastAsia" w:cstheme="majorBidi"/>
      <w:color w:val="272727" w:themeColor="text1" w:themeTint="D8"/>
    </w:rPr>
  </w:style>
  <w:style w:type="paragraph" w:styleId="Ttulo">
    <w:name w:val="Title"/>
    <w:basedOn w:val="Normal"/>
    <w:next w:val="Normal"/>
    <w:link w:val="TtuloChar"/>
    <w:uiPriority w:val="10"/>
    <w:qFormat/>
    <w:rsid w:val="00382E09"/>
    <w:pPr>
      <w:spacing w:after="80" w:line="240" w:lineRule="auto"/>
      <w:contextualSpacing/>
    </w:pPr>
    <w:rPr>
      <w:rFonts w:asciiTheme="majorHAnsi" w:eastAsiaTheme="majorEastAsia" w:hAnsiTheme="majorHAnsi" w:cstheme="majorBidi"/>
      <w:spacing w:val="-10"/>
      <w:kern w:val="28"/>
      <w:sz w:val="56"/>
      <w:szCs w:val="56"/>
      <w:lang w:val="pt-BR"/>
    </w:rPr>
  </w:style>
  <w:style w:type="character" w:customStyle="1" w:styleId="TtuloChar">
    <w:name w:val="Título Char"/>
    <w:basedOn w:val="Fontepargpadro"/>
    <w:link w:val="Ttulo"/>
    <w:uiPriority w:val="10"/>
    <w:rsid w:val="00382E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82E09"/>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pt-BR"/>
    </w:rPr>
  </w:style>
  <w:style w:type="character" w:customStyle="1" w:styleId="SubttuloChar">
    <w:name w:val="Subtítulo Char"/>
    <w:basedOn w:val="Fontepargpadro"/>
    <w:link w:val="Subttulo"/>
    <w:uiPriority w:val="11"/>
    <w:rsid w:val="00382E0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82E09"/>
    <w:pPr>
      <w:spacing w:before="160" w:after="160" w:line="259" w:lineRule="auto"/>
      <w:jc w:val="center"/>
    </w:pPr>
    <w:rPr>
      <w:rFonts w:asciiTheme="minorHAnsi" w:eastAsiaTheme="minorHAnsi" w:hAnsiTheme="minorHAnsi"/>
      <w:i/>
      <w:iCs/>
      <w:color w:val="404040" w:themeColor="text1" w:themeTint="BF"/>
      <w:sz w:val="22"/>
      <w:lang w:val="pt-BR"/>
    </w:rPr>
  </w:style>
  <w:style w:type="character" w:customStyle="1" w:styleId="CitaoChar">
    <w:name w:val="Citação Char"/>
    <w:basedOn w:val="Fontepargpadro"/>
    <w:link w:val="Citao"/>
    <w:uiPriority w:val="29"/>
    <w:rsid w:val="00382E09"/>
    <w:rPr>
      <w:i/>
      <w:iCs/>
      <w:color w:val="404040" w:themeColor="text1" w:themeTint="BF"/>
    </w:rPr>
  </w:style>
  <w:style w:type="paragraph" w:styleId="PargrafodaLista">
    <w:name w:val="List Paragraph"/>
    <w:basedOn w:val="Normal"/>
    <w:uiPriority w:val="34"/>
    <w:qFormat/>
    <w:rsid w:val="00382E09"/>
    <w:pPr>
      <w:spacing w:after="160" w:line="259" w:lineRule="auto"/>
      <w:ind w:left="720"/>
      <w:contextualSpacing/>
    </w:pPr>
    <w:rPr>
      <w:rFonts w:asciiTheme="minorHAnsi" w:eastAsiaTheme="minorHAnsi" w:hAnsiTheme="minorHAnsi"/>
      <w:sz w:val="22"/>
      <w:lang w:val="pt-BR"/>
    </w:rPr>
  </w:style>
  <w:style w:type="character" w:styleId="nfaseIntensa">
    <w:name w:val="Intense Emphasis"/>
    <w:basedOn w:val="Fontepargpadro"/>
    <w:uiPriority w:val="21"/>
    <w:qFormat/>
    <w:rsid w:val="00382E09"/>
    <w:rPr>
      <w:i/>
      <w:iCs/>
      <w:color w:val="0F4761" w:themeColor="accent1" w:themeShade="BF"/>
    </w:rPr>
  </w:style>
  <w:style w:type="paragraph" w:styleId="CitaoIntensa">
    <w:name w:val="Intense Quote"/>
    <w:basedOn w:val="Normal"/>
    <w:next w:val="Normal"/>
    <w:link w:val="CitaoIntensaChar"/>
    <w:uiPriority w:val="30"/>
    <w:qFormat/>
    <w:rsid w:val="00382E0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sz w:val="22"/>
      <w:lang w:val="pt-BR"/>
    </w:rPr>
  </w:style>
  <w:style w:type="character" w:customStyle="1" w:styleId="CitaoIntensaChar">
    <w:name w:val="Citação Intensa Char"/>
    <w:basedOn w:val="Fontepargpadro"/>
    <w:link w:val="CitaoIntensa"/>
    <w:uiPriority w:val="30"/>
    <w:rsid w:val="00382E09"/>
    <w:rPr>
      <w:i/>
      <w:iCs/>
      <w:color w:val="0F4761" w:themeColor="accent1" w:themeShade="BF"/>
    </w:rPr>
  </w:style>
  <w:style w:type="character" w:styleId="RefernciaIntensa">
    <w:name w:val="Intense Reference"/>
    <w:basedOn w:val="Fontepargpadro"/>
    <w:uiPriority w:val="32"/>
    <w:qFormat/>
    <w:rsid w:val="00382E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8795</Words>
  <Characters>47499</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 B Costa</dc:creator>
  <cp:keywords/>
  <dc:description/>
  <cp:lastModifiedBy>Bernardo B Costa</cp:lastModifiedBy>
  <cp:revision>2</cp:revision>
  <dcterms:created xsi:type="dcterms:W3CDTF">2026-03-10T01:08:00Z</dcterms:created>
  <dcterms:modified xsi:type="dcterms:W3CDTF">2026-03-10T01:08:00Z</dcterms:modified>
</cp:coreProperties>
</file>