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CB5F" w14:textId="42BCB806" w:rsidR="00C95413" w:rsidRDefault="00593D25">
      <w:pPr>
        <w:spacing w:line="360" w:lineRule="auto"/>
        <w:jc w:val="center"/>
      </w:pPr>
      <w:r>
        <w:rPr>
          <w:b/>
          <w:bCs/>
        </w:rPr>
        <w:t xml:space="preserve">CONTROLE JUDICIAL DO DIREITO À CIDADE A PARTIR DA </w:t>
      </w:r>
      <w:r w:rsidRPr="00593D25">
        <w:rPr>
          <w:b/>
          <w:bCs/>
        </w:rPr>
        <w:t>ABORDAGEM DIREITO E POLÍTICAS PÚBLICAS (DPP)</w:t>
      </w:r>
      <w:r>
        <w:rPr>
          <w:b/>
          <w:bCs/>
        </w:rPr>
        <w:t xml:space="preserve"> </w:t>
      </w:r>
    </w:p>
    <w:p w14:paraId="7023E42F" w14:textId="77777777" w:rsidR="00C95413" w:rsidRDefault="00C95413">
      <w:pPr>
        <w:spacing w:line="360" w:lineRule="auto"/>
      </w:pPr>
    </w:p>
    <w:p w14:paraId="570BAD6D" w14:textId="77777777" w:rsidR="000C7561" w:rsidRDefault="000C7561">
      <w:pPr>
        <w:spacing w:line="360" w:lineRule="auto"/>
      </w:pPr>
    </w:p>
    <w:p w14:paraId="63CE4950" w14:textId="493C18B8" w:rsidR="000C7561" w:rsidRDefault="000C7561" w:rsidP="0028119E">
      <w:pPr>
        <w:spacing w:line="360" w:lineRule="auto"/>
        <w:jc w:val="both"/>
      </w:pPr>
      <w:r>
        <w:t>NOME DOS PROPONENTES:</w:t>
      </w:r>
    </w:p>
    <w:p w14:paraId="4B246269" w14:textId="105D22EB" w:rsidR="000C7561" w:rsidRDefault="000C7561" w:rsidP="0028119E">
      <w:pPr>
        <w:pStyle w:val="PargrafodaLista"/>
        <w:numPr>
          <w:ilvl w:val="0"/>
          <w:numId w:val="4"/>
        </w:numPr>
        <w:spacing w:line="360" w:lineRule="auto"/>
        <w:ind w:left="0" w:firstLine="0"/>
        <w:jc w:val="both"/>
      </w:pPr>
      <w:r>
        <w:t>Alexandra Fuchs de Araújo</w:t>
      </w:r>
    </w:p>
    <w:p w14:paraId="20ABF33B" w14:textId="7EA63D5F" w:rsidR="000C7561" w:rsidRDefault="000C7561" w:rsidP="0028119E">
      <w:pPr>
        <w:spacing w:line="360" w:lineRule="auto"/>
        <w:jc w:val="both"/>
      </w:pPr>
      <w:r>
        <w:t>Doutora em Direito do Estado pela Universidade de São Paulo – Pesquisadora vinculada à Universidade de São Paulo</w:t>
      </w:r>
    </w:p>
    <w:p w14:paraId="0FDD3079" w14:textId="5280C5F3" w:rsidR="000C7561" w:rsidRDefault="000C7561" w:rsidP="0028119E">
      <w:pPr>
        <w:pStyle w:val="PargrafodaLista"/>
        <w:numPr>
          <w:ilvl w:val="0"/>
          <w:numId w:val="4"/>
        </w:numPr>
        <w:spacing w:line="360" w:lineRule="auto"/>
        <w:ind w:left="0" w:firstLine="0"/>
        <w:jc w:val="both"/>
      </w:pPr>
      <w:r>
        <w:t xml:space="preserve">Rosane de Almeida </w:t>
      </w:r>
      <w:proofErr w:type="spellStart"/>
      <w:r>
        <w:t>Tierno</w:t>
      </w:r>
      <w:proofErr w:type="spellEnd"/>
    </w:p>
    <w:p w14:paraId="04945878" w14:textId="75CE77BD" w:rsidR="000C7561" w:rsidRDefault="000C7561" w:rsidP="0028119E">
      <w:pPr>
        <w:spacing w:line="360" w:lineRule="auto"/>
        <w:jc w:val="both"/>
      </w:pPr>
      <w:r>
        <w:t xml:space="preserve">Mestre pela Faculdade de Arquitetura e Urbanismo </w:t>
      </w:r>
      <w:r w:rsidRPr="000C7561">
        <w:t>pela Universidade de São Paulo – Pesquisadora vinculada ao Laboratório de Habitação e Assentamentos Humanos (</w:t>
      </w:r>
      <w:proofErr w:type="spellStart"/>
      <w:r w:rsidRPr="000C7561">
        <w:t>LabHab</w:t>
      </w:r>
      <w:proofErr w:type="spellEnd"/>
      <w:r w:rsidRPr="000C7561">
        <w:t>) da Faculdade de Arquitetura e Urbanismo da USP</w:t>
      </w:r>
    </w:p>
    <w:p w14:paraId="73EB123C" w14:textId="2769FB78" w:rsidR="000C7561" w:rsidRPr="0028119E" w:rsidRDefault="009363EF" w:rsidP="0028119E">
      <w:pPr>
        <w:spacing w:line="360" w:lineRule="auto"/>
        <w:jc w:val="both"/>
        <w:rPr>
          <w:b/>
          <w:bCs/>
        </w:rPr>
      </w:pPr>
      <w:r w:rsidRPr="0028119E">
        <w:rPr>
          <w:b/>
          <w:bCs/>
        </w:rPr>
        <w:t>Tema 4: Controle Jurídico de Políticas Públicas</w:t>
      </w:r>
    </w:p>
    <w:p w14:paraId="584DB7C6" w14:textId="77777777" w:rsidR="000C7561" w:rsidRDefault="000C7561">
      <w:pPr>
        <w:spacing w:line="360" w:lineRule="auto"/>
      </w:pPr>
    </w:p>
    <w:p w14:paraId="0113463D" w14:textId="77777777" w:rsidR="00C95413" w:rsidRDefault="00C95413">
      <w:pPr>
        <w:spacing w:line="360" w:lineRule="auto"/>
      </w:pPr>
    </w:p>
    <w:p w14:paraId="07799E2C" w14:textId="5D04DD4D" w:rsidR="001460D8" w:rsidRPr="001460D8" w:rsidRDefault="001460D8" w:rsidP="001460D8">
      <w:pPr>
        <w:spacing w:before="60" w:after="120" w:line="276" w:lineRule="auto"/>
        <w:jc w:val="both"/>
        <w:rPr>
          <w:rFonts w:eastAsia="Calibri"/>
        </w:rPr>
      </w:pPr>
      <w:r w:rsidRPr="001460D8">
        <w:rPr>
          <w:rFonts w:eastAsia="Calibri"/>
        </w:rPr>
        <w:t xml:space="preserve">Resumo: A judicialização de direitos sociais no Brasil, notadamente o direito à moradia e à cidade, tem imposto ao Poder Judiciário o desafio de ir além da mera declaração de direitos, exigindo a indução de ações estatais complexas. Este artigo analisa a aplicação da abordagem Direito e Políticas Públicas (DPP) como ferramenta para a análise estrutural de decisões judiciais em matéria urbanística, focando na realidade da fragmentação institucional e da ineficácia das políticas públicas em São Paulo. Partindo da premissa de que o Judiciário, ao invés de substituir a administração, deve atuar como catalisador de processos dialógicos e coordenados, investiga-se como a abordagem DPP pode auxiliar na análise do controle judicial na fase de cumprimento de sentença, em ações estruturais, que demandam intervenções complexas e multifacetadas, especialmente em contextos de moradia de baixa renda e áreas de risco. A pesquisa explora a dinâmica dos arranjos institucionais nos níveis macro, </w:t>
      </w:r>
      <w:proofErr w:type="spellStart"/>
      <w:r w:rsidRPr="001460D8">
        <w:rPr>
          <w:rFonts w:eastAsia="Calibri"/>
        </w:rPr>
        <w:t>meso</w:t>
      </w:r>
      <w:proofErr w:type="spellEnd"/>
      <w:r w:rsidRPr="001460D8">
        <w:rPr>
          <w:rFonts w:eastAsia="Calibri"/>
        </w:rPr>
        <w:t xml:space="preserve"> e micro, evidenciando a fragmentação judicial em moradias de baixa renda em São Paulo. Através da análise de casos emblemáticos, elabora-se roteiros para a análise de ações judiciais em fase de cumprimento, com a finalidade de melhor compreender seu papel na efetivação do direito à cidade e na transformação institucional do Poder Judiciário no cumprimento de decisões desta natureza. Conclui-se que a adoção de técnicas decisórias inovadoras, como a DPP, é crucial para a construção de soluções sustentáveis e para a superação da fragmentação que historicamente marca a atuação judicial e administrativa no campo urbanístico, configurando-se como uma solução policêntrica para a judicialização urbana.</w:t>
      </w:r>
    </w:p>
    <w:p w14:paraId="5FB5B907" w14:textId="47A76CB4" w:rsidR="001460D8" w:rsidRPr="001460D8" w:rsidRDefault="001460D8" w:rsidP="001460D8">
      <w:pPr>
        <w:spacing w:before="60" w:after="120" w:line="276" w:lineRule="auto"/>
        <w:jc w:val="both"/>
        <w:rPr>
          <w:rFonts w:eastAsia="Calibri"/>
        </w:rPr>
      </w:pPr>
      <w:r w:rsidRPr="001460D8">
        <w:rPr>
          <w:rFonts w:eastAsia="Calibri"/>
        </w:rPr>
        <w:br/>
        <w:t xml:space="preserve">Palavras-chave: Controle judicial; Direito à cidade; Execução estrutural; Diálogo Público Participativo; </w:t>
      </w:r>
      <w:r w:rsidR="00F01B7C" w:rsidRPr="00F01B7C">
        <w:rPr>
          <w:rFonts w:eastAsia="Calibri"/>
        </w:rPr>
        <w:t>abordagem Direito e Políticas Públicas (DPP)</w:t>
      </w:r>
      <w:r w:rsidR="00F01B7C">
        <w:rPr>
          <w:rFonts w:eastAsia="Calibri"/>
        </w:rPr>
        <w:t>.</w:t>
      </w:r>
    </w:p>
    <w:p w14:paraId="7E7A9C9D" w14:textId="77777777" w:rsidR="00C95413" w:rsidRDefault="00C95413">
      <w:pPr>
        <w:spacing w:line="360" w:lineRule="auto"/>
      </w:pPr>
    </w:p>
    <w:p w14:paraId="708C87EC" w14:textId="11E65B76" w:rsidR="00967345" w:rsidRDefault="001E52BB" w:rsidP="00B74A75">
      <w:pPr>
        <w:pStyle w:val="PargrafodaLista"/>
        <w:numPr>
          <w:ilvl w:val="0"/>
          <w:numId w:val="2"/>
        </w:numPr>
        <w:spacing w:line="360" w:lineRule="auto"/>
        <w:ind w:left="284" w:hanging="284"/>
      </w:pPr>
      <w:r>
        <w:rPr>
          <w:b/>
          <w:bCs/>
        </w:rPr>
        <w:lastRenderedPageBreak/>
        <w:t>INTRODUÇÃO</w:t>
      </w:r>
    </w:p>
    <w:p w14:paraId="46201911" w14:textId="77777777" w:rsidR="00CC5730" w:rsidRDefault="00CC5730" w:rsidP="002E1773">
      <w:pPr>
        <w:spacing w:line="360" w:lineRule="auto"/>
        <w:ind w:firstLine="1418"/>
        <w:jc w:val="both"/>
      </w:pPr>
    </w:p>
    <w:p w14:paraId="212FFD1A" w14:textId="77777777" w:rsidR="00CC5730" w:rsidRDefault="002E1773" w:rsidP="002E1773">
      <w:pPr>
        <w:spacing w:line="360" w:lineRule="auto"/>
        <w:ind w:firstLine="1418"/>
        <w:jc w:val="both"/>
      </w:pPr>
      <w:r>
        <w:t xml:space="preserve">A crescente judicialização de direitos sociais no Brasil, um fenômeno que reflete a inércia ou a insuficiência das políticas públicas em diversas esferas, tem imposto ao Poder Judiciário uma redefinição de seu papel tradicional. </w:t>
      </w:r>
    </w:p>
    <w:p w14:paraId="4C12E379" w14:textId="08C35D9F" w:rsidR="00CC5730" w:rsidRDefault="002E1773" w:rsidP="002E1773">
      <w:pPr>
        <w:spacing w:line="360" w:lineRule="auto"/>
        <w:ind w:firstLine="1418"/>
        <w:jc w:val="both"/>
      </w:pPr>
      <w:r>
        <w:t>No campo do direito urbanístico, essa tendência é particularmente acentuada, com demandas que buscam a efetivação do direito à moradia digna, ao saneamento básico, ao transporte e a um ambiente urbano equilibrado, todos componentes essenciais do que se convencionou chamar de “direito à cidade</w:t>
      </w:r>
      <w:r w:rsidR="00CC5730">
        <w:t>”</w:t>
      </w:r>
      <w:r w:rsidR="00E27930">
        <w:t xml:space="preserve"> (MILANO, 2017, </w:t>
      </w:r>
      <w:r w:rsidR="008F6850">
        <w:t xml:space="preserve">p. </w:t>
      </w:r>
      <w:r w:rsidR="00E27930">
        <w:t>242; HARVEY; 201</w:t>
      </w:r>
      <w:r w:rsidR="00B7645F">
        <w:t>4</w:t>
      </w:r>
      <w:r w:rsidR="00E27930">
        <w:t>)</w:t>
      </w:r>
    </w:p>
    <w:p w14:paraId="1915833B" w14:textId="225504A6" w:rsidR="002E1773" w:rsidRDefault="002E1773" w:rsidP="00C73896">
      <w:pPr>
        <w:spacing w:line="360" w:lineRule="auto"/>
        <w:ind w:firstLine="1418"/>
        <w:jc w:val="both"/>
      </w:pPr>
      <w:r>
        <w:t>Contudo, a complexidade inerente a essas questões, que envolvem múltiplos atores</w:t>
      </w:r>
      <w:r w:rsidR="00B7645F">
        <w:t xml:space="preserve"> (MARQUES; 2913, </w:t>
      </w:r>
      <w:r w:rsidR="008F6850">
        <w:t xml:space="preserve">pp. </w:t>
      </w:r>
      <w:r w:rsidR="00B7645F">
        <w:t>40 e 45)</w:t>
      </w:r>
      <w:r>
        <w:t>, interesses difusos e a necessidade de coordenação intersetorial, frequentemente excede a capacidade das ferramentas judiciais clássicas, resultando em decisões de difícil implementação e, por vezes, em uma mera declaração formal de direitos sem a correspondente transformação material da realidade social (CAPPELLETTI</w:t>
      </w:r>
      <w:r w:rsidR="00DE3FED">
        <w:t>, 1993).</w:t>
      </w:r>
    </w:p>
    <w:p w14:paraId="6958328B" w14:textId="6CC1661F" w:rsidR="002E1773" w:rsidRDefault="002E1773" w:rsidP="00C73896">
      <w:pPr>
        <w:spacing w:line="360" w:lineRule="auto"/>
        <w:ind w:firstLine="1418"/>
        <w:jc w:val="both"/>
      </w:pPr>
      <w:r>
        <w:t xml:space="preserve"> Nesse contexto, a presente pesquisa justifica-se pela urgência em se desenvolver e aplicar metodologias que permitam ao </w:t>
      </w:r>
      <w:r w:rsidR="00E23CA0">
        <w:t xml:space="preserve">Poder </w:t>
      </w:r>
      <w:r>
        <w:t xml:space="preserve">Judiciário transcender a lógica binária do litígio e atuar como um indutor de políticas públicas eficazes, e ao mesmo tempo disponibilizar ao pesquisador instrumentos para compreender melhor a fase de cumprimento da decisão judicial em processos que envolvem o meio urbano. </w:t>
      </w:r>
    </w:p>
    <w:p w14:paraId="7797DC9A" w14:textId="77777777" w:rsidR="002E1773" w:rsidRDefault="002E1773" w:rsidP="002E1773">
      <w:pPr>
        <w:spacing w:line="360" w:lineRule="auto"/>
        <w:ind w:firstLine="1418"/>
        <w:jc w:val="both"/>
      </w:pPr>
      <w:r>
        <w:t xml:space="preserve">A mera imposição de obrigações de fazer ou não fazer, sem a devida consideração das capacidades institucionais e das complexidades técnicas e políticas envolvidas, já se mostrou insuficiente para resolver problemas estruturais como a precariedade habitacional em áreas de risco ou a ausência de regularização fundiária, e o Poder Judiciário tem buscado outras soluções experimentais para o cumprimento de suas decisões. </w:t>
      </w:r>
    </w:p>
    <w:p w14:paraId="17F7058C" w14:textId="097F4616" w:rsidR="002E1773" w:rsidRDefault="002E1773" w:rsidP="002E1773">
      <w:pPr>
        <w:spacing w:line="360" w:lineRule="auto"/>
        <w:ind w:firstLine="1418"/>
        <w:jc w:val="both"/>
      </w:pPr>
      <w:r>
        <w:t>A fragmentação judicial, muitas vezes focada em casos individuais ou em aspectos isolados de um problema sistêmico, agrava a situação, impedindo a formulação de soluções abrangentes e coordenadas, como observado em diversos litígios envolvendo usucapião coletivo ou ações possessórias em São Paulo (ARAUJO, 2023</w:t>
      </w:r>
      <w:r w:rsidR="00E27930">
        <w:t xml:space="preserve">, </w:t>
      </w:r>
      <w:r w:rsidR="00022A8D">
        <w:t xml:space="preserve">p. </w:t>
      </w:r>
      <w:r w:rsidR="00E27930">
        <w:t>218</w:t>
      </w:r>
      <w:r>
        <w:t xml:space="preserve">). A compreensão dos arranjos institucionais existentes, em seus níveis macro, </w:t>
      </w:r>
      <w:proofErr w:type="spellStart"/>
      <w:r>
        <w:t>meso</w:t>
      </w:r>
      <w:proofErr w:type="spellEnd"/>
      <w:r>
        <w:t xml:space="preserve"> e micro, torna-se fundamental para identificar os pontos de estrangulamento e as oportunidades de intervenção judicial que promovam mudanças sistêmicas. A abordagem </w:t>
      </w:r>
      <w:r w:rsidR="006477DC">
        <w:t xml:space="preserve">Direito e Políticas Públicas - </w:t>
      </w:r>
      <w:r>
        <w:t xml:space="preserve">DPP (BUCCI, 2019) oferece um arcabouço teórico robusto para analisar como as instituições </w:t>
      </w:r>
      <w:r>
        <w:lastRenderedPageBreak/>
        <w:t xml:space="preserve">formais e informais moldam a atuação dos atores e a efetividade das políticas públicas, e como o Judiciário pode influenciar esses arranjos. </w:t>
      </w:r>
    </w:p>
    <w:p w14:paraId="7A9C7A3D" w14:textId="77777777" w:rsidR="002E1773" w:rsidRDefault="002E1773" w:rsidP="002E1773">
      <w:pPr>
        <w:spacing w:line="360" w:lineRule="auto"/>
        <w:ind w:firstLine="1418"/>
        <w:jc w:val="both"/>
      </w:pPr>
    </w:p>
    <w:p w14:paraId="25E339E0" w14:textId="77777777" w:rsidR="006477DC" w:rsidRDefault="002E1773" w:rsidP="002E1773">
      <w:pPr>
        <w:spacing w:line="360" w:lineRule="auto"/>
        <w:ind w:firstLine="1418"/>
        <w:jc w:val="both"/>
      </w:pPr>
      <w:r>
        <w:t xml:space="preserve">O problema de pesquisa central que norteia este estudo é: como compreender o papel do controle judicial, na fase de cumprimento de decisões judiciais, e com base na </w:t>
      </w:r>
      <w:r w:rsidR="006477DC" w:rsidRPr="006477DC">
        <w:t xml:space="preserve">abordagem Direito e Políticas Públicas </w:t>
      </w:r>
      <w:r w:rsidR="006477DC">
        <w:t>- DPP</w:t>
      </w:r>
      <w:r>
        <w:t xml:space="preserve">. Este controle pode induzir a ação governamental efetiva e coordenada na implementação de políticas públicas urbanas, especialmente no que tange ao direito à moradia de baixa renda e à regularização de áreas de risco na cidade de São Paulo, superando a fragmentação institucional e a ineficácia das abordagens tradicionais? </w:t>
      </w:r>
    </w:p>
    <w:p w14:paraId="600A60B5" w14:textId="38BFD272" w:rsidR="002E1773" w:rsidRDefault="002E1773" w:rsidP="002E1773">
      <w:pPr>
        <w:spacing w:line="360" w:lineRule="auto"/>
        <w:ind w:firstLine="1418"/>
        <w:jc w:val="both"/>
      </w:pPr>
      <w:r>
        <w:t>A questão</w:t>
      </w:r>
      <w:r w:rsidR="006477DC">
        <w:t xml:space="preserve"> principal que se pretende responder com este estudo</w:t>
      </w:r>
      <w:r>
        <w:t xml:space="preserve"> </w:t>
      </w:r>
      <w:r w:rsidR="006477DC">
        <w:t xml:space="preserve">se divide em duas: primeiramente, é relevante compreender se o Poder </w:t>
      </w:r>
      <w:r>
        <w:t xml:space="preserve"> Judiciário pode, sem invadir a esfera de competência dos demais poderes, catalisar a ação governamental e promover a efetivação de direitos complexos, que demandam soluções policêntricas e adaptativas</w:t>
      </w:r>
      <w:r w:rsidR="006477DC">
        <w:t>; em segundo lugar, é importante avaliar se a forma como se realiza o estudo do controle judicial de políticas públicas leva em conta a forma como as decisões proferidas pelo Poder Judiciário são implementadas na prática.</w:t>
      </w:r>
    </w:p>
    <w:p w14:paraId="0805729C" w14:textId="7687509C" w:rsidR="00F31F89" w:rsidRDefault="002E1773" w:rsidP="002E1773">
      <w:pPr>
        <w:spacing w:line="360" w:lineRule="auto"/>
        <w:ind w:firstLine="1418"/>
        <w:jc w:val="both"/>
      </w:pPr>
      <w:r>
        <w:t>Diante desse cenário, o objetivo geral deste artigo é</w:t>
      </w:r>
      <w:r w:rsidR="00E74547">
        <w:t xml:space="preserve">, em primeiro lugar, apresentar </w:t>
      </w:r>
      <w:r>
        <w:t xml:space="preserve">a potencialidade da execução estrutural, </w:t>
      </w:r>
      <w:r w:rsidR="00681630">
        <w:t xml:space="preserve">descrito por VITORELLI (2017, </w:t>
      </w:r>
      <w:r w:rsidR="00022A8D">
        <w:t xml:space="preserve">p. </w:t>
      </w:r>
      <w:r w:rsidR="00681630">
        <w:t xml:space="preserve">369) como aquele </w:t>
      </w:r>
      <w:r w:rsidR="00F31F89">
        <w:t xml:space="preserve">se caracteriza como </w:t>
      </w:r>
      <w:r w:rsidR="00F31F89" w:rsidRPr="00F31F89">
        <w:t xml:space="preserve">um conflito de elevada complexidade e multipolaridade, que transcende a visão clássica autor-réu ao envolver diversos centros de interesse em alianças e oposições variáveis. Sua essência reside na implementação jurisdicional de valores públicos fundamentais que falharam em se concretizar espontaneamente na sociedade, assemelhando-se ao conceito norte-americano de </w:t>
      </w:r>
      <w:proofErr w:type="spellStart"/>
      <w:r w:rsidR="00F31F89" w:rsidRPr="00F31F89">
        <w:rPr>
          <w:i/>
          <w:iCs/>
        </w:rPr>
        <w:t>public</w:t>
      </w:r>
      <w:proofErr w:type="spellEnd"/>
      <w:r w:rsidR="00F31F89" w:rsidRPr="00F31F89">
        <w:rPr>
          <w:i/>
          <w:iCs/>
        </w:rPr>
        <w:t xml:space="preserve"> </w:t>
      </w:r>
      <w:proofErr w:type="spellStart"/>
      <w:r w:rsidR="00F31F89" w:rsidRPr="00F31F89">
        <w:rPr>
          <w:i/>
          <w:iCs/>
        </w:rPr>
        <w:t>law</w:t>
      </w:r>
      <w:proofErr w:type="spellEnd"/>
      <w:r w:rsidR="00F31F89" w:rsidRPr="00F31F89">
        <w:rPr>
          <w:i/>
          <w:iCs/>
        </w:rPr>
        <w:t xml:space="preserve"> </w:t>
      </w:r>
      <w:proofErr w:type="spellStart"/>
      <w:r w:rsidR="00F31F89" w:rsidRPr="00F31F89">
        <w:rPr>
          <w:i/>
          <w:iCs/>
        </w:rPr>
        <w:t>litigation</w:t>
      </w:r>
      <w:proofErr w:type="spellEnd"/>
      <w:r w:rsidR="00F31F89" w:rsidRPr="00F31F89">
        <w:t>.</w:t>
      </w:r>
    </w:p>
    <w:p w14:paraId="0D1AAEF3" w14:textId="654DE24C" w:rsidR="00E74547" w:rsidRDefault="00F31F89" w:rsidP="002E1773">
      <w:pPr>
        <w:spacing w:line="360" w:lineRule="auto"/>
        <w:ind w:firstLine="1418"/>
        <w:jc w:val="both"/>
      </w:pPr>
      <w:r w:rsidRPr="00F31F89">
        <w:t>O elemento distintivo desse fenômeno, contudo, é a necessidade de reforma de uma instituição (pública ou privada), pois a violação do direito está intrinsecamente ligada ao funcionamento institucional; assim, a tutela jurídica só é efetiva e autossustentável se for capaz de alterar a estrutura e o comportamento da organização envolvida, superando soluções meramente paliativas ou transitórias</w:t>
      </w:r>
      <w:r>
        <w:t>, motivo pelo qual a</w:t>
      </w:r>
      <w:r w:rsidR="00681630">
        <w:t xml:space="preserve"> </w:t>
      </w:r>
      <w:r w:rsidR="002E1773">
        <w:t xml:space="preserve">mediada pela abordagem </w:t>
      </w:r>
      <w:r>
        <w:t xml:space="preserve">Direito e Políticas Públicas - </w:t>
      </w:r>
      <w:r w:rsidR="002E1773">
        <w:t xml:space="preserve">DPP, </w:t>
      </w:r>
      <w:r>
        <w:t>pode auxiliar o juiz a entender os elementos envolvidos, na medida em que evidencia instituições e arranjos institucionais envolvidos no processo.</w:t>
      </w:r>
    </w:p>
    <w:p w14:paraId="7F2ACBD9" w14:textId="2CB70C32" w:rsidR="00E74547" w:rsidRDefault="00E74547" w:rsidP="002E1773">
      <w:pPr>
        <w:spacing w:line="360" w:lineRule="auto"/>
        <w:ind w:firstLine="1418"/>
        <w:jc w:val="both"/>
      </w:pPr>
      <w:r>
        <w:t xml:space="preserve">Em complementação, pretende-se trazer elementos </w:t>
      </w:r>
      <w:r w:rsidR="00F31F89">
        <w:t>da</w:t>
      </w:r>
      <w:r>
        <w:t xml:space="preserve"> </w:t>
      </w:r>
      <w:r w:rsidR="00F31F89" w:rsidRPr="00F31F89">
        <w:t xml:space="preserve">abordagem Direito e Políticas Públicas - DPP </w:t>
      </w:r>
      <w:r w:rsidR="00F31F89">
        <w:t xml:space="preserve">para aperfeiçoar a forma como se investiga </w:t>
      </w:r>
      <w:r>
        <w:t xml:space="preserve">o controle judicial de políticas públicas, e em especial </w:t>
      </w:r>
      <w:r w:rsidR="00F31F89">
        <w:t xml:space="preserve">o </w:t>
      </w:r>
      <w:r>
        <w:t>das políticas públicas urbanas.</w:t>
      </w:r>
    </w:p>
    <w:p w14:paraId="1A595A3C" w14:textId="1AB21F3B" w:rsidR="002E1773" w:rsidRDefault="002E1773" w:rsidP="002E1773">
      <w:pPr>
        <w:spacing w:line="360" w:lineRule="auto"/>
        <w:ind w:firstLine="1418"/>
        <w:jc w:val="both"/>
      </w:pPr>
      <w:r>
        <w:lastRenderedPageBreak/>
        <w:t xml:space="preserve">Para tanto, os objetivos específicos incluem: (i) contextualizar o fenômeno da judicialização </w:t>
      </w:r>
      <w:r w:rsidR="00B7645F">
        <w:t xml:space="preserve"> e do controle judicial das políticas públicas</w:t>
      </w:r>
      <w:r>
        <w:t>; (</w:t>
      </w:r>
      <w:proofErr w:type="spellStart"/>
      <w:r>
        <w:t>ii</w:t>
      </w:r>
      <w:proofErr w:type="spellEnd"/>
      <w:r>
        <w:t xml:space="preserve">) explorar o conceito e os fundamentos da execução estrutural como </w:t>
      </w:r>
      <w:r w:rsidR="004234A8">
        <w:t>forma</w:t>
      </w:r>
      <w:r>
        <w:t xml:space="preserve"> inovadora para a resolução de litígios complexos</w:t>
      </w:r>
      <w:r w:rsidR="004234A8">
        <w:t>; (</w:t>
      </w:r>
      <w:proofErr w:type="spellStart"/>
      <w:r w:rsidR="004234A8">
        <w:t>iii</w:t>
      </w:r>
      <w:proofErr w:type="spellEnd"/>
      <w:r w:rsidR="004234A8">
        <w:t xml:space="preserve">) apresentar a </w:t>
      </w:r>
      <w:r w:rsidR="004234A8" w:rsidRPr="004234A8">
        <w:t>abordagem Direito e Políticas Públicas - DPP</w:t>
      </w:r>
      <w:r>
        <w:t xml:space="preserve"> em sua dimensão “processo” (ARAUJO</w:t>
      </w:r>
      <w:r w:rsidR="00F33706">
        <w:t>;</w:t>
      </w:r>
      <w:r>
        <w:t xml:space="preserve"> 2023</w:t>
      </w:r>
      <w:r w:rsidR="00F33706">
        <w:t xml:space="preserve">, </w:t>
      </w:r>
      <w:r w:rsidR="00022A8D">
        <w:t xml:space="preserve">p. </w:t>
      </w:r>
      <w:r w:rsidR="00F33706">
        <w:t>167</w:t>
      </w:r>
      <w:r>
        <w:t>)</w:t>
      </w:r>
      <w:r w:rsidR="004234A8">
        <w:t xml:space="preserve"> como um instrumento para o estudo do controle judicial de políticas públicas</w:t>
      </w:r>
      <w:r>
        <w:t>; (</w:t>
      </w:r>
      <w:proofErr w:type="spellStart"/>
      <w:r>
        <w:t>i</w:t>
      </w:r>
      <w:r w:rsidR="004234A8">
        <w:t>v</w:t>
      </w:r>
      <w:proofErr w:type="spellEnd"/>
      <w:r>
        <w:t>) examinar</w:t>
      </w:r>
      <w:r w:rsidR="004234A8">
        <w:t xml:space="preserve">, de forma aplicada, a </w:t>
      </w:r>
      <w:r>
        <w:t xml:space="preserve"> </w:t>
      </w:r>
      <w:r w:rsidR="004234A8" w:rsidRPr="004234A8">
        <w:t xml:space="preserve">abordagem Direito e Políticas Públicas - DPP </w:t>
      </w:r>
      <w:r w:rsidR="004234A8">
        <w:t xml:space="preserve">em relatos </w:t>
      </w:r>
      <w:r>
        <w:t xml:space="preserve">casos práticos de intervenção judicial em São Paulo, avaliando a eficácia da execução estrutural na indução de ações governamentais e na promoção de soluções policêntricas e sustentáveis para a moradia de baixa renda e áreas de risco; e (v) propor </w:t>
      </w:r>
      <w:r w:rsidR="004234A8">
        <w:t>questões sistematizadas para a análise da fase de cumprimento de sentença e acompanhamento de decisões estruturais, que podem servir de subsídio para o estudo do controle judicial de políticas públicas e para a elaboração de decisões estruturais na fase de cumprimento de sentença</w:t>
      </w:r>
      <w:r>
        <w:t>.</w:t>
      </w:r>
    </w:p>
    <w:p w14:paraId="37F163EF" w14:textId="3C6F69A4" w:rsidR="003C2413" w:rsidRDefault="002E1773" w:rsidP="002E1773">
      <w:pPr>
        <w:spacing w:line="360" w:lineRule="auto"/>
        <w:ind w:firstLine="1418"/>
        <w:jc w:val="both"/>
      </w:pPr>
      <w:r>
        <w:t xml:space="preserve"> A abordagem metodológica adotada busca integrar a análise teórica sobre a judicialização e a execução estrutural</w:t>
      </w:r>
      <w:r w:rsidR="00B7645F">
        <w:t xml:space="preserve">, ou “execução negociada” (COSTA; 2016, </w:t>
      </w:r>
      <w:r w:rsidR="00022A8D">
        <w:t xml:space="preserve">p. </w:t>
      </w:r>
      <w:r w:rsidR="00B7645F">
        <w:t>110)</w:t>
      </w:r>
      <w:r>
        <w:t xml:space="preserve"> com a investigação de casos concretos, utilizando a </w:t>
      </w:r>
      <w:r w:rsidR="003C2413" w:rsidRPr="003C2413">
        <w:t xml:space="preserve">abordagem Direito e Políticas Públicas - DPP </w:t>
      </w:r>
      <w:r>
        <w:t xml:space="preserve">como lente analítica principal. </w:t>
      </w:r>
    </w:p>
    <w:p w14:paraId="7E889E54" w14:textId="058ABFFA" w:rsidR="0047528C" w:rsidRDefault="002E1773" w:rsidP="002E1773">
      <w:pPr>
        <w:spacing w:line="360" w:lineRule="auto"/>
        <w:ind w:firstLine="1418"/>
        <w:jc w:val="both"/>
      </w:pPr>
      <w:r>
        <w:t>A pesquisa se insere no debate da demanda estrutural, que quando bem delineada e acompanhada por um processo dialógico e participativo, representa uma via legítima e necessária para a garantia de direitos fundamentais em um Estado Democrático de Direito</w:t>
      </w:r>
      <w:r w:rsidR="0047528C">
        <w:t>, mas também no tema do controle judicial de políticas públicas urbanas.</w:t>
      </w:r>
    </w:p>
    <w:p w14:paraId="193BF25B" w14:textId="44F177AA" w:rsidR="00C95413" w:rsidRDefault="002E1773" w:rsidP="002E1773">
      <w:pPr>
        <w:spacing w:line="360" w:lineRule="auto"/>
        <w:ind w:firstLine="1418"/>
        <w:jc w:val="both"/>
      </w:pPr>
      <w:r>
        <w:t>A relevância do tema é amplificada pela persistência de graves déficits habitacionais e pela crescente vulnerabilidade de populações em áreas urbanas, tornando imperativa a busca por novas técnicas decisórias que possam transformar o Judiciário em um agente efetivo de mudança social, reconfigurando os arranjos institucionais para uma governança urbana mais eficaz.</w:t>
      </w:r>
    </w:p>
    <w:p w14:paraId="7ED4FDC1" w14:textId="77777777" w:rsidR="0057242E" w:rsidRDefault="0057242E" w:rsidP="002E1773">
      <w:pPr>
        <w:spacing w:line="360" w:lineRule="auto"/>
        <w:ind w:firstLine="1418"/>
        <w:jc w:val="both"/>
      </w:pPr>
    </w:p>
    <w:p w14:paraId="2BCD39A4" w14:textId="49400DCB" w:rsidR="00C95413" w:rsidRPr="001F2588" w:rsidRDefault="00E23CA0" w:rsidP="001F2588">
      <w:pPr>
        <w:pStyle w:val="PargrafodaLista"/>
        <w:numPr>
          <w:ilvl w:val="0"/>
          <w:numId w:val="2"/>
        </w:numPr>
        <w:spacing w:line="360" w:lineRule="auto"/>
        <w:rPr>
          <w:b/>
          <w:bCs/>
        </w:rPr>
      </w:pPr>
      <w:r>
        <w:rPr>
          <w:b/>
          <w:bCs/>
        </w:rPr>
        <w:t xml:space="preserve">METODOLOGIA </w:t>
      </w:r>
      <w:r w:rsidR="006C3E52" w:rsidRPr="001F2588">
        <w:rPr>
          <w:b/>
          <w:bCs/>
        </w:rPr>
        <w:t>EMPREGAD</w:t>
      </w:r>
      <w:r>
        <w:rPr>
          <w:b/>
          <w:bCs/>
        </w:rPr>
        <w:t>A</w:t>
      </w:r>
    </w:p>
    <w:p w14:paraId="577DC1DA" w14:textId="77777777" w:rsidR="001F2588" w:rsidRDefault="001F2588" w:rsidP="001F2588">
      <w:pPr>
        <w:pStyle w:val="PargrafodaLista"/>
        <w:spacing w:line="360" w:lineRule="auto"/>
        <w:ind w:left="1778"/>
      </w:pPr>
    </w:p>
    <w:p w14:paraId="43C81F5B" w14:textId="234A3BA4" w:rsidR="0057242E" w:rsidRDefault="0057242E" w:rsidP="0057242E">
      <w:pPr>
        <w:spacing w:before="60" w:after="120" w:line="360" w:lineRule="auto"/>
        <w:ind w:firstLine="1418"/>
        <w:jc w:val="both"/>
        <w:rPr>
          <w:rFonts w:eastAsia="Calibri"/>
        </w:rPr>
      </w:pPr>
      <w:r w:rsidRPr="0057242E">
        <w:rPr>
          <w:rFonts w:eastAsia="Calibri"/>
        </w:rPr>
        <w:t xml:space="preserve">A metodologia empregada nesta pesquisa caracteriza-se por uma abordagem qualitativa, com foco na análise de </w:t>
      </w:r>
      <w:r w:rsidR="001F2588" w:rsidRPr="001F2588">
        <w:rPr>
          <w:rFonts w:eastAsia="Calibri"/>
        </w:rPr>
        <w:t xml:space="preserve">relatos de </w:t>
      </w:r>
      <w:r w:rsidRPr="0057242E">
        <w:rPr>
          <w:rFonts w:eastAsia="Calibri"/>
        </w:rPr>
        <w:t xml:space="preserve">casos e na revisão bibliográfica e documental. O estudo adota uma perspectiva interdisciplinar, combinando elementos do Direito Urbanístico, do Direito Processual Civil, da Ciência Política e da Sociologia Urbana, para compreender a complexidade da judicialização de políticas públicas e a aplicação de mecanismos de execução estrutural. A análise dos arranjos institucionais e da fragmentação judicial é informada pelo </w:t>
      </w:r>
      <w:r w:rsidRPr="0057242E">
        <w:rPr>
          <w:rFonts w:eastAsia="Calibri"/>
        </w:rPr>
        <w:lastRenderedPageBreak/>
        <w:t xml:space="preserve">referencial da </w:t>
      </w:r>
      <w:r w:rsidR="00F33706" w:rsidRPr="00F33706">
        <w:rPr>
          <w:rFonts w:eastAsia="Calibri"/>
        </w:rPr>
        <w:t xml:space="preserve">abordagem Direito e Políticas Públicas - DPP </w:t>
      </w:r>
      <w:r w:rsidRPr="0057242E">
        <w:rPr>
          <w:rFonts w:eastAsia="Calibri"/>
        </w:rPr>
        <w:t>(</w:t>
      </w:r>
      <w:r w:rsidR="003407A6" w:rsidRPr="0057242E">
        <w:rPr>
          <w:rFonts w:eastAsia="Calibri"/>
        </w:rPr>
        <w:t>BUCCI</w:t>
      </w:r>
      <w:r w:rsidRPr="0057242E">
        <w:rPr>
          <w:rFonts w:eastAsia="Calibri"/>
        </w:rPr>
        <w:t>, 2019</w:t>
      </w:r>
      <w:r w:rsidR="003407A6">
        <w:rPr>
          <w:rFonts w:eastAsia="Calibri"/>
        </w:rPr>
        <w:t xml:space="preserve">, </w:t>
      </w:r>
      <w:r w:rsidR="00022A8D">
        <w:rPr>
          <w:rFonts w:eastAsia="Calibri"/>
        </w:rPr>
        <w:t xml:space="preserve">p. </w:t>
      </w:r>
      <w:r w:rsidR="003407A6">
        <w:rPr>
          <w:rFonts w:eastAsia="Calibri"/>
        </w:rPr>
        <w:t>814</w:t>
      </w:r>
      <w:r w:rsidRPr="0057242E">
        <w:rPr>
          <w:rFonts w:eastAsia="Calibri"/>
        </w:rPr>
        <w:t xml:space="preserve">), </w:t>
      </w:r>
      <w:r w:rsidR="001F2588">
        <w:rPr>
          <w:rFonts w:eastAsia="Calibri"/>
        </w:rPr>
        <w:t xml:space="preserve">em especial em sua vertente “processo”. </w:t>
      </w:r>
    </w:p>
    <w:p w14:paraId="1AD4E1E6" w14:textId="693C41CD" w:rsidR="00EF3736" w:rsidRPr="0057242E" w:rsidRDefault="00EF3736" w:rsidP="0057242E">
      <w:pPr>
        <w:spacing w:before="60" w:after="120" w:line="360" w:lineRule="auto"/>
        <w:ind w:firstLine="1418"/>
        <w:jc w:val="both"/>
        <w:rPr>
          <w:rFonts w:eastAsia="Calibri"/>
        </w:rPr>
      </w:pPr>
      <w:r w:rsidRPr="00EF3736">
        <w:rPr>
          <w:rFonts w:eastAsia="Calibri"/>
        </w:rPr>
        <w:t xml:space="preserve">A relação entre as categorias </w:t>
      </w:r>
      <w:r w:rsidR="003407A6">
        <w:rPr>
          <w:rFonts w:eastAsia="Calibri"/>
        </w:rPr>
        <w:t>“</w:t>
      </w:r>
      <w:r w:rsidRPr="00EF3736">
        <w:rPr>
          <w:rFonts w:eastAsia="Calibri"/>
        </w:rPr>
        <w:t>instituição</w:t>
      </w:r>
      <w:r w:rsidR="003407A6">
        <w:rPr>
          <w:rFonts w:eastAsia="Calibri"/>
        </w:rPr>
        <w:t>”</w:t>
      </w:r>
      <w:r w:rsidRPr="00EF3736">
        <w:rPr>
          <w:rFonts w:eastAsia="Calibri"/>
        </w:rPr>
        <w:t xml:space="preserve"> (ação governamental) e </w:t>
      </w:r>
      <w:r w:rsidR="003407A6">
        <w:rPr>
          <w:rFonts w:eastAsia="Calibri"/>
        </w:rPr>
        <w:t>“</w:t>
      </w:r>
      <w:r w:rsidRPr="00EF3736">
        <w:rPr>
          <w:rFonts w:eastAsia="Calibri"/>
        </w:rPr>
        <w:t>processo</w:t>
      </w:r>
      <w:r w:rsidR="003407A6">
        <w:rPr>
          <w:rFonts w:eastAsia="Calibri"/>
        </w:rPr>
        <w:t>”</w:t>
      </w:r>
      <w:r w:rsidRPr="00EF3736">
        <w:rPr>
          <w:rFonts w:eastAsia="Calibri"/>
        </w:rPr>
        <w:t xml:space="preserve"> (como conjunto de processos juridicamente regulados) já foi apontada por </w:t>
      </w:r>
      <w:r w:rsidR="00F33706">
        <w:rPr>
          <w:rFonts w:eastAsia="Calibri"/>
        </w:rPr>
        <w:t xml:space="preserve">BUCCI </w:t>
      </w:r>
      <w:r w:rsidR="00F33706" w:rsidRPr="00F33706">
        <w:rPr>
          <w:rFonts w:eastAsia="Calibri"/>
        </w:rPr>
        <w:t xml:space="preserve">(2013, </w:t>
      </w:r>
      <w:r w:rsidR="00022A8D">
        <w:rPr>
          <w:rFonts w:eastAsia="Calibri"/>
        </w:rPr>
        <w:t xml:space="preserve">p. </w:t>
      </w:r>
      <w:r w:rsidR="00F33706" w:rsidRPr="00F33706">
        <w:rPr>
          <w:rFonts w:eastAsia="Calibri"/>
        </w:rPr>
        <w:t>192</w:t>
      </w:r>
      <w:r w:rsidR="00F33706">
        <w:rPr>
          <w:rFonts w:eastAsia="Calibri"/>
        </w:rPr>
        <w:t>)</w:t>
      </w:r>
      <w:r w:rsidR="00AA3001">
        <w:rPr>
          <w:rFonts w:eastAsia="Calibri"/>
        </w:rPr>
        <w:t xml:space="preserve">, e no estudo do controle judicial de políticas públicas, é complexo compreender as condições em que surge a judicialização de uma política pública e seus efeitos na ação governamental. </w:t>
      </w:r>
    </w:p>
    <w:p w14:paraId="1DB76BCE" w14:textId="10519A4B" w:rsidR="003407A6" w:rsidRDefault="00E27930" w:rsidP="0057242E">
      <w:pPr>
        <w:spacing w:before="60" w:after="120" w:line="360" w:lineRule="auto"/>
        <w:ind w:firstLine="1418"/>
        <w:jc w:val="both"/>
        <w:rPr>
          <w:rFonts w:eastAsia="Calibri"/>
        </w:rPr>
      </w:pPr>
      <w:r>
        <w:rPr>
          <w:rFonts w:eastAsia="Calibri"/>
        </w:rPr>
        <w:t xml:space="preserve">Com os objetivos </w:t>
      </w:r>
      <w:r w:rsidR="005C056D">
        <w:rPr>
          <w:rFonts w:eastAsia="Calibri"/>
        </w:rPr>
        <w:t>de compreender melhor esta interrelação no controle judicial de políticas urbanas vinculadas ao direito à cidade</w:t>
      </w:r>
      <w:r>
        <w:rPr>
          <w:rFonts w:eastAsia="Calibri"/>
        </w:rPr>
        <w:t>, f</w:t>
      </w:r>
      <w:r w:rsidR="00F33706">
        <w:rPr>
          <w:rFonts w:eastAsia="Calibri"/>
        </w:rPr>
        <w:t>oram selecionados quatro</w:t>
      </w:r>
      <w:r w:rsidR="0057242E" w:rsidRPr="0057242E">
        <w:rPr>
          <w:rFonts w:eastAsia="Calibri"/>
        </w:rPr>
        <w:t xml:space="preserve"> casos emblemáticos de judicialização de </w:t>
      </w:r>
      <w:r w:rsidR="005C056D">
        <w:rPr>
          <w:rFonts w:eastAsia="Calibri"/>
        </w:rPr>
        <w:t>dessas políticas</w:t>
      </w:r>
      <w:r w:rsidR="0057242E" w:rsidRPr="0057242E">
        <w:rPr>
          <w:rFonts w:eastAsia="Calibri"/>
        </w:rPr>
        <w:t xml:space="preserve"> na cidade de São Paulo. Os casos foram escolhidos por sua representatividade em relação aos desafios </w:t>
      </w:r>
      <w:r w:rsidR="00F33706">
        <w:rPr>
          <w:rFonts w:eastAsia="Calibri"/>
        </w:rPr>
        <w:t>na fase de cumprimento de sentença. Tratam de temas diversos, como moradia popular, meio ambiente, licitação, participação democrática, todos de alguma forma vinculados ao direito urbanístico.</w:t>
      </w:r>
    </w:p>
    <w:p w14:paraId="7C087767" w14:textId="2598EB57" w:rsidR="0057242E" w:rsidRPr="0057242E" w:rsidRDefault="0057242E" w:rsidP="0057242E">
      <w:pPr>
        <w:spacing w:before="60" w:after="120" w:line="360" w:lineRule="auto"/>
        <w:ind w:firstLine="1418"/>
        <w:jc w:val="both"/>
        <w:rPr>
          <w:rFonts w:eastAsia="Calibri"/>
        </w:rPr>
      </w:pPr>
      <w:r w:rsidRPr="0057242E">
        <w:rPr>
          <w:rFonts w:eastAsia="Calibri"/>
        </w:rPr>
        <w:t xml:space="preserve">A análise documental incluiu sentenças, acórdãos, termos de ajustamento de conduta (TACs), planos de trabalho e relatórios de acompanhamento processual, buscando identificar as estratégias adotadas pelo Poder Judiciário e pelos demais atores envolvidos, bem como a conformação dos arranjos institucionais nos níveis </w:t>
      </w:r>
      <w:proofErr w:type="spellStart"/>
      <w:r w:rsidRPr="0057242E">
        <w:rPr>
          <w:rFonts w:eastAsia="Calibri"/>
        </w:rPr>
        <w:t>meso</w:t>
      </w:r>
      <w:proofErr w:type="spellEnd"/>
      <w:r w:rsidRPr="0057242E">
        <w:rPr>
          <w:rFonts w:eastAsia="Calibri"/>
        </w:rPr>
        <w:t xml:space="preserve"> e micro</w:t>
      </w:r>
      <w:r w:rsidR="00F73B35">
        <w:rPr>
          <w:rFonts w:eastAsia="Calibri"/>
        </w:rPr>
        <w:t xml:space="preserve"> institucionais durante o percurso do processo judicial</w:t>
      </w:r>
      <w:r w:rsidRPr="0057242E">
        <w:rPr>
          <w:rFonts w:eastAsia="Calibri"/>
        </w:rPr>
        <w:t xml:space="preserve">. </w:t>
      </w:r>
    </w:p>
    <w:p w14:paraId="564FF0F8" w14:textId="484B463E" w:rsidR="00B65AC7" w:rsidRDefault="0057242E" w:rsidP="0057242E">
      <w:pPr>
        <w:spacing w:before="60" w:after="120" w:line="360" w:lineRule="auto"/>
        <w:ind w:firstLine="1418"/>
        <w:jc w:val="both"/>
        <w:rPr>
          <w:rFonts w:eastAsia="Calibri"/>
        </w:rPr>
      </w:pPr>
      <w:r w:rsidRPr="0057242E">
        <w:rPr>
          <w:rFonts w:eastAsia="Calibri"/>
        </w:rPr>
        <w:t xml:space="preserve"> A sistematização das informações obtidas nos casos foi realizada por meio de </w:t>
      </w:r>
      <w:r w:rsidR="00B65AC7">
        <w:rPr>
          <w:rFonts w:eastAsia="Calibri"/>
        </w:rPr>
        <w:t xml:space="preserve">relatos de casos, sistematizados com base em </w:t>
      </w:r>
      <w:r w:rsidRPr="0057242E">
        <w:rPr>
          <w:rFonts w:eastAsia="Calibri"/>
        </w:rPr>
        <w:t>uma matriz de análise</w:t>
      </w:r>
      <w:r w:rsidR="00F73B35">
        <w:rPr>
          <w:rFonts w:eastAsia="Calibri"/>
        </w:rPr>
        <w:t xml:space="preserve"> com elementos do método de estudo transversal</w:t>
      </w:r>
      <w:r w:rsidR="00F73B35">
        <w:rPr>
          <w:rStyle w:val="Refdenotaderodap"/>
          <w:rFonts w:eastAsia="Calibri"/>
        </w:rPr>
        <w:footnoteReference w:id="1"/>
      </w:r>
      <w:r w:rsidR="00F73B35">
        <w:rPr>
          <w:rFonts w:eastAsia="Calibri"/>
        </w:rPr>
        <w:t xml:space="preserve">, </w:t>
      </w:r>
      <w:r w:rsidRPr="0057242E">
        <w:rPr>
          <w:rFonts w:eastAsia="Calibri"/>
        </w:rPr>
        <w:t xml:space="preserve"> </w:t>
      </w:r>
      <w:r w:rsidR="001A42F0">
        <w:rPr>
          <w:rFonts w:eastAsia="Calibri"/>
        </w:rPr>
        <w:t xml:space="preserve">e </w:t>
      </w:r>
      <w:r w:rsidRPr="0057242E">
        <w:rPr>
          <w:rFonts w:eastAsia="Calibri"/>
        </w:rPr>
        <w:t xml:space="preserve">considerou as </w:t>
      </w:r>
      <w:r w:rsidR="00CE5BAF">
        <w:rPr>
          <w:rFonts w:eastAsia="Calibri"/>
        </w:rPr>
        <w:t>“</w:t>
      </w:r>
      <w:r w:rsidRPr="0057242E">
        <w:rPr>
          <w:rFonts w:eastAsia="Calibri"/>
        </w:rPr>
        <w:t>variáveis críticas transversais</w:t>
      </w:r>
      <w:r w:rsidR="00CE5BAF">
        <w:rPr>
          <w:rFonts w:eastAsia="Calibri"/>
        </w:rPr>
        <w:t>”</w:t>
      </w:r>
      <w:r w:rsidRPr="0057242E">
        <w:rPr>
          <w:rFonts w:eastAsia="Calibri"/>
        </w:rPr>
        <w:t xml:space="preserve"> identificadas</w:t>
      </w:r>
      <w:r w:rsidR="0028119E">
        <w:rPr>
          <w:rFonts w:eastAsia="Calibri"/>
        </w:rPr>
        <w:t>.</w:t>
      </w:r>
      <w:r w:rsidRPr="0057242E">
        <w:rPr>
          <w:rFonts w:eastAsia="Calibri"/>
        </w:rPr>
        <w:t xml:space="preserve"> </w:t>
      </w:r>
    </w:p>
    <w:p w14:paraId="6BD99EEE" w14:textId="4676CAD4" w:rsidR="0057242E" w:rsidRPr="0057242E" w:rsidRDefault="0057242E" w:rsidP="0057242E">
      <w:pPr>
        <w:spacing w:before="60" w:after="120" w:line="360" w:lineRule="auto"/>
        <w:ind w:firstLine="1418"/>
        <w:jc w:val="both"/>
        <w:rPr>
          <w:rFonts w:eastAsia="Calibri"/>
        </w:rPr>
      </w:pPr>
      <w:r w:rsidRPr="0057242E">
        <w:rPr>
          <w:rFonts w:eastAsia="Calibri"/>
        </w:rPr>
        <w:t xml:space="preserve">Essa matriz permitiu a comparação entre os casos e a identificação de padrões e particularidades na aplicação da execução estrutural e da abordagem DPP, especialmente no que se refere ao tempo de tramitação, uso de tecnologia, participação dos atores sociais e políticos, e a capacidade de indução de mudanças nos arranjos institucionais. </w:t>
      </w:r>
    </w:p>
    <w:p w14:paraId="16B2FBB0" w14:textId="3C4A6975" w:rsidR="0057242E" w:rsidRPr="0057242E" w:rsidRDefault="0057242E" w:rsidP="0057242E">
      <w:pPr>
        <w:spacing w:before="60" w:after="120" w:line="360" w:lineRule="auto"/>
        <w:ind w:firstLine="1418"/>
        <w:jc w:val="both"/>
        <w:rPr>
          <w:rFonts w:eastAsia="Calibri"/>
        </w:rPr>
      </w:pPr>
      <w:r w:rsidRPr="0057242E">
        <w:rPr>
          <w:rFonts w:eastAsia="Calibri"/>
        </w:rPr>
        <w:t xml:space="preserve"> A </w:t>
      </w:r>
      <w:r w:rsidR="00CC5730" w:rsidRPr="00CC5730">
        <w:rPr>
          <w:rFonts w:eastAsia="Calibri"/>
        </w:rPr>
        <w:t>abordagem Direito e Políticas Públicas - DPP</w:t>
      </w:r>
      <w:r w:rsidRPr="0057242E">
        <w:rPr>
          <w:rFonts w:eastAsia="Calibri"/>
        </w:rPr>
        <w:t xml:space="preserve">, conforme proposta por </w:t>
      </w:r>
      <w:r w:rsidR="00CC5730" w:rsidRPr="0057242E">
        <w:rPr>
          <w:rFonts w:eastAsia="Calibri"/>
        </w:rPr>
        <w:t xml:space="preserve">BUCCI </w:t>
      </w:r>
      <w:r w:rsidRPr="0057242E">
        <w:rPr>
          <w:rFonts w:eastAsia="Calibri"/>
        </w:rPr>
        <w:t>(2019</w:t>
      </w:r>
      <w:r w:rsidR="003407A6">
        <w:rPr>
          <w:rFonts w:eastAsia="Calibri"/>
        </w:rPr>
        <w:t xml:space="preserve">; </w:t>
      </w:r>
      <w:r w:rsidR="00022A8D">
        <w:rPr>
          <w:rFonts w:eastAsia="Calibri"/>
        </w:rPr>
        <w:t xml:space="preserve">p. </w:t>
      </w:r>
      <w:r w:rsidR="003407A6">
        <w:rPr>
          <w:rFonts w:eastAsia="Calibri"/>
        </w:rPr>
        <w:t>791-832</w:t>
      </w:r>
      <w:r w:rsidRPr="0057242E">
        <w:rPr>
          <w:rFonts w:eastAsia="Calibri"/>
        </w:rPr>
        <w:t>) e adaptada para o contexto da execução judicial (ARAUJO</w:t>
      </w:r>
      <w:r w:rsidR="00022A8D">
        <w:rPr>
          <w:rFonts w:eastAsia="Calibri"/>
        </w:rPr>
        <w:t>,</w:t>
      </w:r>
      <w:r w:rsidRPr="0057242E">
        <w:rPr>
          <w:rFonts w:eastAsia="Calibri"/>
        </w:rPr>
        <w:t xml:space="preserve"> 2023</w:t>
      </w:r>
      <w:r w:rsidR="00CC5730">
        <w:rPr>
          <w:rFonts w:eastAsia="Calibri"/>
        </w:rPr>
        <w:t xml:space="preserve">, </w:t>
      </w:r>
      <w:r w:rsidR="00022A8D">
        <w:rPr>
          <w:rFonts w:eastAsia="Calibri"/>
        </w:rPr>
        <w:t xml:space="preserve">p. </w:t>
      </w:r>
      <w:r w:rsidR="00CC5730">
        <w:rPr>
          <w:rFonts w:eastAsia="Calibri"/>
        </w:rPr>
        <w:t>168</w:t>
      </w:r>
      <w:r w:rsidRPr="0057242E">
        <w:rPr>
          <w:rFonts w:eastAsia="Calibri"/>
        </w:rPr>
        <w:t xml:space="preserve">), foi utilizada como um referencial teórico-metodológico para avaliar a qualidade e a efetividade das interações entre o </w:t>
      </w:r>
      <w:r w:rsidR="00CC5730">
        <w:rPr>
          <w:rFonts w:eastAsia="Calibri"/>
        </w:rPr>
        <w:t xml:space="preserve">Poder </w:t>
      </w:r>
      <w:r w:rsidRPr="0057242E">
        <w:rPr>
          <w:rFonts w:eastAsia="Calibri"/>
        </w:rPr>
        <w:t xml:space="preserve">Judiciário, a administração pública, o Ministério Público e a </w:t>
      </w:r>
      <w:r w:rsidRPr="0057242E">
        <w:rPr>
          <w:rFonts w:eastAsia="Calibri"/>
        </w:rPr>
        <w:lastRenderedPageBreak/>
        <w:t>sociedade civil. A pesquisa buscou verificar em que medida a promoção do diálogo, a construção de consensos e a busca por soluções colaborativas e policêntricas contribuíram para a superação da fragmentação institucional e para a concretização dos direitos urbanos, mas também em como os dados identificados poderiam contribuir para o desenvolvimento de roteiros para o estudo do controle judicial de forma sistematizada.</w:t>
      </w:r>
    </w:p>
    <w:p w14:paraId="75CDB8FC" w14:textId="77777777" w:rsidR="00CC5730" w:rsidRDefault="0057242E" w:rsidP="0057242E">
      <w:pPr>
        <w:spacing w:before="60" w:after="120" w:line="360" w:lineRule="auto"/>
        <w:ind w:firstLine="1418"/>
        <w:jc w:val="both"/>
        <w:rPr>
          <w:rFonts w:eastAsia="Calibri"/>
        </w:rPr>
      </w:pPr>
      <w:r w:rsidRPr="0057242E">
        <w:rPr>
          <w:rFonts w:eastAsia="Calibri"/>
        </w:rPr>
        <w:t xml:space="preserve"> Por fim, a análise dos resultados permitiu a formulação de considerações analíticas e implicações para o aprimoramento da atuação judicial em litígios estruturais, com ênfase na fase de cumprimento de sentença, que é frequentemente negligenciada, mas crucial para a efetivação dos direitos. </w:t>
      </w:r>
    </w:p>
    <w:p w14:paraId="6B6E3FB7" w14:textId="7D5874FE" w:rsidR="0057242E" w:rsidRPr="0057242E" w:rsidRDefault="0057242E" w:rsidP="0057242E">
      <w:pPr>
        <w:spacing w:before="60" w:after="120" w:line="360" w:lineRule="auto"/>
        <w:ind w:firstLine="1418"/>
        <w:jc w:val="both"/>
        <w:rPr>
          <w:rFonts w:eastAsia="Calibri"/>
        </w:rPr>
      </w:pPr>
      <w:r w:rsidRPr="0057242E">
        <w:rPr>
          <w:rFonts w:eastAsia="Calibri"/>
        </w:rPr>
        <w:t>A pesquisa</w:t>
      </w:r>
      <w:r w:rsidR="003407A6">
        <w:rPr>
          <w:rFonts w:eastAsia="Calibri"/>
        </w:rPr>
        <w:t xml:space="preserve">, de forma complementar, </w:t>
      </w:r>
      <w:r w:rsidRPr="0057242E">
        <w:rPr>
          <w:rFonts w:eastAsia="Calibri"/>
        </w:rPr>
        <w:t xml:space="preserve">se propõe a sistematizar os elementos dos casos estudados que se repetem, e podem compor um roteiro para o estudo </w:t>
      </w:r>
      <w:r w:rsidR="003407A6">
        <w:rPr>
          <w:rFonts w:eastAsia="Calibri"/>
        </w:rPr>
        <w:t xml:space="preserve">sistematizado </w:t>
      </w:r>
      <w:r w:rsidRPr="0057242E">
        <w:rPr>
          <w:rFonts w:eastAsia="Calibri"/>
        </w:rPr>
        <w:t xml:space="preserve">do controle judicial </w:t>
      </w:r>
      <w:r w:rsidR="00CC5730">
        <w:rPr>
          <w:rFonts w:eastAsia="Calibri"/>
        </w:rPr>
        <w:t xml:space="preserve">de políticas públicas </w:t>
      </w:r>
      <w:r w:rsidRPr="0057242E">
        <w:rPr>
          <w:rFonts w:eastAsia="Calibri"/>
        </w:rPr>
        <w:t xml:space="preserve">na fase de execução. </w:t>
      </w:r>
    </w:p>
    <w:p w14:paraId="7918A78D" w14:textId="77777777" w:rsidR="00137C63" w:rsidRDefault="00137C63" w:rsidP="006C3E52">
      <w:pPr>
        <w:spacing w:line="360" w:lineRule="auto"/>
        <w:ind w:firstLine="1418"/>
        <w:jc w:val="both"/>
      </w:pPr>
    </w:p>
    <w:p w14:paraId="4025C7AA" w14:textId="3904C0E8" w:rsidR="00C95413" w:rsidRDefault="00B74A75">
      <w:pPr>
        <w:spacing w:line="360" w:lineRule="auto"/>
        <w:rPr>
          <w:b/>
          <w:bCs/>
        </w:rPr>
      </w:pPr>
      <w:r>
        <w:rPr>
          <w:b/>
          <w:bCs/>
        </w:rPr>
        <w:t>3. ACHADOS DE PESQUISA E DISCUSSÃO</w:t>
      </w:r>
    </w:p>
    <w:p w14:paraId="6FB87792" w14:textId="77777777" w:rsidR="00744F66" w:rsidRDefault="00744F66">
      <w:pPr>
        <w:spacing w:line="360" w:lineRule="auto"/>
      </w:pPr>
    </w:p>
    <w:p w14:paraId="0461E5EC" w14:textId="56A475AF" w:rsidR="00137C63" w:rsidRDefault="00137C63" w:rsidP="00137C63">
      <w:pPr>
        <w:spacing w:line="360" w:lineRule="auto"/>
        <w:ind w:firstLine="1418"/>
        <w:jc w:val="both"/>
      </w:pPr>
      <w:r>
        <w:t>Foram identificados quatro casos de intervenção judicial na cidade de São Paulo, com quatro perfis diversos</w:t>
      </w:r>
      <w:r w:rsidR="00E27930">
        <w:t xml:space="preserve"> de questões envolvidas</w:t>
      </w:r>
      <w:r>
        <w:t>. Foram examinados autos processuais, decisões judiciais, termos de acordo, relatórios técnicos e correspondências administrativas desses quatro casos, e sistematizadas as informações obtidas. Os casos envolvem as seguintes situações: (i) áreas de risco geológico em Itaquera; (</w:t>
      </w:r>
      <w:proofErr w:type="spellStart"/>
      <w:r>
        <w:t>ii</w:t>
      </w:r>
      <w:proofErr w:type="spellEnd"/>
      <w:r>
        <w:t>) transporte coletivo adaptado e acessibilidade para pessoas com deficiência; (</w:t>
      </w:r>
      <w:proofErr w:type="spellStart"/>
      <w:r>
        <w:t>iii</w:t>
      </w:r>
      <w:proofErr w:type="spellEnd"/>
      <w:r>
        <w:t>) concessão de parques públicos; e (</w:t>
      </w:r>
      <w:proofErr w:type="spellStart"/>
      <w:r>
        <w:t>iv</w:t>
      </w:r>
      <w:proofErr w:type="spellEnd"/>
      <w:r>
        <w:t xml:space="preserve">) </w:t>
      </w:r>
      <w:r w:rsidR="000627C6">
        <w:t xml:space="preserve">remoções e </w:t>
      </w:r>
      <w:r>
        <w:t xml:space="preserve">regularização fundiária em zona de manancial. </w:t>
      </w:r>
    </w:p>
    <w:p w14:paraId="335CE108" w14:textId="77777777" w:rsidR="000C0BF8" w:rsidRDefault="000C0BF8" w:rsidP="000C0BF8">
      <w:pPr>
        <w:spacing w:line="360" w:lineRule="auto"/>
        <w:jc w:val="both"/>
      </w:pPr>
    </w:p>
    <w:p w14:paraId="2C820ABB" w14:textId="3B6E06F1" w:rsidR="000C0BF8" w:rsidRPr="000C0BF8" w:rsidRDefault="000C0BF8" w:rsidP="000C0BF8">
      <w:pPr>
        <w:spacing w:line="360" w:lineRule="auto"/>
        <w:jc w:val="both"/>
        <w:rPr>
          <w:b/>
          <w:bCs/>
        </w:rPr>
      </w:pPr>
      <w:r w:rsidRPr="000C0BF8">
        <w:rPr>
          <w:b/>
          <w:bCs/>
        </w:rPr>
        <w:t>3.1 Relato de casos</w:t>
      </w:r>
    </w:p>
    <w:p w14:paraId="1FCBBABD" w14:textId="77777777" w:rsidR="00137C63" w:rsidRDefault="00137C63" w:rsidP="00137C63">
      <w:pPr>
        <w:spacing w:line="360" w:lineRule="auto"/>
        <w:ind w:firstLine="1418"/>
        <w:jc w:val="both"/>
      </w:pPr>
    </w:p>
    <w:p w14:paraId="04698E6B" w14:textId="48A62E7F" w:rsidR="00C95413" w:rsidRDefault="00137C63">
      <w:pPr>
        <w:spacing w:line="360" w:lineRule="auto"/>
        <w:jc w:val="both"/>
      </w:pPr>
      <w:r>
        <w:rPr>
          <w:b/>
          <w:bCs/>
        </w:rPr>
        <w:t>3.1</w:t>
      </w:r>
      <w:r w:rsidR="000C0BF8">
        <w:rPr>
          <w:b/>
          <w:bCs/>
        </w:rPr>
        <w:t>.1</w:t>
      </w:r>
      <w:r>
        <w:rPr>
          <w:b/>
          <w:bCs/>
        </w:rPr>
        <w:t xml:space="preserve"> Áreas de risco em Itaquera </w:t>
      </w:r>
      <w:r w:rsidR="00662C4C">
        <w:rPr>
          <w:b/>
          <w:bCs/>
        </w:rPr>
        <w:t xml:space="preserve">(ACP nº </w:t>
      </w:r>
      <w:r w:rsidR="00662C4C" w:rsidRPr="00662C4C">
        <w:rPr>
          <w:b/>
          <w:bCs/>
        </w:rPr>
        <w:t>0005996-78.2004.8.26.0053</w:t>
      </w:r>
      <w:r w:rsidR="00662C4C">
        <w:rPr>
          <w:b/>
          <w:bCs/>
        </w:rPr>
        <w:t>)</w:t>
      </w:r>
    </w:p>
    <w:p w14:paraId="60894130" w14:textId="77777777" w:rsidR="00C95413" w:rsidRDefault="00C95413">
      <w:pPr>
        <w:spacing w:line="360" w:lineRule="auto"/>
      </w:pPr>
    </w:p>
    <w:p w14:paraId="5914D3AA" w14:textId="601FFD47" w:rsidR="00050144" w:rsidRDefault="00050144" w:rsidP="00050144">
      <w:pPr>
        <w:spacing w:line="360" w:lineRule="auto"/>
        <w:ind w:firstLine="1418"/>
        <w:jc w:val="both"/>
      </w:pPr>
      <w:r>
        <w:t xml:space="preserve">O Ministério Público do Estado de São Paulo ajuizou, em 2004, ação civil pública </w:t>
      </w:r>
      <w:r w:rsidR="00B472F7">
        <w:t xml:space="preserve">nº </w:t>
      </w:r>
      <w:r w:rsidR="00B472F7" w:rsidRPr="00B472F7">
        <w:t>0005996-78.2004.8.26.0053</w:t>
      </w:r>
      <w:r w:rsidR="00B472F7">
        <w:t xml:space="preserve">, </w:t>
      </w:r>
      <w:r>
        <w:t>requerendo que o Município promovesse a remoção dos moradores de áreas classificadas com risco “muito alto” e “alto” na Subprefeitura de Itaquera, com alojamento temporário adequado e posterior eliminação dos riscos identificados no mapeamento elaborado pela FUNDUNESP</w:t>
      </w:r>
      <w:r w:rsidR="00022A8D">
        <w:t xml:space="preserve"> - </w:t>
      </w:r>
      <w:r w:rsidR="00022A8D" w:rsidRPr="00022A8D">
        <w:t>- Fundação para o Desenvolvimento da UNESP</w:t>
      </w:r>
      <w:r w:rsidR="00022A8D">
        <w:t>.</w:t>
      </w:r>
      <w:r>
        <w:t xml:space="preserve"> O fundamento fático era a constatação de áreas suscetíveis a escorregamentos em </w:t>
      </w:r>
      <w:r>
        <w:lastRenderedPageBreak/>
        <w:t xml:space="preserve">encostas e solapamentos de margens de córregos em favelas, cuja gravidade já havia motivado, em 2002, a celebração de Termo de Ajustamento de Conduta (TAC) entre o Município </w:t>
      </w:r>
      <w:r w:rsidR="00022A8D">
        <w:t xml:space="preserve">de São Paulo </w:t>
      </w:r>
      <w:r>
        <w:t>e o Ministério Público. O TAC foi cumprido apenas parcialmente, a despeito de sucessivas prorrogações, o que ensejou o ingresso da demanda judicial.</w:t>
      </w:r>
    </w:p>
    <w:p w14:paraId="0F090C49" w14:textId="77777777" w:rsidR="00050144" w:rsidRDefault="00050144" w:rsidP="00050144">
      <w:pPr>
        <w:spacing w:line="360" w:lineRule="auto"/>
        <w:ind w:firstLine="1418"/>
      </w:pPr>
    </w:p>
    <w:p w14:paraId="6928F2BB" w14:textId="1A64A702" w:rsidR="00050144" w:rsidRDefault="00050144" w:rsidP="00050144">
      <w:pPr>
        <w:spacing w:line="360" w:lineRule="auto"/>
        <w:ind w:firstLine="1418"/>
        <w:jc w:val="both"/>
      </w:pPr>
      <w:r>
        <w:t xml:space="preserve">A sentença de procedência condenou o Município </w:t>
      </w:r>
      <w:r w:rsidR="00113377">
        <w:t xml:space="preserve">de São Paulo </w:t>
      </w:r>
      <w:r>
        <w:t xml:space="preserve">a realizar obras e intervenções necessárias à integral eliminação dos riscos no prazo de um ano, sob pena de multa diária de R$ 10.000,00. Em sede recursal, o acórdão do Tribunal de Justiça deu parcial provimento ao recurso da Municipalidade, reconfigurando significativamente a condenação: em lugar de impor diretamente </w:t>
      </w:r>
      <w:proofErr w:type="spellStart"/>
      <w:r>
        <w:t>a</w:t>
      </w:r>
      <w:proofErr w:type="spellEnd"/>
      <w:r>
        <w:t xml:space="preserve"> execução das obras, determinou que o Município apresentasse, em noventa dias, relatório de providências já tomadas e plano de ação para eliminação e prevenção das situações de risco, incluindo prazo estimado de execução e previsão orçamentária, mantida a multa diária em caso de descumprimento. O acórdão explicou que não compete ao Judiciário formular políticas públicas nem determinar quando e como a Administração deve agir, em respeito ao princípio da separação de poderes; todavia, assentou que o Judiciário não pode se eximir de exigir o cumprimento da lei e de impor prazo razoável para o adimplemento das obrigações públicas, com fundamento nos </w:t>
      </w:r>
      <w:proofErr w:type="spellStart"/>
      <w:r>
        <w:t>arts</w:t>
      </w:r>
      <w:proofErr w:type="spellEnd"/>
      <w:r>
        <w:t>. 37, 182 e 225 da Constituição Federal, no Estatuto da Cidade e na legislação ambiental.</w:t>
      </w:r>
    </w:p>
    <w:p w14:paraId="62F4E233" w14:textId="77777777" w:rsidR="00050144" w:rsidRDefault="00050144" w:rsidP="00050144">
      <w:pPr>
        <w:spacing w:line="360" w:lineRule="auto"/>
        <w:ind w:firstLine="1418"/>
      </w:pPr>
    </w:p>
    <w:p w14:paraId="0C140B12" w14:textId="77777777" w:rsidR="0097461E" w:rsidRDefault="00050144" w:rsidP="00050144">
      <w:pPr>
        <w:spacing w:line="360" w:lineRule="auto"/>
        <w:ind w:firstLine="1418"/>
        <w:jc w:val="both"/>
      </w:pPr>
      <w:r>
        <w:t xml:space="preserve">A execução efetiva </w:t>
      </w:r>
      <w:r w:rsidR="0097461E">
        <w:t xml:space="preserve">da decisão judicial </w:t>
      </w:r>
      <w:r>
        <w:t xml:space="preserve">só teve início em 2018, quatorze anos após a distribuição da ação, apesar da gravidade dos fatos descritos na petição inicial. O longo interstício entre o ajuizamento e o cumprimento é, por si só, revelador das disfunções do arranjo institucional: a ausência de liminar e a morosidade do trâmite de conhecimento permitiram que a situação de risco se agravasse e que o tecido urbano se transformasse sensivelmente no período. </w:t>
      </w:r>
    </w:p>
    <w:p w14:paraId="67969870" w14:textId="6C080E28" w:rsidR="00050144" w:rsidRDefault="00050144" w:rsidP="00050144">
      <w:pPr>
        <w:spacing w:line="360" w:lineRule="auto"/>
        <w:ind w:firstLine="1418"/>
        <w:jc w:val="both"/>
      </w:pPr>
      <w:r>
        <w:t xml:space="preserve">Em setembro de 2018, realizada audiência de conciliação com as partes e seus corpos técnicos, o Juízo determinou a distribuição de cinco cumprimentos de sentença autônomos, cada um correspondente a uma das comunidades abrangidas pelo título — Favela Jardim Eliane, Favela Santa Terezinha, Favela Avenida </w:t>
      </w:r>
      <w:proofErr w:type="spellStart"/>
      <w:r>
        <w:t>Gualtar</w:t>
      </w:r>
      <w:proofErr w:type="spellEnd"/>
      <w:r>
        <w:t xml:space="preserve">, Favela Maria </w:t>
      </w:r>
      <w:proofErr w:type="spellStart"/>
      <w:r>
        <w:t>Luisa</w:t>
      </w:r>
      <w:proofErr w:type="spellEnd"/>
      <w:r>
        <w:t xml:space="preserve"> Americano e Favela A. E. Carvalho —, reconhecendo que a amplitude do título judicial era incompatível com a execução unitária e que cada comunidade demandava intervenção técnica e social diferenciada.</w:t>
      </w:r>
    </w:p>
    <w:p w14:paraId="1762FFB2" w14:textId="77777777" w:rsidR="00050144" w:rsidRDefault="00050144" w:rsidP="00050144">
      <w:pPr>
        <w:spacing w:line="360" w:lineRule="auto"/>
        <w:ind w:firstLine="1418"/>
      </w:pPr>
    </w:p>
    <w:p w14:paraId="37B60454" w14:textId="77777777" w:rsidR="0097461E" w:rsidRDefault="00050144" w:rsidP="00050144">
      <w:pPr>
        <w:spacing w:line="360" w:lineRule="auto"/>
        <w:ind w:firstLine="1418"/>
        <w:jc w:val="both"/>
      </w:pPr>
      <w:r>
        <w:lastRenderedPageBreak/>
        <w:t xml:space="preserve">Nos cumprimentos de sentença distribuídos, a lógica da execução forçada foi progressivamente substituída pela construção negociada de soluções. Após resistência inicial do Ministério Público, que passou a adotar postura conciliatória após sucessivas tentativas de composição, chegou-se </w:t>
      </w:r>
      <w:proofErr w:type="spellStart"/>
      <w:r>
        <w:t>a</w:t>
      </w:r>
      <w:proofErr w:type="spellEnd"/>
      <w:r>
        <w:t xml:space="preserve"> acordo nos seguintes termos: o Município comprometeu-se a concretizar, em cada cumprimento, o plano de contingência já em implantação na respectiva área e a apresentar, em dez dias, plano de intervenções detalhado. </w:t>
      </w:r>
    </w:p>
    <w:p w14:paraId="60F18AA7" w14:textId="77777777" w:rsidR="00A01992" w:rsidRDefault="00A01992" w:rsidP="00050144">
      <w:pPr>
        <w:spacing w:line="360" w:lineRule="auto"/>
        <w:ind w:firstLine="1418"/>
        <w:jc w:val="both"/>
      </w:pPr>
    </w:p>
    <w:p w14:paraId="4BF7FE92" w14:textId="27A0DAAB" w:rsidR="00050144" w:rsidRDefault="00050144" w:rsidP="00050144">
      <w:pPr>
        <w:spacing w:line="360" w:lineRule="auto"/>
        <w:ind w:firstLine="1418"/>
        <w:jc w:val="both"/>
      </w:pPr>
      <w:r>
        <w:t xml:space="preserve">A escolha do plano de contingência como objeto do pacto resultou do reconhecimento conjunto de que a execução literal do título era </w:t>
      </w:r>
      <w:proofErr w:type="spellStart"/>
      <w:r>
        <w:t>faticamente</w:t>
      </w:r>
      <w:proofErr w:type="spellEnd"/>
      <w:r>
        <w:t xml:space="preserve"> inviável naquele momento, dado que o Município não dispunha dos meios materiais necessários. Líderes comunitários foram convocados a participar das audiências, contribuindo com o conhecimento local sobre os problemas e soluções, e o Município realizou reuniões com as comunidades afetadas para apresentação dos projetos de intervenção e organização das remoções, que se deram, </w:t>
      </w:r>
      <w:proofErr w:type="gramStart"/>
      <w:r>
        <w:t>via de regra</w:t>
      </w:r>
      <w:proofErr w:type="gramEnd"/>
      <w:r>
        <w:t>, de modo amigável.</w:t>
      </w:r>
    </w:p>
    <w:p w14:paraId="03EDF5A5" w14:textId="77777777" w:rsidR="00050144" w:rsidRDefault="00050144" w:rsidP="00050144">
      <w:pPr>
        <w:spacing w:line="360" w:lineRule="auto"/>
        <w:ind w:firstLine="1418"/>
      </w:pPr>
    </w:p>
    <w:p w14:paraId="5AF55CCF" w14:textId="5622B9BA" w:rsidR="00050144" w:rsidRDefault="00050144" w:rsidP="00050144">
      <w:pPr>
        <w:spacing w:line="360" w:lineRule="auto"/>
        <w:ind w:firstLine="1418"/>
        <w:jc w:val="both"/>
      </w:pPr>
      <w:r>
        <w:t>No curso da fase de cumprimento, o Ministério Público requereu o bloqueio de valores municipais em razão da demora na apresentação de projetos concretos de intervenção. O Juízo indeferiu o pleito com fundamento em dois critérios relevantes para a análise dos arranjos institucionais na execução estrutural: primeiro, que a medida coercitiva retardaria a satisfação do próprio título, pois comprometeria recursos necessários à realização das obras; segundo, que a execução deve se dar pelo modo menos oneroso ao devedor, e que o bloqueio de verbas públicas geraria reflexos danosos em outras ações de interesse público a cargo da Administração. Essa orientação é consistente com a abordagem DPP, que recomenda cautela na aplicação de instrumentos de coerção financeira em casos que demandam coordenação administrativa e ação governamental sustentada, e não apenas pressão sancion</w:t>
      </w:r>
      <w:r w:rsidR="0097461E">
        <w:t>at</w:t>
      </w:r>
      <w:r>
        <w:t>ória pontual.</w:t>
      </w:r>
    </w:p>
    <w:p w14:paraId="11F64EF0" w14:textId="77777777" w:rsidR="00050144" w:rsidRDefault="00050144" w:rsidP="00050144">
      <w:pPr>
        <w:spacing w:line="360" w:lineRule="auto"/>
        <w:ind w:firstLine="1418"/>
      </w:pPr>
    </w:p>
    <w:p w14:paraId="635FB912" w14:textId="78DC78A3" w:rsidR="00E27930" w:rsidRDefault="00050144" w:rsidP="00050144">
      <w:pPr>
        <w:spacing w:line="360" w:lineRule="auto"/>
        <w:ind w:firstLine="1418"/>
        <w:jc w:val="both"/>
      </w:pPr>
      <w:r>
        <w:t xml:space="preserve">O caso das áreas de risco em Itaquera é </w:t>
      </w:r>
      <w:r w:rsidR="00E27930">
        <w:t>um exemplo relevante d</w:t>
      </w:r>
      <w:r>
        <w:t xml:space="preserve">a perspectiva da execução estrutural </w:t>
      </w:r>
      <w:r w:rsidR="00E27930">
        <w:t>de uma questão urbanística</w:t>
      </w:r>
      <w:r>
        <w:t xml:space="preserve">. A fase de cumprimento de sentença transformou-se em espaço de construção colaborativa da ação governamental: </w:t>
      </w:r>
      <w:r w:rsidR="00E27930">
        <w:t>o acórdão proferido, na fase de cumprimento, foi substituído por um</w:t>
      </w:r>
      <w:r>
        <w:t xml:space="preserve">a reorganização do arranjo institucional, </w:t>
      </w:r>
      <w:r w:rsidR="00E27930">
        <w:t xml:space="preserve">com os envolvidos na estabilização da ocupação do território </w:t>
      </w:r>
      <w:r>
        <w:t xml:space="preserve">pactuando cronogramas por comunidade e incorporando a participação popular como fator de efetividade. </w:t>
      </w:r>
    </w:p>
    <w:p w14:paraId="21679C8F" w14:textId="77777777" w:rsidR="00022A8D" w:rsidRDefault="00022A8D" w:rsidP="00050144">
      <w:pPr>
        <w:spacing w:line="360" w:lineRule="auto"/>
        <w:ind w:firstLine="1418"/>
        <w:jc w:val="both"/>
      </w:pPr>
    </w:p>
    <w:p w14:paraId="3608FD77" w14:textId="774C7CDA" w:rsidR="00E27930" w:rsidRDefault="00050144" w:rsidP="00050144">
      <w:pPr>
        <w:spacing w:line="360" w:lineRule="auto"/>
        <w:ind w:firstLine="1418"/>
        <w:jc w:val="both"/>
      </w:pPr>
      <w:r>
        <w:lastRenderedPageBreak/>
        <w:t xml:space="preserve">A experiência também evidencia que a solução consensual, intentada desde a celebração do TAC em 2002, apresentou custo social substancialmente menor do que uma execução coercitiva, e que a população afetada, ao participar do processo, adere às intervenções com maior facilidade e contribui para sua sustentabilidade. </w:t>
      </w:r>
    </w:p>
    <w:p w14:paraId="52B710E6" w14:textId="77777777" w:rsidR="00022A8D" w:rsidRDefault="00022A8D" w:rsidP="00050144">
      <w:pPr>
        <w:spacing w:line="360" w:lineRule="auto"/>
        <w:ind w:firstLine="1418"/>
        <w:jc w:val="both"/>
      </w:pPr>
    </w:p>
    <w:p w14:paraId="313F0995" w14:textId="3A4507B7" w:rsidR="00050144" w:rsidRDefault="00050144" w:rsidP="00050144">
      <w:pPr>
        <w:spacing w:line="360" w:lineRule="auto"/>
        <w:ind w:firstLine="1418"/>
        <w:jc w:val="both"/>
      </w:pPr>
      <w:r>
        <w:t>O processo ainda não está encerrado</w:t>
      </w:r>
      <w:r w:rsidR="00873EC9">
        <w:rPr>
          <w:rStyle w:val="Refdenotaderodap"/>
        </w:rPr>
        <w:footnoteReference w:id="2"/>
      </w:r>
      <w:r>
        <w:t>, mas os avanços obtidos a partir de 2018 demonstram que a efetividade da intervenção judicial depende, em larga medida, da qualidade do arranjo institucional construído na fase de cumprimento.</w:t>
      </w:r>
    </w:p>
    <w:p w14:paraId="1251B0DC" w14:textId="77777777" w:rsidR="00C95413" w:rsidRDefault="00C95413">
      <w:pPr>
        <w:spacing w:line="360" w:lineRule="auto"/>
      </w:pPr>
    </w:p>
    <w:p w14:paraId="62FAB3D3" w14:textId="1D5F0FCB" w:rsidR="00C95413" w:rsidRDefault="00137C63">
      <w:pPr>
        <w:spacing w:line="360" w:lineRule="auto"/>
        <w:jc w:val="both"/>
      </w:pPr>
      <w:r>
        <w:rPr>
          <w:b/>
          <w:bCs/>
        </w:rPr>
        <w:t>3.</w:t>
      </w:r>
      <w:r w:rsidR="000C0BF8">
        <w:rPr>
          <w:b/>
          <w:bCs/>
        </w:rPr>
        <w:t>1.</w:t>
      </w:r>
      <w:r>
        <w:rPr>
          <w:b/>
          <w:bCs/>
        </w:rPr>
        <w:t xml:space="preserve">2 Transporte adaptado e acessibilidade </w:t>
      </w:r>
      <w:r w:rsidR="00662C4C">
        <w:rPr>
          <w:b/>
          <w:bCs/>
        </w:rPr>
        <w:t xml:space="preserve">(ACP nº </w:t>
      </w:r>
      <w:r w:rsidR="00662C4C" w:rsidRPr="00662C4C">
        <w:rPr>
          <w:b/>
          <w:bCs/>
        </w:rPr>
        <w:t>0407437-05.1999.8.26.0053</w:t>
      </w:r>
      <w:r w:rsidR="00662C4C">
        <w:rPr>
          <w:b/>
          <w:bCs/>
        </w:rPr>
        <w:t>)</w:t>
      </w:r>
    </w:p>
    <w:p w14:paraId="46D17F91" w14:textId="77777777" w:rsidR="00C95413" w:rsidRDefault="00C95413">
      <w:pPr>
        <w:spacing w:line="360" w:lineRule="auto"/>
      </w:pPr>
    </w:p>
    <w:p w14:paraId="1220B1D5" w14:textId="766AF7D6" w:rsidR="00A01992" w:rsidRDefault="00A01992" w:rsidP="00A01992">
      <w:pPr>
        <w:pStyle w:val="font-claude-response-body"/>
        <w:spacing w:line="360" w:lineRule="auto"/>
        <w:ind w:firstLine="1418"/>
        <w:jc w:val="both"/>
      </w:pPr>
      <w:r>
        <w:t xml:space="preserve">O Ministério Público do Estado de São Paulo ajuizou </w:t>
      </w:r>
      <w:r w:rsidR="00B42EBD">
        <w:t xml:space="preserve">Ação Civil Pública </w:t>
      </w:r>
      <w:r w:rsidR="00662C4C">
        <w:t xml:space="preserve">nº </w:t>
      </w:r>
      <w:r w:rsidR="00662C4C" w:rsidRPr="00662C4C">
        <w:t>0407437-05.1999.8.26.0053</w:t>
      </w:r>
      <w:r w:rsidR="00662C4C">
        <w:t xml:space="preserve"> </w:t>
      </w:r>
      <w:r>
        <w:t xml:space="preserve">contra o Município de São Paulo e a SPTrans </w:t>
      </w:r>
      <w:r w:rsidR="00B42EBD">
        <w:t xml:space="preserve">- </w:t>
      </w:r>
      <w:r w:rsidR="00B42EBD" w:rsidRPr="00B42EBD">
        <w:t>São Paulo Transporte S/A</w:t>
      </w:r>
      <w:r w:rsidR="00B42EBD">
        <w:t xml:space="preserve">, </w:t>
      </w:r>
      <w:r>
        <w:t>com o objetivo de obrigar o poder público a disponibilizar transporte coletivo adaptado para pessoas portadoras de deficiência física, exigindo ao menos um ônibus adaptado por linha diariamente. O fundamento da demanda era o descumprimento de mandamentos constitucionais e legais, notadamente o art. 227, §2º, da Constituição Federal e o art. 227 da Lei Orgânica do Município, que impõem ao poder público o dever de garantir acessibilidade e mobilidade urbana às pessoas com deficiência</w:t>
      </w:r>
      <w:r w:rsidR="00C03AF6">
        <w:t xml:space="preserve"> (ARAUJO </w:t>
      </w:r>
      <w:r w:rsidR="00C03AF6" w:rsidRPr="0028119E">
        <w:rPr>
          <w:i/>
          <w:iCs/>
        </w:rPr>
        <w:t xml:space="preserve">et </w:t>
      </w:r>
      <w:proofErr w:type="spellStart"/>
      <w:r w:rsidR="00C03AF6" w:rsidRPr="0028119E">
        <w:rPr>
          <w:i/>
          <w:iCs/>
        </w:rPr>
        <w:t>all</w:t>
      </w:r>
      <w:proofErr w:type="spellEnd"/>
      <w:r w:rsidR="00C73896">
        <w:t>;</w:t>
      </w:r>
      <w:r w:rsidR="00C03AF6">
        <w:t xml:space="preserve"> 2024)</w:t>
      </w:r>
      <w:r>
        <w:t>.</w:t>
      </w:r>
    </w:p>
    <w:p w14:paraId="0B52E291" w14:textId="77777777" w:rsidR="00A01992" w:rsidRDefault="00A01992" w:rsidP="00A01992">
      <w:pPr>
        <w:pStyle w:val="font-claude-response-body"/>
        <w:spacing w:line="360" w:lineRule="auto"/>
        <w:ind w:firstLine="1418"/>
        <w:jc w:val="both"/>
      </w:pPr>
      <w:r>
        <w:t>A ação foi julgada procedente, condenando a Municipalidade e a SPTrans a cumprir a obrigação de fazer no prazo de 180 dias, sob pena de multa diária. Em grau recursal, a penalidade foi majorada para R$ 1.000,00 por linha desatendida. Não obstante as sucessivas intimações, as requeridas permaneceram inadimplentes por longo período, acumulando uma dívida expressiva a título de multa, que passou a representar sério compromisso orçamentário sem, paradoxalmente, produzir o efeito coercitivo esperado: o efetivo cumprimento da obrigação.</w:t>
      </w:r>
    </w:p>
    <w:p w14:paraId="05CA9245" w14:textId="77777777" w:rsidR="00A01992" w:rsidRDefault="00A01992" w:rsidP="00A01992">
      <w:pPr>
        <w:pStyle w:val="font-claude-response-body"/>
        <w:spacing w:line="360" w:lineRule="auto"/>
        <w:ind w:firstLine="1418"/>
        <w:jc w:val="both"/>
      </w:pPr>
      <w:r>
        <w:lastRenderedPageBreak/>
        <w:t>O impasse revelou, contudo, algo mais profundo do que a simples resistência administrativa. Ao serem instados a estudar com seriedade a questão para dar cumprimento à decisão judicial, os atores envolvidos — Município, SPTrans e Ministério Público — perceberam que a solução originalmente imposta pela sentença, centrada na adaptação dos ônibus convencionais, não era a mais adequada para a realidade de São Paulo. A cidade apresenta relevo acentuado, com rampas, subidas e descidas que tornam o deslocamento em ônibus adaptado uma experiência precária e, muitas vezes, inviável para cadeirantes e pessoas com mobilidade severamente reduzida. O modelo de ônibus adaptado em linha regular, portanto, resolvia formalmente a questão jurídica, mas não respondia à necessidade real das pessoas com deficiência.</w:t>
      </w:r>
    </w:p>
    <w:p w14:paraId="475A2061" w14:textId="77777777" w:rsidR="00A01992" w:rsidRDefault="00A01992" w:rsidP="00A01992">
      <w:pPr>
        <w:pStyle w:val="font-claude-response-body"/>
        <w:spacing w:line="360" w:lineRule="auto"/>
        <w:ind w:firstLine="1418"/>
        <w:jc w:val="both"/>
      </w:pPr>
      <w:r>
        <w:t>Esse processo de reflexão aprofundada gerou uma mudança qualitativa relevante na política pública de mobilidade: o deslocamento do foco do ônibus adaptado em linha convencional para o Serviço Atende, modalidade de transporte porta a porta, com veículos e roteiros planejados especificamente para atender pessoas com alto grau de dependência ou limitação de locomoção. Embora o Programa Atende já existisse, sua cobertura era insuficiente e sua fila de espera, extensa. O litígio judicial funcionou, assim, como catalisador de uma reorientação de política pública mais coerente com a realidade urbana e com as necessidades concretas dos usuários.</w:t>
      </w:r>
    </w:p>
    <w:p w14:paraId="679915BB" w14:textId="77777777" w:rsidR="00A01992" w:rsidRDefault="00A01992" w:rsidP="00A01992">
      <w:pPr>
        <w:pStyle w:val="font-claude-response-body"/>
        <w:spacing w:line="360" w:lineRule="auto"/>
        <w:ind w:firstLine="1418"/>
        <w:jc w:val="both"/>
      </w:pPr>
      <w:r>
        <w:t xml:space="preserve">Diante desse cenário, após inúmeras tentativas de conciliação, as partes firmaram acordo homologado judicialmente em 22 de setembro de 2017. O ajuste contemplou obrigações amplas e detalhadas: o Município comprometeu-se a zerar as filas de espera de próteses auditivas (em 6 meses), órteses </w:t>
      </w:r>
      <w:proofErr w:type="spellStart"/>
      <w:r>
        <w:t>suropodálicas</w:t>
      </w:r>
      <w:proofErr w:type="spellEnd"/>
      <w:r>
        <w:t xml:space="preserve"> (em 12 meses) e meios de locomoção, incluindo cadeiras de rodas com adequação postural (em 18 meses). A SPTrans, por sua vez, obrigou-se a absorver toda a lista de espera do Serviço Atende, em todas as suas modalidades, no prazo de 6 meses. O acordo também previu a adequação de terminais de ônibus às normas de acessibilidade vigentes, com prazos escalonados para vistoria, projeto executivo e obra.</w:t>
      </w:r>
    </w:p>
    <w:p w14:paraId="76E3A7BB" w14:textId="77777777" w:rsidR="00A01992" w:rsidRDefault="00A01992" w:rsidP="00A01992">
      <w:pPr>
        <w:pStyle w:val="font-claude-response-body"/>
        <w:spacing w:line="360" w:lineRule="auto"/>
        <w:ind w:firstLine="1418"/>
        <w:jc w:val="both"/>
      </w:pPr>
      <w:r>
        <w:t xml:space="preserve">O acordo estabeleceu mecanismos de transparência e controle social relevantes, como a publicação das listas de espera em dois jornais de grande circulação e nos sítios eletrônicos da Prefeitura, da SPTrans e do próprio Ministério Público, permitindo que qualquer munícipe pudesse verificar se havia sido indevidamente preterido. Foram previstas cláusulas de rescisão automática em caso de divergência superior a 5% entre as listas apresentadas e a real </w:t>
      </w:r>
      <w:r>
        <w:lastRenderedPageBreak/>
        <w:t>demanda reprimida, bem como no caso de descumprimento dos prazos, com retomada imediata da cobrança da multa acumulada desde o inadimplemento original.</w:t>
      </w:r>
    </w:p>
    <w:p w14:paraId="16A6BA5B" w14:textId="77777777" w:rsidR="00A01992" w:rsidRDefault="00A01992" w:rsidP="00A01992">
      <w:pPr>
        <w:pStyle w:val="font-claude-response-body"/>
        <w:spacing w:line="360" w:lineRule="auto"/>
        <w:ind w:firstLine="1418"/>
        <w:jc w:val="both"/>
      </w:pPr>
      <w:r>
        <w:t>O caso ilustra com clareza o potencial transformador da litigância de interesse público quando conduzida com abertura ao diálogo. A solução consensual não apenas desbloqueou um impasse jurídico de quase duas décadas, como também proporcionou um salto qualitativo na política pública de mobilidade urbana para pessoas com deficiência — saindo de uma resposta formal e insatisfatória para uma abordagem estrutural, que considerou a topografia da cidade e a real necessidade dos beneficiários. O que começou como uma ação para garantir um ônibus adaptado por linha resultou, ao final, na reorganização e ampliação de um serviço especializado capaz de, de fato, incluir os cidadãos com deficiência na vida urbana de São Paulo.</w:t>
      </w:r>
    </w:p>
    <w:p w14:paraId="410FADAD" w14:textId="77777777" w:rsidR="00C95413" w:rsidRDefault="00C95413" w:rsidP="0097461E">
      <w:pPr>
        <w:spacing w:line="360" w:lineRule="auto"/>
        <w:ind w:firstLine="1418"/>
      </w:pPr>
    </w:p>
    <w:p w14:paraId="11869B58" w14:textId="3C4AA6C2" w:rsidR="00C95413" w:rsidRDefault="00137C63">
      <w:pPr>
        <w:spacing w:line="360" w:lineRule="auto"/>
        <w:jc w:val="both"/>
      </w:pPr>
      <w:r>
        <w:rPr>
          <w:b/>
          <w:bCs/>
        </w:rPr>
        <w:t>3.</w:t>
      </w:r>
      <w:r w:rsidR="000C0BF8">
        <w:rPr>
          <w:b/>
          <w:bCs/>
        </w:rPr>
        <w:t>1.</w:t>
      </w:r>
      <w:r>
        <w:rPr>
          <w:b/>
          <w:bCs/>
        </w:rPr>
        <w:t xml:space="preserve">3 Concessão do Parque Ibirapuera </w:t>
      </w:r>
      <w:r w:rsidR="00662C4C">
        <w:rPr>
          <w:b/>
          <w:bCs/>
        </w:rPr>
        <w:t xml:space="preserve">(ACP </w:t>
      </w:r>
      <w:r w:rsidR="00662C4C" w:rsidRPr="00662C4C">
        <w:rPr>
          <w:b/>
          <w:bCs/>
        </w:rPr>
        <w:t>nº 1009720-48.2019.8.26.0053</w:t>
      </w:r>
      <w:r w:rsidR="00662C4C">
        <w:rPr>
          <w:b/>
          <w:bCs/>
        </w:rPr>
        <w:t>)</w:t>
      </w:r>
    </w:p>
    <w:p w14:paraId="74023C1B" w14:textId="77777777" w:rsidR="00C95413" w:rsidRDefault="00C95413">
      <w:pPr>
        <w:spacing w:line="360" w:lineRule="auto"/>
      </w:pPr>
    </w:p>
    <w:p w14:paraId="28464944" w14:textId="0F76D27A" w:rsidR="00F9247E" w:rsidRDefault="00F9247E" w:rsidP="00F9247E">
      <w:pPr>
        <w:pStyle w:val="font-claude-response-body"/>
        <w:spacing w:line="360" w:lineRule="auto"/>
        <w:ind w:firstLine="1418"/>
        <w:jc w:val="both"/>
      </w:pPr>
      <w:r>
        <w:t xml:space="preserve">O Ministério Público de São Paulo ajuizou </w:t>
      </w:r>
      <w:r w:rsidR="00B42EBD">
        <w:t xml:space="preserve">Ação Civil Pública </w:t>
      </w:r>
      <w:r w:rsidR="00662C4C">
        <w:t xml:space="preserve">nº </w:t>
      </w:r>
      <w:r w:rsidR="00662C4C" w:rsidRPr="00662C4C">
        <w:t>1009720-48.2019.8.26.0053</w:t>
      </w:r>
      <w:r w:rsidR="00662C4C">
        <w:t xml:space="preserve"> </w:t>
      </w:r>
      <w:r>
        <w:t>contra o Município de São Paulo questionando o Edital de Concorrência Internacional nº 001/SVMA/2018, que visava à concessão da gestão, operação e manutenção de seis parques municipais, entre eles o Parque Ibirapuera. A impugnação centrava-se na ausência de diretrizes ambientais claras na minuta contratual, na transferência irrestrita à concessionária da competência para elaborar os Planos Diretores dos parques — sem supervisão técnica prévia dos órgãos ambientais competentes — e na alegada inversão ilegal das fases de habilitação e julgamento do certame. Paralelamente, tramitava ação popular com objeto idêntico, proposta pelo ex-vereador Gilberto Natalini na 13ª Vara da Fazenda Pública.</w:t>
      </w:r>
    </w:p>
    <w:p w14:paraId="2B756CC7" w14:textId="77777777" w:rsidR="00F9247E" w:rsidRDefault="00F9247E" w:rsidP="00F9247E">
      <w:pPr>
        <w:pStyle w:val="font-claude-response-body"/>
        <w:spacing w:line="360" w:lineRule="auto"/>
        <w:ind w:firstLine="1418"/>
        <w:jc w:val="both"/>
      </w:pPr>
      <w:r>
        <w:t>Designada audiência de conciliação conjunta para ambas as ações, as partes chegaram a um acordo em março de 2019. O procedimento licitatório foi autorizado a prosseguir, mas a celebração do contrato ficou condicionada à anuência da empresa vencedora — a Construcap CCPS Engenharia e Comércio S/A — e à prévia elaboração de Planos Diretores para cada parque concedido. Caso a vencedora não concordasse com os termos pactuados, a segunda colocada poderia ser convocada e, em último caso, o certame seria cancelado e novo edital elaborado. Esse mecanismo representou avanço significativo ao subordinar o interesse econômico privado ao planejamento ambiental público.</w:t>
      </w:r>
    </w:p>
    <w:p w14:paraId="52DAD52D" w14:textId="77777777" w:rsidR="00F9247E" w:rsidRDefault="00F9247E" w:rsidP="00F9247E">
      <w:pPr>
        <w:pStyle w:val="font-claude-response-body"/>
        <w:spacing w:line="360" w:lineRule="auto"/>
        <w:ind w:firstLine="1418"/>
        <w:jc w:val="both"/>
      </w:pPr>
      <w:r>
        <w:lastRenderedPageBreak/>
        <w:t>A fase de elaboração do Plano Diretor do Parque Ibirapuera (PDPI) transcorreu de forma conturbada em seu início. A SP-Parcerias, sociedade de economia mista inicialmente responsável pelo trabalho, apresentou uma versão considerada insuficiente tanto pelo Ministério Público quanto pelo Conselho Gestor do Parque. Diante das críticas, o Município reformulou sua abordagem e transferiu a coordenação dos trabalhos para a Secretaria Municipal do Verde e do Meio Ambiente, sob liderança da Coordenadora de Gestão de Parques e Biodiversidade, inaugurando uma metodologia mais técnica e participativa.</w:t>
      </w:r>
    </w:p>
    <w:p w14:paraId="3030F2BE" w14:textId="77777777" w:rsidR="00F9247E" w:rsidRDefault="00F9247E" w:rsidP="00F9247E">
      <w:pPr>
        <w:pStyle w:val="font-claude-response-body"/>
        <w:spacing w:line="360" w:lineRule="auto"/>
        <w:ind w:firstLine="1418"/>
        <w:jc w:val="both"/>
      </w:pPr>
      <w:r>
        <w:t>O processo de elaboração do novo PDPI representou um dos mais relevantes avanços urbanísticos induzidos pelo litígio. Foram realizadas três oficinas temáticas, uma devolutiva, duas audiências públicas com cerca de oitenta participantes cada, uma audiência na Câmara Municipal com aproximadamente quinhentas pessoas, três fóruns temáticos sobre papel do parque urbano, serviços ecossistêmicos e águas, além de pesquisa online aberta ao público entre julho e agosto de 2019. A publicidade dos atos obedeceu a antecedência mínima de quinze dias, com divulgação em redes sociais, no site municipal e por meio de cartazes e faixas nas entradas do parque, configurando um modelo de planejamento urbano participativo incomum para a gestão de equipamentos públicos concedidos.</w:t>
      </w:r>
    </w:p>
    <w:p w14:paraId="60DD433B" w14:textId="294983BE" w:rsidR="00F9247E" w:rsidRDefault="00F9247E" w:rsidP="00F9247E">
      <w:pPr>
        <w:pStyle w:val="font-claude-response-body"/>
        <w:spacing w:line="360" w:lineRule="auto"/>
        <w:ind w:firstLine="1418"/>
        <w:jc w:val="both"/>
      </w:pPr>
      <w:r>
        <w:t xml:space="preserve">Do ponto de vista das conquistas urbanísticas e ambientais materializadas no PDPI, destacam-se avanços concretos em múltiplas dimensões. Em relação à flora, ficou vedada qualquer remoção arbórea motivada por obras ou instalação de infraestrutura, sendo o manejo autorizado apenas em caráter excepcional, mediante laudo técnico. Quanto à permeabilidade do solo, ficou expressamente proibida qualquer redução da taxa existente, com previsão de uso de tecnologias contemporâneas para ampliar áreas permeáveis — vedação reforçada pela Resolução SC nº 02/92 do CONDEPHAAT </w:t>
      </w:r>
      <w:r w:rsidR="00B42EBD">
        <w:t xml:space="preserve">- </w:t>
      </w:r>
      <w:r w:rsidR="00B42EBD" w:rsidRPr="00B42EBD">
        <w:t>Conselho de Defesa do Patrimônio Histórico, Arqueológico, Artístico e Turístico do Estado de São Paulo</w:t>
      </w:r>
      <w:r w:rsidR="00B42EBD">
        <w:t xml:space="preserve">, </w:t>
      </w:r>
      <w:r>
        <w:t>e pela legislação municipal de uso e ocupação do solo. A construção de grandes estacionamentos foi inviabilizada, sendo permitida a exploração apenas nas áreas já utilizadas para esse fim.</w:t>
      </w:r>
    </w:p>
    <w:p w14:paraId="236910F7" w14:textId="77777777" w:rsidR="00F9247E" w:rsidRDefault="00F9247E" w:rsidP="00F9247E">
      <w:pPr>
        <w:pStyle w:val="font-claude-response-body"/>
        <w:spacing w:line="360" w:lineRule="auto"/>
        <w:ind w:firstLine="1418"/>
        <w:jc w:val="both"/>
      </w:pPr>
      <w:r>
        <w:t xml:space="preserve">O PDPI também avançou na proteção da biodiversidade e na regulação dos usos do parque. Para a fauna, foram previstas campanhas educativas, diretrizes de encaminhamento de animais silvestres, restrição ao uso de drones e vedação de eventos de adoção de animais no local. Os eventos passaram a ser regulados de forma rigorosa: nos setores ambientais, ficaram limitados a 250 pessoas, com baixo impacto sonoro; nas quadras esportivas do setor ambiental, o limite é de 120 pessoas. Espaços de alta relevância social, como o Campo Experimental, o </w:t>
      </w:r>
      <w:r>
        <w:lastRenderedPageBreak/>
        <w:t>Centro de Convivência Cooperativa (CECCO), a Escola de Jardinagem, a Escola de Música e a Antiga Serraria, tiveram seus usos delimitados e protegidos contra desvios de finalidade, com garantia de gratuidade e continuidade das atividades já consolidadas.</w:t>
      </w:r>
    </w:p>
    <w:p w14:paraId="10BCA81A" w14:textId="5B3E962B" w:rsidR="00F9247E" w:rsidRDefault="00F9247E" w:rsidP="00F9247E">
      <w:pPr>
        <w:pStyle w:val="font-claude-response-body"/>
        <w:spacing w:line="360" w:lineRule="auto"/>
        <w:ind w:firstLine="1418"/>
        <w:jc w:val="both"/>
      </w:pPr>
      <w:r>
        <w:t xml:space="preserve">O acordo também inovou ao instituir um modelo de </w:t>
      </w:r>
      <w:r w:rsidR="00B42EBD">
        <w:t xml:space="preserve">controle </w:t>
      </w:r>
      <w:r>
        <w:t>cont</w:t>
      </w:r>
      <w:r w:rsidR="00B42EBD">
        <w:t>ínuo</w:t>
      </w:r>
      <w:r>
        <w:t xml:space="preserve"> sobre a concessão. O Conselho Gestor do Parque — com competências para fiscalizar, propor medidas, opinar sobre eventos, acompanhar o orçamento participativo e acessar informações técnicas, financeiras e operacionais — foi fortalecido como instância de controle social permanente. O Ministério Público garantiu participação direta nas revisões quinquenais do PDPI, previstas para 2024 e 2029, além de manter sua atuação fiscalizatória contínua. Esse arranjo institucional, ao distribuir o controle da concessão entre poder público, Ministério Público e sociedade civil organizada, representa uma contribuição relevante ao modelo de gestão de parques urbanos concedidos no Brasil.</w:t>
      </w:r>
    </w:p>
    <w:p w14:paraId="5F1BAAB3" w14:textId="77777777" w:rsidR="002D22E0" w:rsidRDefault="00F9247E" w:rsidP="00F9247E">
      <w:pPr>
        <w:pStyle w:val="font-claude-response-body"/>
        <w:spacing w:line="360" w:lineRule="auto"/>
        <w:ind w:firstLine="1418"/>
        <w:jc w:val="both"/>
      </w:pPr>
      <w:r>
        <w:t xml:space="preserve">Por fim, o Tribunal de Justiça de São Paulo, ao julgar o recurso de apelação interposto, manteve a sentença que declarou cumprido o acordo, afastando todos os argumentos contrários ao PDPI. O acórdão destacou expressamente a atuação do </w:t>
      </w:r>
      <w:r w:rsidR="00773F15">
        <w:t>Ministério Público do Estado de São Paulo</w:t>
      </w:r>
      <w:r>
        <w:t xml:space="preserve"> como fator de legitimação do processo e concluiu haver fundado indício de que o acordo foi bem conduzido e devidamente cumprido pelo Município. </w:t>
      </w:r>
    </w:p>
    <w:p w14:paraId="3089B527" w14:textId="6A52FF25" w:rsidR="00F9247E" w:rsidRDefault="00F9247E" w:rsidP="00F9247E">
      <w:pPr>
        <w:pStyle w:val="font-claude-response-body"/>
        <w:spacing w:line="360" w:lineRule="auto"/>
        <w:ind w:firstLine="1418"/>
        <w:jc w:val="both"/>
      </w:pPr>
      <w:r>
        <w:t xml:space="preserve">O caso </w:t>
      </w:r>
      <w:r w:rsidR="002D22E0">
        <w:t>é significativo porque demonstra</w:t>
      </w:r>
      <w:r>
        <w:t xml:space="preserve"> como o conflito judicial pode induzir saltos qualitativos no planejamento urbano: o litígio </w:t>
      </w:r>
      <w:r w:rsidR="00773F15">
        <w:t>reduziu o impacto de</w:t>
      </w:r>
      <w:r>
        <w:t xml:space="preserve"> uma concessão potencialmente lesiva ao meio ambiente, </w:t>
      </w:r>
      <w:r w:rsidR="00773F15">
        <w:t>e</w:t>
      </w:r>
      <w:r>
        <w:t xml:space="preserve"> forçou a construção de um instrumento de gestão mais robusto, participativo e tecnicamente qualificado do que o originalmente previsto pela Administração.</w:t>
      </w:r>
    </w:p>
    <w:p w14:paraId="34FE4C69" w14:textId="77777777" w:rsidR="00C95413" w:rsidRDefault="00C95413">
      <w:pPr>
        <w:spacing w:line="360" w:lineRule="auto"/>
      </w:pPr>
    </w:p>
    <w:p w14:paraId="1AC6276C" w14:textId="2875755E" w:rsidR="00C95413" w:rsidRDefault="00137C63">
      <w:pPr>
        <w:spacing w:line="360" w:lineRule="auto"/>
        <w:jc w:val="both"/>
      </w:pPr>
      <w:r>
        <w:rPr>
          <w:b/>
          <w:bCs/>
        </w:rPr>
        <w:t>3.</w:t>
      </w:r>
      <w:r w:rsidR="000C0BF8">
        <w:rPr>
          <w:b/>
          <w:bCs/>
        </w:rPr>
        <w:t>1.</w:t>
      </w:r>
      <w:r>
        <w:rPr>
          <w:b/>
          <w:bCs/>
        </w:rPr>
        <w:t xml:space="preserve">4 Regularização fundiária no Morro da Mandioca </w:t>
      </w:r>
      <w:r w:rsidR="00662C4C" w:rsidRPr="00662C4C">
        <w:rPr>
          <w:b/>
          <w:bCs/>
        </w:rPr>
        <w:t>(ACP nº 0036979-69.2018.8.26.0053 e Reintegração nº 0205320-32.2009.8.26.0002)</w:t>
      </w:r>
    </w:p>
    <w:p w14:paraId="57D8D21C" w14:textId="77777777" w:rsidR="00B74A75" w:rsidRDefault="00B74A75" w:rsidP="00B74A75">
      <w:pPr>
        <w:spacing w:line="360" w:lineRule="auto"/>
        <w:ind w:firstLine="1418"/>
      </w:pPr>
    </w:p>
    <w:p w14:paraId="2C83E3A2" w14:textId="2CB6E428" w:rsidR="00B74A75" w:rsidRDefault="00B74A75" w:rsidP="00B74A75">
      <w:pPr>
        <w:spacing w:line="360" w:lineRule="auto"/>
        <w:ind w:firstLine="1418"/>
        <w:jc w:val="both"/>
      </w:pPr>
      <w:r>
        <w:t xml:space="preserve">O Morro da Mandioca, também conhecido como Jardim Orion e Jardim </w:t>
      </w:r>
      <w:proofErr w:type="spellStart"/>
      <w:r>
        <w:t>Brizal</w:t>
      </w:r>
      <w:proofErr w:type="spellEnd"/>
      <w:r>
        <w:t xml:space="preserve">, situa-se na zona sul da cidade de São Paulo, inserido na Bacia Hidrográfica Jusante Rio Cocaia, que integra a Área de Proteção e Recuperação de Mananciais Billings (APRM-B). Trata-se de território de altíssima sensibilidade socioambiental: a Represa Billings é um dos principais mananciais de abastecimento da Região Metropolitana de São Paulo e sua bacia hidrográfica </w:t>
      </w:r>
      <w:r>
        <w:lastRenderedPageBreak/>
        <w:t>abriga, somente no município de São Paulo, cerca de 570 mil habitantes</w:t>
      </w:r>
      <w:r w:rsidR="002D22E0">
        <w:t xml:space="preserve">, </w:t>
      </w:r>
      <w:r>
        <w:t>em sua grande maioria de baixa renda, instalados ao longo de décadas em assentamentos precários e irregulares</w:t>
      </w:r>
      <w:r w:rsidR="009B6670">
        <w:t xml:space="preserve"> (autos n°.</w:t>
      </w:r>
      <w:r w:rsidR="009B6670" w:rsidRPr="009B6670">
        <w:t>0036979-69.2018.8.26.0053</w:t>
      </w:r>
      <w:proofErr w:type="gramStart"/>
      <w:r w:rsidR="009B6670">
        <w:t xml:space="preserve">) </w:t>
      </w:r>
      <w:r>
        <w:t>.</w:t>
      </w:r>
      <w:proofErr w:type="gramEnd"/>
      <w:r>
        <w:t xml:space="preserve"> De acordo com o Censo do IBGE de 2022</w:t>
      </w:r>
      <w:r w:rsidR="002D22E0">
        <w:t xml:space="preserve"> </w:t>
      </w:r>
      <w:r w:rsidR="002D22E0" w:rsidRPr="002D22E0">
        <w:t>(IBGE, 2022)</w:t>
      </w:r>
      <w:r>
        <w:t>, a área delimitada do Jardim Orion concentra 779 domicílios particulares permanentes ocupados, totalizando aproximadamente 2.329 moradores, cujo perfil socioeconômico vulnerável é determinante para a compreensão dos desdobramentos jurídicos e urbanísticos do conflito.</w:t>
      </w:r>
    </w:p>
    <w:p w14:paraId="32125AAA" w14:textId="77777777" w:rsidR="00662C4C" w:rsidRDefault="00B74A75" w:rsidP="00B74A75">
      <w:pPr>
        <w:spacing w:line="360" w:lineRule="auto"/>
        <w:ind w:firstLine="1418"/>
        <w:jc w:val="both"/>
      </w:pPr>
      <w:r>
        <w:t xml:space="preserve">A ocupação da área teve início de forma intensa a partir de junho de 1995, em terreno pertencente à EMAE – Empresa Metropolitana de Águas e Energia S/A, empresa pública estadual responsável pela operação do sistema produtor de energia na Billings. Somente em 2009 a EMAE ajuizou ação de reintegração de posse perante a 2ª Vara Cível do Foro Regional de Santo Amaro (autos nº 0205320-32.2009.8.26.0002), obtendo decisão liminar favorável em 7 de janeiro de 2010. </w:t>
      </w:r>
    </w:p>
    <w:p w14:paraId="5AC092AB" w14:textId="78F03446" w:rsidR="00B74A75" w:rsidRDefault="00B74A75" w:rsidP="00B74A75">
      <w:pPr>
        <w:spacing w:line="360" w:lineRule="auto"/>
        <w:ind w:firstLine="1418"/>
        <w:jc w:val="both"/>
      </w:pPr>
      <w:r>
        <w:t>Essa liminar, contudo, jamais foi cumprida. A inércia no cumprimento da ordem judicial durante mais de uma década não foi casual: refletiu a dificuldade estrutural que marca os conflitos fundiários coletivos em áreas de manancial em São Paulo, onde o adensamento progressivo da ocupação, a ausência de alternativas habitacionais e a sensibilidade política da remoção em massa tornam a execução das ordens judiciais um desafio de governança que extrapola em muito o domínio estritamente processual.</w:t>
      </w:r>
    </w:p>
    <w:p w14:paraId="28C79BA4" w14:textId="77777777" w:rsidR="00B74A75" w:rsidRDefault="00B74A75" w:rsidP="00B74A75">
      <w:pPr>
        <w:spacing w:line="360" w:lineRule="auto"/>
        <w:ind w:firstLine="1418"/>
        <w:jc w:val="both"/>
      </w:pPr>
      <w:r>
        <w:t>Um dos aspectos mais graves revelados pelos autos foi a total ausência de citação válida dos moradores por mais de quinze anos. Os ocupantes somente ingressaram no processo em 26 de julho de 2024 — por meio da Defensoria Pública do Estado de São Paulo —, em decorrência de inspeção judicial realizada em 21 de maio de 2024. Nessa inspeção, constatou-se não apenas a ausência de citação válida dos réus, mas também a falta de precisão quanto à área efetivamente abrangida pela decisão liminar de 2010. Essa circunstância revela uma anomalia processual de primeira ordem: durante uma década e meia, uma ordem de reintegração de posse de grande impacto coletivo tramitou sem que os principais interessados — os moradores — integrassem formalmente o polo passivo da ação, o que compromete frontalmente o devido processo legal e o contraditório previstos no art. 5º, LV, da Constituição Federal.</w:t>
      </w:r>
    </w:p>
    <w:p w14:paraId="0CAA9D2D" w14:textId="77777777" w:rsidR="00B74A75" w:rsidRDefault="00B74A75" w:rsidP="00B74A75">
      <w:pPr>
        <w:spacing w:line="360" w:lineRule="auto"/>
        <w:ind w:firstLine="1418"/>
        <w:jc w:val="both"/>
      </w:pPr>
      <w:r>
        <w:t xml:space="preserve">A intervenção da Defensoria Pública reorientou inteiramente o curso do processo. Em 3 de setembro de 2024, a liminar de reintegração foi revogada, a pedido da Defensoria, e a decisão foi confirmada em segundo grau, encerrando formalmente a possibilidade de cumprimento imediato da ordem. Nomeou-se perito para a demarcação precisa da área objeto da disputa — providência que até a atualização mais recente dos autos ainda não havia sido concretizada. Em paralelo, em abril de 2025, a Defensoria trouxe aos autos um </w:t>
      </w:r>
      <w:r>
        <w:lastRenderedPageBreak/>
        <w:t>elemento de enorme relevância urbanística: a tramitação do processo nº 0420917-55.1996.8.26.0053 (em cumprimento de sentença sob nº 0036979-69.2018.8.26.0053), juntando aos autos os projetos urbanísticos que a Prefeitura de São Paulo já desenvolve para a localidade. Esse movimento processual sinalizou que a solução do conflito possessório tende a se articular com iniciativas de urbanização de interesse social já em curso, a exemplo do que ocorre em outras frentes da APRM-Billings.</w:t>
      </w:r>
    </w:p>
    <w:p w14:paraId="56C84689" w14:textId="1214BBAC" w:rsidR="0074222B" w:rsidRDefault="0074222B" w:rsidP="0074222B">
      <w:pPr>
        <w:spacing w:line="360" w:lineRule="auto"/>
        <w:ind w:firstLine="1418"/>
        <w:jc w:val="both"/>
      </w:pPr>
      <w:r>
        <w:t xml:space="preserve">É importante destacar, que a ocupação do Jardim </w:t>
      </w:r>
      <w:proofErr w:type="spellStart"/>
      <w:r>
        <w:t>Oreon</w:t>
      </w:r>
      <w:proofErr w:type="spellEnd"/>
      <w:r>
        <w:t xml:space="preserve"> não é caso isolado</w:t>
      </w:r>
      <w:r w:rsidR="008857E1">
        <w:t xml:space="preserve"> na capital paulistana, isso porque </w:t>
      </w:r>
      <w:r>
        <w:t>“a ocupação de áreas ambientalmente protegidas pela população de baixa renda, longe de ser uma exceção, é regra, posto serem esses locais por excelência excluídos do mercado formal de terras, e daí seu baixo preço capaz de ser custeado por parte da população de baixa renda” (TIERNO, 2018</w:t>
      </w:r>
      <w:r w:rsidR="003B409D">
        <w:t>, p. 179</w:t>
      </w:r>
      <w:r>
        <w:t>).</w:t>
      </w:r>
    </w:p>
    <w:p w14:paraId="6C29EB0A" w14:textId="0B13C485" w:rsidR="008857E1" w:rsidRDefault="008857E1" w:rsidP="0074222B">
      <w:pPr>
        <w:spacing w:line="360" w:lineRule="auto"/>
        <w:ind w:firstLine="1418"/>
        <w:jc w:val="both"/>
      </w:pPr>
      <w:r>
        <w:t>Conforme esclarece MARTINS</w:t>
      </w:r>
      <w:r w:rsidR="003B409D">
        <w:t>:</w:t>
      </w:r>
      <w:r>
        <w:t xml:space="preserve"> </w:t>
      </w:r>
    </w:p>
    <w:p w14:paraId="07A0AB17" w14:textId="1066CE14" w:rsidR="008857E1" w:rsidRPr="0028119E" w:rsidRDefault="008857E1" w:rsidP="0028119E">
      <w:pPr>
        <w:spacing w:line="360" w:lineRule="auto"/>
        <w:ind w:left="2127"/>
        <w:jc w:val="both"/>
        <w:rPr>
          <w:sz w:val="20"/>
          <w:szCs w:val="20"/>
        </w:rPr>
      </w:pPr>
      <w:r w:rsidRPr="0028119E">
        <w:rPr>
          <w:sz w:val="20"/>
          <w:szCs w:val="20"/>
        </w:rPr>
        <w:t xml:space="preserve">O conflito que envolve moradores de baixa renda que ocupam áreas de risco ou áreas ambientalmente frágeis traz a marca de um duplo desastre. Um deles está na condição de ilegalidade, segregação física, </w:t>
      </w:r>
      <w:proofErr w:type="spellStart"/>
      <w:r w:rsidRPr="0028119E">
        <w:rPr>
          <w:sz w:val="20"/>
          <w:szCs w:val="20"/>
        </w:rPr>
        <w:t>subcidadania</w:t>
      </w:r>
      <w:proofErr w:type="spellEnd"/>
      <w:r w:rsidRPr="0028119E">
        <w:rPr>
          <w:sz w:val="20"/>
          <w:szCs w:val="20"/>
        </w:rPr>
        <w:t xml:space="preserve"> (ausência de direitos como o direito à cidade e à moradia legal) e má qualidade de vida urbana que afeta toda a população que, sem alternativas, ocupa áreas inadequadas. O outro está na agressão ambiental a sistemas que são fundamentais para a reprodução da própria vida humana como são os mananciais de água, assunto de que trata este livro. (...) Não é sem razão, já que o quadro observado na maioria das grandes cidades é a marcante presença de assentamentos populares, precários e irregulares, </w:t>
      </w:r>
      <w:r w:rsidRPr="0028119E">
        <w:rPr>
          <w:i/>
          <w:iCs/>
          <w:sz w:val="20"/>
          <w:szCs w:val="20"/>
        </w:rPr>
        <w:t>nos lugares ambientalmente mais frágeis, “protegidos por lei”, interditados à edificação, desvalorizados, excluídos da produção imobiliária formal.</w:t>
      </w:r>
      <w:r w:rsidRPr="0028119E">
        <w:rPr>
          <w:sz w:val="20"/>
          <w:szCs w:val="20"/>
        </w:rPr>
        <w:t xml:space="preserve"> Nesse contexto, a questão ambiental urbana é antes de tudo um problema de carência de uma política consistente de acesso à habitação de interesse social (</w:t>
      </w:r>
      <w:proofErr w:type="spellStart"/>
      <w:r w:rsidRPr="0028119E">
        <w:rPr>
          <w:sz w:val="20"/>
          <w:szCs w:val="20"/>
        </w:rPr>
        <w:t>g.n</w:t>
      </w:r>
      <w:proofErr w:type="spellEnd"/>
      <w:r w:rsidRPr="0028119E">
        <w:rPr>
          <w:sz w:val="20"/>
          <w:szCs w:val="20"/>
        </w:rPr>
        <w:t>)</w:t>
      </w:r>
      <w:r w:rsidR="003B409D">
        <w:rPr>
          <w:rStyle w:val="Refdenotaderodap"/>
          <w:sz w:val="20"/>
          <w:szCs w:val="20"/>
        </w:rPr>
        <w:footnoteReference w:id="3"/>
      </w:r>
      <w:r w:rsidR="003B409D">
        <w:rPr>
          <w:sz w:val="20"/>
          <w:szCs w:val="20"/>
        </w:rPr>
        <w:t>.</w:t>
      </w:r>
    </w:p>
    <w:p w14:paraId="085C7C7A" w14:textId="52FC8BBD" w:rsidR="00B74A75" w:rsidRDefault="008857E1" w:rsidP="00B74A75">
      <w:pPr>
        <w:spacing w:line="360" w:lineRule="auto"/>
        <w:ind w:firstLine="1418"/>
        <w:jc w:val="both"/>
      </w:pPr>
      <w:r>
        <w:t>Assim, é de rigor conhecer o</w:t>
      </w:r>
      <w:r w:rsidR="00B74A75">
        <w:t xml:space="preserve"> contexto mais amplo de políticas públicas para a região</w:t>
      </w:r>
      <w:r w:rsidR="00C36F7D">
        <w:t>, que</w:t>
      </w:r>
      <w:r w:rsidR="00B74A75">
        <w:t xml:space="preserve"> oferece o pano de fundo essencial para compreender a situação do Jardim Orion. O Programa Mananciais foi criado na década de 1990 com o propósito de promover a urbanização em áreas vulneráveis e proteger os mananciais das bacias hidrográficas Billings e Guarapiranga, que abastecem a região metropolitana de São Paulo. Drucker Arquitetura Na sua fase mais recente (2021–2024), o programa abrange a urbanização de 77 áreas vulneráveis, acompanhada pela construção de novas unidades habitacionais destinadas ao reassentamento de famílias em risco, com investimentos totais previstos de R$ 2,7 bilhões. Prefeitura de São Paulo Na bacia da Billings, o maior projeto em andamento é o Conjunto Habitacional Cocaia, com 2.711 </w:t>
      </w:r>
      <w:r w:rsidR="00B74A75">
        <w:lastRenderedPageBreak/>
        <w:t>apartamentos, construído em uma área de 303 mil m² que era ocupada por habitações irregulares e foi recuperada pelo Programa Mananciais, com zoneamento ZEIS-4 — áreas destinadas à produção habitacional de interesse social em áreas de recuperação de mananciais. Prefeitura de São Paulo A vizinhança entre esse grande empreendimento e a área do Morro da Mandioca reforça a plausibilidade de que a composição em negociação entre a EMAE e a Prefeitura envolva solução integrada de urbanização para o Jardim Orion.</w:t>
      </w:r>
    </w:p>
    <w:p w14:paraId="5F1FFF7A" w14:textId="77777777" w:rsidR="00B74A75" w:rsidRDefault="00B74A75" w:rsidP="00B74A75">
      <w:pPr>
        <w:spacing w:line="360" w:lineRule="auto"/>
        <w:ind w:firstLine="1418"/>
        <w:jc w:val="both"/>
      </w:pPr>
      <w:r>
        <w:t>O processo encontra-se atualmente sobrestado, a pedido da própria autora (EMAE), com a justificativa de que está tentando compor-se com a Prefeitura de São Paulo. A perícia de demarcação ainda não foi realizada. Esse estado de suspensão negociada — por mais que prolongue a indefinição jurídica para os moradores — representa, na prática, o reconhecimento implícito de que a solução puramente possessória (remoção forçada) é inviável tanto do ponto de vista social quanto político, dada a escala da ocupação, o perfil da população e o próprio marco normativo vigente. A jurisprudência do STF, firmada especialmente na ADPF 828, impõe que reintegrações coletivas contra populações vulneráveis somente ocorram após inspeções judiciais, audiências de mediação e garantia de alojamento alternativo digno às famílias removidas GAECO — requisitos de difícil cumprimento em um assentamento da dimensão do Jardim Orion.</w:t>
      </w:r>
    </w:p>
    <w:p w14:paraId="6998DD22" w14:textId="77777777" w:rsidR="00B74A75" w:rsidRDefault="00B74A75" w:rsidP="00B74A75">
      <w:pPr>
        <w:spacing w:line="360" w:lineRule="auto"/>
        <w:ind w:firstLine="1418"/>
        <w:jc w:val="both"/>
      </w:pPr>
      <w:r>
        <w:t xml:space="preserve">A dimensão normativa do caso também merece atenção. A APRM-Billings é regida por legislação específica que disciplina os usos admissíveis do solo e os instrumentos de regularização fundiária aplicáveis. A lei da APRM-B e o decreto que a regulamenta tornam possível a regularização de lotes de até 125 m², a implantação de infraestrutura pública como redes de coleta e tratamento de esgoto, e a proteção e conservação das áreas naturais existentes, que correspondem a 80% do território da bacia. </w:t>
      </w:r>
      <w:proofErr w:type="spellStart"/>
      <w:r>
        <w:t>Jusbrasil</w:t>
      </w:r>
      <w:proofErr w:type="spellEnd"/>
      <w:r>
        <w:t xml:space="preserve"> Esse regime normativo estabelece um caminho possível para a regularização fundiária qualificada dos moradores do Jardim Orion, condicionada, contudo, à implantação de infraestrutura de saneamento e à comprovação de que a permanência da população não comprometerá irreversivelmente o manancial. A negociação entre EMAE e Prefeitura, portanto, não é apenas uma disputa sobre a titularidade da área, mas um processo de engenharia institucional que envolve ao menos três vetores simultâneos: a solução da lide possessória, a proteção do manancial e a garantia do direito à moradia de 2.329 pessoas.</w:t>
      </w:r>
    </w:p>
    <w:p w14:paraId="63135800" w14:textId="77777777" w:rsidR="00937304" w:rsidRDefault="00B74A75" w:rsidP="00B74A75">
      <w:pPr>
        <w:spacing w:line="360" w:lineRule="auto"/>
        <w:ind w:firstLine="1418"/>
        <w:jc w:val="both"/>
      </w:pPr>
      <w:r>
        <w:t xml:space="preserve">Em síntese, o caso do Morro da Mandioca ilustra com nitidez os limites do modelo tradicional de ação possessória quando aplicado a conflitos fundiários de grande escala em áreas ambientalmente sensíveis. A liminar obtida em 2010 e nunca cumprida, o processo tramitando por mais de uma década sem citação válida dos moradores, a revogação da ordem </w:t>
      </w:r>
      <w:r>
        <w:lastRenderedPageBreak/>
        <w:t xml:space="preserve">após inspeção judicial e a subsequente paralização negociada do feito são sintomas de um padrão recorrente: o direito possessório clássico, desacompanhado de políticas habitacionais concretas e de um planejamento urbano integrado para a área, é incapaz de produzir resultados efetivos nesses contextos. </w:t>
      </w:r>
    </w:p>
    <w:p w14:paraId="3EE31474" w14:textId="77BC9715" w:rsidR="00C95413" w:rsidRDefault="00B74A75" w:rsidP="00B74A75">
      <w:pPr>
        <w:spacing w:line="360" w:lineRule="auto"/>
        <w:ind w:firstLine="1418"/>
        <w:jc w:val="both"/>
      </w:pPr>
      <w:r>
        <w:t xml:space="preserve">O desfecho mais provável e socialmente adequado — urbanização com regularização fundiária no âmbito do Programa Mananciais — depende de decisões que transcendem o processo judicial e que ainda estão em construção entre a EMAE, a Prefeitura e, espera-se, com participação efetiva dos próprios moradores, cuja representação pela Defensoria Pública marca, ao menos, o início tardio de uma paridade </w:t>
      </w:r>
      <w:r w:rsidR="00F275CB">
        <w:t>processual.</w:t>
      </w:r>
    </w:p>
    <w:p w14:paraId="1B6DC53D" w14:textId="77777777" w:rsidR="000C0BF8" w:rsidRDefault="000C0BF8" w:rsidP="00B74A75">
      <w:pPr>
        <w:spacing w:line="360" w:lineRule="auto"/>
        <w:ind w:firstLine="1418"/>
        <w:jc w:val="both"/>
      </w:pPr>
    </w:p>
    <w:p w14:paraId="3EAD663E" w14:textId="35A0C5F6" w:rsidR="000C0BF8" w:rsidRPr="000C0BF8" w:rsidRDefault="000C0BF8" w:rsidP="000C0BF8">
      <w:pPr>
        <w:spacing w:line="360" w:lineRule="auto"/>
        <w:jc w:val="both"/>
        <w:rPr>
          <w:b/>
          <w:bCs/>
        </w:rPr>
      </w:pPr>
      <w:r w:rsidRPr="000C0BF8">
        <w:rPr>
          <w:b/>
          <w:bCs/>
        </w:rPr>
        <w:t xml:space="preserve">3.2 Sistematização </w:t>
      </w:r>
      <w:r w:rsidR="008E482D">
        <w:rPr>
          <w:b/>
          <w:bCs/>
        </w:rPr>
        <w:t xml:space="preserve">e discussão </w:t>
      </w:r>
      <w:r w:rsidRPr="000C0BF8">
        <w:rPr>
          <w:b/>
          <w:bCs/>
        </w:rPr>
        <w:t>das informações obtidas</w:t>
      </w:r>
    </w:p>
    <w:p w14:paraId="3E57D60D" w14:textId="77777777" w:rsidR="002D22E0" w:rsidRDefault="002D22E0" w:rsidP="00B74A75">
      <w:pPr>
        <w:spacing w:line="360" w:lineRule="auto"/>
        <w:ind w:firstLine="1418"/>
        <w:jc w:val="both"/>
      </w:pPr>
    </w:p>
    <w:p w14:paraId="2FD881DF" w14:textId="73347420" w:rsidR="00662C4C" w:rsidRDefault="000C0BF8" w:rsidP="00B74A75">
      <w:pPr>
        <w:spacing w:line="360" w:lineRule="auto"/>
        <w:ind w:firstLine="1418"/>
        <w:jc w:val="both"/>
      </w:pPr>
      <w:r>
        <w:t>As informações obtidas foram</w:t>
      </w:r>
      <w:r w:rsidR="00BB42BA">
        <w:t xml:space="preserve"> sistematizadas</w:t>
      </w:r>
      <w:r w:rsidR="00A83D60">
        <w:t xml:space="preserve">, primeiramente, em blocos, e para cada bloco, elaborada uma tabela de variáveis e de elementos a serem registrados.  </w:t>
      </w:r>
      <w:r w:rsidR="005064A9">
        <w:t>Cada bloco deriva de uma pergunta-síntese, que foi destrinçada nas indagações mais relevantes que a envolvem</w:t>
      </w:r>
      <w:r w:rsidR="00662C4C">
        <w:t>, com o desenvolvimento desses blocos em roteiros, que apontam para os principais elementos processuais relevantes, e para os principais elementos da abordagem DPP.</w:t>
      </w:r>
    </w:p>
    <w:p w14:paraId="1E49FDA1" w14:textId="77777777" w:rsidR="00BB42BA" w:rsidRDefault="00BB42BA" w:rsidP="00B74A75">
      <w:pPr>
        <w:spacing w:line="360" w:lineRule="auto"/>
        <w:ind w:firstLine="1418"/>
        <w:jc w:val="both"/>
      </w:pPr>
    </w:p>
    <w:p w14:paraId="65F30B6D" w14:textId="72154104" w:rsidR="00A83D60" w:rsidRPr="004E62D5" w:rsidRDefault="00BB42BA" w:rsidP="00BB42BA">
      <w:pPr>
        <w:spacing w:line="360" w:lineRule="auto"/>
        <w:rPr>
          <w:i/>
          <w:iCs/>
        </w:rPr>
      </w:pPr>
      <w:r w:rsidRPr="004E62D5">
        <w:rPr>
          <w:i/>
          <w:iCs/>
        </w:rPr>
        <w:t>Bloco 1 — Identificação do Problema Urbano de Fundo</w:t>
      </w:r>
    </w:p>
    <w:p w14:paraId="62253055" w14:textId="5A1C85EA" w:rsidR="00BB42BA" w:rsidRDefault="004E62D5" w:rsidP="004E62D5">
      <w:pPr>
        <w:spacing w:line="360" w:lineRule="auto"/>
        <w:ind w:firstLine="1418"/>
        <w:jc w:val="both"/>
      </w:pPr>
      <w:r>
        <w:t>Este primeiro bloco de questões decorre do fato de que o</w:t>
      </w:r>
      <w:r w:rsidR="00BB42BA">
        <w:t xml:space="preserve"> processo judicial é sempre sintoma de algo anterior. Este bloco recupera o problema urbano que antecede e origina o litígio.</w:t>
      </w:r>
    </w:p>
    <w:p w14:paraId="116C2B90" w14:textId="77777777" w:rsidR="004A684C" w:rsidRDefault="004A684C" w:rsidP="00BB42BA">
      <w:pPr>
        <w:spacing w:line="360" w:lineRule="auto"/>
      </w:pPr>
    </w:p>
    <w:tbl>
      <w:tblPr>
        <w:tblStyle w:val="Tabelacomgrade"/>
        <w:tblW w:w="0" w:type="auto"/>
        <w:tblLook w:val="04A0" w:firstRow="1" w:lastRow="0" w:firstColumn="1" w:lastColumn="0" w:noHBand="0" w:noVBand="1"/>
      </w:tblPr>
      <w:tblGrid>
        <w:gridCol w:w="3256"/>
        <w:gridCol w:w="5805"/>
      </w:tblGrid>
      <w:tr w:rsidR="004A684C" w14:paraId="275D0F88" w14:textId="77777777" w:rsidTr="004A2A84">
        <w:tc>
          <w:tcPr>
            <w:tcW w:w="3256" w:type="dxa"/>
          </w:tcPr>
          <w:p w14:paraId="43C20881" w14:textId="53ED67D9" w:rsidR="004A684C" w:rsidRDefault="004A684C" w:rsidP="00C91474">
            <w:pPr>
              <w:spacing w:line="360" w:lineRule="auto"/>
              <w:jc w:val="center"/>
            </w:pPr>
            <w:r w:rsidRPr="004A684C">
              <w:t>Variável</w:t>
            </w:r>
          </w:p>
        </w:tc>
        <w:tc>
          <w:tcPr>
            <w:tcW w:w="5805" w:type="dxa"/>
          </w:tcPr>
          <w:p w14:paraId="05CD12F6" w14:textId="1FACE660" w:rsidR="004A684C" w:rsidRDefault="004A684C" w:rsidP="00C91474">
            <w:pPr>
              <w:spacing w:line="360" w:lineRule="auto"/>
              <w:jc w:val="center"/>
            </w:pPr>
            <w:r w:rsidRPr="004A684C">
              <w:t>O que registrar</w:t>
            </w:r>
          </w:p>
        </w:tc>
      </w:tr>
      <w:tr w:rsidR="004A684C" w14:paraId="25FC3334" w14:textId="77777777" w:rsidTr="004A2A84">
        <w:tc>
          <w:tcPr>
            <w:tcW w:w="3256" w:type="dxa"/>
          </w:tcPr>
          <w:p w14:paraId="382995AB" w14:textId="68C71B9E" w:rsidR="004A684C" w:rsidRDefault="004A684C" w:rsidP="00BB42BA">
            <w:pPr>
              <w:spacing w:line="360" w:lineRule="auto"/>
            </w:pPr>
            <w:r w:rsidRPr="004A684C">
              <w:t>1.1 Problema urbano originário</w:t>
            </w:r>
          </w:p>
        </w:tc>
        <w:tc>
          <w:tcPr>
            <w:tcW w:w="5805" w:type="dxa"/>
          </w:tcPr>
          <w:p w14:paraId="2E5FA2FB" w14:textId="435393AB" w:rsidR="004A684C" w:rsidRDefault="004A684C" w:rsidP="00BB42BA">
            <w:pPr>
              <w:spacing w:line="360" w:lineRule="auto"/>
            </w:pPr>
            <w:r w:rsidRPr="004A684C">
              <w:t>Qual disfunção urbana concreta gerou o conflito — risco geológico, exclusão habitacional, degradação ambiental, inacessibilidade, gestão inadequada de equipamento público?</w:t>
            </w:r>
          </w:p>
        </w:tc>
      </w:tr>
      <w:tr w:rsidR="004A684C" w14:paraId="22B4D005" w14:textId="77777777" w:rsidTr="004A2A84">
        <w:tc>
          <w:tcPr>
            <w:tcW w:w="3256" w:type="dxa"/>
          </w:tcPr>
          <w:p w14:paraId="57451852" w14:textId="293A8395" w:rsidR="004A684C" w:rsidRDefault="004A684C" w:rsidP="00BB42BA">
            <w:pPr>
              <w:spacing w:line="360" w:lineRule="auto"/>
            </w:pPr>
            <w:r w:rsidRPr="004A684C">
              <w:t>1.2 Momento de eclosão vs. momento de judicialização</w:t>
            </w:r>
          </w:p>
        </w:tc>
        <w:tc>
          <w:tcPr>
            <w:tcW w:w="5805" w:type="dxa"/>
          </w:tcPr>
          <w:p w14:paraId="10C2F81B" w14:textId="18454CDA" w:rsidR="004A684C" w:rsidRDefault="004A684C" w:rsidP="00BB42BA">
            <w:pPr>
              <w:spacing w:line="360" w:lineRule="auto"/>
            </w:pPr>
            <w:r w:rsidRPr="004A684C">
              <w:t>Quando o problema surgiu e quando foi levado ao Judiciário? Qual foi o intervalo e o que ocorreu nesse período?</w:t>
            </w:r>
          </w:p>
        </w:tc>
      </w:tr>
      <w:tr w:rsidR="004A684C" w14:paraId="6927145B" w14:textId="77777777" w:rsidTr="004A2A84">
        <w:tc>
          <w:tcPr>
            <w:tcW w:w="3256" w:type="dxa"/>
          </w:tcPr>
          <w:p w14:paraId="0D9D09BD" w14:textId="34880BB5" w:rsidR="004A684C" w:rsidRDefault="00205D5B" w:rsidP="00BB42BA">
            <w:pPr>
              <w:spacing w:line="360" w:lineRule="auto"/>
            </w:pPr>
            <w:r w:rsidRPr="00205D5B">
              <w:lastRenderedPageBreak/>
              <w:t>1.3 Existência de resposta governamental prévia</w:t>
            </w:r>
          </w:p>
        </w:tc>
        <w:tc>
          <w:tcPr>
            <w:tcW w:w="5805" w:type="dxa"/>
          </w:tcPr>
          <w:p w14:paraId="5C8B5ACB" w14:textId="504D90C6" w:rsidR="004A684C" w:rsidRDefault="00E83B5B" w:rsidP="00BB42BA">
            <w:pPr>
              <w:spacing w:line="360" w:lineRule="auto"/>
            </w:pPr>
            <w:r w:rsidRPr="00E83B5B">
              <w:t>Antes da ação judicial, havia política pública, plano, TAC ou qualquer instrumento governamental voltado ao problema? Foi suficiente?</w:t>
            </w:r>
          </w:p>
        </w:tc>
      </w:tr>
      <w:tr w:rsidR="004A684C" w14:paraId="60778F64" w14:textId="77777777" w:rsidTr="004A2A84">
        <w:tc>
          <w:tcPr>
            <w:tcW w:w="3256" w:type="dxa"/>
          </w:tcPr>
          <w:p w14:paraId="1B44D581" w14:textId="3C704380" w:rsidR="004A684C" w:rsidRDefault="00E83B5B" w:rsidP="00BB42BA">
            <w:pPr>
              <w:spacing w:line="360" w:lineRule="auto"/>
            </w:pPr>
            <w:r w:rsidRPr="00E83B5B">
              <w:t>1.4 Escala e localização do problema</w:t>
            </w:r>
          </w:p>
        </w:tc>
        <w:tc>
          <w:tcPr>
            <w:tcW w:w="5805" w:type="dxa"/>
          </w:tcPr>
          <w:p w14:paraId="3ABF85AA" w14:textId="7C41C256" w:rsidR="004A684C" w:rsidRDefault="00E83B5B" w:rsidP="00BB42BA">
            <w:pPr>
              <w:spacing w:line="360" w:lineRule="auto"/>
            </w:pPr>
            <w:r w:rsidRPr="00E83B5B">
              <w:t>O problema é pontual (uma área, uma comunidade) ou sistêmico (toda a cidade, uma bacia hidrográfica, todos os usuários de transporte)?</w:t>
            </w:r>
          </w:p>
        </w:tc>
      </w:tr>
    </w:tbl>
    <w:p w14:paraId="2A6B755A" w14:textId="77777777" w:rsidR="004A684C" w:rsidRDefault="004A684C" w:rsidP="00BB42BA">
      <w:pPr>
        <w:spacing w:line="360" w:lineRule="auto"/>
      </w:pPr>
    </w:p>
    <w:p w14:paraId="1634B1AB" w14:textId="6B68E851" w:rsidR="00BB42BA" w:rsidRDefault="00BB42BA" w:rsidP="00E83B5B">
      <w:pPr>
        <w:spacing w:line="360" w:lineRule="auto"/>
        <w:ind w:firstLine="1418"/>
        <w:jc w:val="both"/>
      </w:pPr>
      <w:r w:rsidRPr="005064A9">
        <w:rPr>
          <w:i/>
          <w:iCs/>
        </w:rPr>
        <w:t>Pergunta síntese</w:t>
      </w:r>
      <w:r>
        <w:t xml:space="preserve">: Em cada caso, o processo judicial nasceu do </w:t>
      </w:r>
      <w:proofErr w:type="gramStart"/>
      <w:r w:rsidR="00E83B5B">
        <w:t xml:space="preserve">ausência </w:t>
      </w:r>
      <w:r>
        <w:t xml:space="preserve"> da</w:t>
      </w:r>
      <w:proofErr w:type="gramEnd"/>
      <w:r>
        <w:t xml:space="preserve"> ação governamental ou </w:t>
      </w:r>
      <w:r w:rsidR="00E83B5B">
        <w:t>da sua insuficiência ou</w:t>
      </w:r>
      <w:r>
        <w:t xml:space="preserve"> fracasso — e essa distinção produziu trajetórias processuais diferentes?</w:t>
      </w:r>
    </w:p>
    <w:p w14:paraId="7E90BB91" w14:textId="77777777" w:rsidR="00BB42BA" w:rsidRDefault="00BB42BA" w:rsidP="00BB42BA">
      <w:pPr>
        <w:spacing w:line="360" w:lineRule="auto"/>
      </w:pPr>
    </w:p>
    <w:p w14:paraId="1178B0B3" w14:textId="77777777" w:rsidR="00BB42BA" w:rsidRPr="00C91474" w:rsidRDefault="00BB42BA" w:rsidP="00BB42BA">
      <w:pPr>
        <w:spacing w:line="360" w:lineRule="auto"/>
        <w:rPr>
          <w:i/>
          <w:iCs/>
        </w:rPr>
      </w:pPr>
      <w:r w:rsidRPr="00C91474">
        <w:rPr>
          <w:i/>
          <w:iCs/>
        </w:rPr>
        <w:t>Bloco 2 — Morfologia do Litígio</w:t>
      </w:r>
    </w:p>
    <w:p w14:paraId="37FEA7FE" w14:textId="77777777" w:rsidR="004E62D5" w:rsidRDefault="004E62D5" w:rsidP="00BB42BA">
      <w:pPr>
        <w:spacing w:line="360" w:lineRule="auto"/>
      </w:pPr>
    </w:p>
    <w:p w14:paraId="5E1F82CA" w14:textId="6CBBB00C" w:rsidR="00BB42BA" w:rsidRDefault="00EC3ED5" w:rsidP="00EC3ED5">
      <w:pPr>
        <w:spacing w:line="360" w:lineRule="auto"/>
        <w:ind w:firstLine="1418"/>
        <w:jc w:val="both"/>
      </w:pPr>
      <w:r w:rsidRPr="00EC3ED5">
        <w:t xml:space="preserve">Este </w:t>
      </w:r>
      <w:r>
        <w:t>segundo</w:t>
      </w:r>
      <w:r w:rsidRPr="00EC3ED5">
        <w:t xml:space="preserve"> bloco de questões </w:t>
      </w:r>
      <w:r>
        <w:t>sistematiza c</w:t>
      </w:r>
      <w:r w:rsidR="00BB42BA">
        <w:t>omo o conflito se estruturou juridicamente e quem ocupou cada posição no processo.</w:t>
      </w:r>
    </w:p>
    <w:p w14:paraId="68352100" w14:textId="77777777" w:rsidR="00EC3ED5" w:rsidRDefault="00EC3ED5" w:rsidP="00BB42BA">
      <w:pPr>
        <w:spacing w:line="360" w:lineRule="auto"/>
      </w:pPr>
    </w:p>
    <w:tbl>
      <w:tblPr>
        <w:tblStyle w:val="Tabelacomgrade"/>
        <w:tblW w:w="0" w:type="auto"/>
        <w:tblLook w:val="04A0" w:firstRow="1" w:lastRow="0" w:firstColumn="1" w:lastColumn="0" w:noHBand="0" w:noVBand="1"/>
      </w:tblPr>
      <w:tblGrid>
        <w:gridCol w:w="3114"/>
        <w:gridCol w:w="5947"/>
      </w:tblGrid>
      <w:tr w:rsidR="005064A9" w14:paraId="2F858844" w14:textId="77777777" w:rsidTr="004A2A84">
        <w:tc>
          <w:tcPr>
            <w:tcW w:w="3114" w:type="dxa"/>
          </w:tcPr>
          <w:p w14:paraId="3DE47C19" w14:textId="0507ECA7" w:rsidR="005064A9" w:rsidRDefault="005064A9" w:rsidP="00C91474">
            <w:pPr>
              <w:spacing w:line="360" w:lineRule="auto"/>
              <w:jc w:val="center"/>
            </w:pPr>
            <w:r w:rsidRPr="005064A9">
              <w:t>Variável</w:t>
            </w:r>
          </w:p>
        </w:tc>
        <w:tc>
          <w:tcPr>
            <w:tcW w:w="5947" w:type="dxa"/>
          </w:tcPr>
          <w:p w14:paraId="01798F92" w14:textId="4EF5E3B6" w:rsidR="005064A9" w:rsidRDefault="005064A9" w:rsidP="00C91474">
            <w:pPr>
              <w:spacing w:line="360" w:lineRule="auto"/>
              <w:jc w:val="center"/>
            </w:pPr>
            <w:r w:rsidRPr="005064A9">
              <w:t>O que registrar</w:t>
            </w:r>
          </w:p>
        </w:tc>
      </w:tr>
      <w:tr w:rsidR="005064A9" w14:paraId="1A285F5B" w14:textId="77777777" w:rsidTr="004A2A84">
        <w:tc>
          <w:tcPr>
            <w:tcW w:w="3114" w:type="dxa"/>
          </w:tcPr>
          <w:p w14:paraId="30C96356" w14:textId="529BEF18" w:rsidR="005064A9" w:rsidRDefault="005064A9" w:rsidP="00BB42BA">
            <w:pPr>
              <w:spacing w:line="360" w:lineRule="auto"/>
            </w:pPr>
            <w:r w:rsidRPr="005064A9">
              <w:t>2.1 Tipo de ação e fundamento</w:t>
            </w:r>
          </w:p>
        </w:tc>
        <w:tc>
          <w:tcPr>
            <w:tcW w:w="5947" w:type="dxa"/>
          </w:tcPr>
          <w:p w14:paraId="38F495EC" w14:textId="72C448F8" w:rsidR="005064A9" w:rsidRDefault="005064A9" w:rsidP="00BB42BA">
            <w:pPr>
              <w:spacing w:line="360" w:lineRule="auto"/>
            </w:pPr>
            <w:r w:rsidRPr="005064A9">
              <w:t>ACP, ação popular, ação possessória — qual o instrumento escolhido e por quê? O instrumento foi adequado à complexidade do problema?</w:t>
            </w:r>
            <w:r>
              <w:t xml:space="preserve"> </w:t>
            </w:r>
          </w:p>
        </w:tc>
      </w:tr>
      <w:tr w:rsidR="005064A9" w14:paraId="0C599E74" w14:textId="77777777" w:rsidTr="004A2A84">
        <w:tc>
          <w:tcPr>
            <w:tcW w:w="3114" w:type="dxa"/>
          </w:tcPr>
          <w:p w14:paraId="75BFDF4C" w14:textId="067C699B" w:rsidR="005064A9" w:rsidRPr="005064A9" w:rsidRDefault="005064A9" w:rsidP="00BB42BA">
            <w:pPr>
              <w:spacing w:line="360" w:lineRule="auto"/>
            </w:pPr>
            <w:r w:rsidRPr="005064A9">
              <w:t>2.2 Polo ativo</w:t>
            </w:r>
          </w:p>
        </w:tc>
        <w:tc>
          <w:tcPr>
            <w:tcW w:w="5947" w:type="dxa"/>
          </w:tcPr>
          <w:p w14:paraId="5CE65BB9" w14:textId="699DEC69" w:rsidR="005064A9" w:rsidRPr="005064A9" w:rsidRDefault="005064A9" w:rsidP="00BB42BA">
            <w:pPr>
              <w:spacing w:line="360" w:lineRule="auto"/>
            </w:pPr>
            <w:r w:rsidRPr="005064A9">
              <w:t>MP, Defensoria, cidadão, coletivo — quem propôs a ação e em que momento? Houve pluralidade de autores ou ações conexas?</w:t>
            </w:r>
          </w:p>
        </w:tc>
      </w:tr>
      <w:tr w:rsidR="005064A9" w14:paraId="76A9F3E0" w14:textId="77777777" w:rsidTr="004A2A84">
        <w:tc>
          <w:tcPr>
            <w:tcW w:w="3114" w:type="dxa"/>
          </w:tcPr>
          <w:p w14:paraId="19DEF556" w14:textId="3A478782" w:rsidR="005064A9" w:rsidRDefault="005064A9" w:rsidP="00BB42BA">
            <w:pPr>
              <w:spacing w:line="360" w:lineRule="auto"/>
            </w:pPr>
            <w:r w:rsidRPr="005064A9">
              <w:t>2.3 Polo passivo</w:t>
            </w:r>
          </w:p>
        </w:tc>
        <w:tc>
          <w:tcPr>
            <w:tcW w:w="5947" w:type="dxa"/>
          </w:tcPr>
          <w:p w14:paraId="19769E77" w14:textId="2040D124" w:rsidR="005064A9" w:rsidRDefault="005064A9" w:rsidP="00BB42BA">
            <w:pPr>
              <w:spacing w:line="360" w:lineRule="auto"/>
            </w:pPr>
            <w:r w:rsidRPr="005064A9">
              <w:t>Município, empresa pública, concessionária — quem foi demandado e a delimitação da legitimidade passiva foi controversa?</w:t>
            </w:r>
          </w:p>
        </w:tc>
      </w:tr>
      <w:tr w:rsidR="005064A9" w14:paraId="08BFCB13" w14:textId="77777777" w:rsidTr="004A2A84">
        <w:tc>
          <w:tcPr>
            <w:tcW w:w="3114" w:type="dxa"/>
          </w:tcPr>
          <w:p w14:paraId="70FDBE80" w14:textId="7106172F" w:rsidR="005064A9" w:rsidRDefault="005064A9" w:rsidP="00BB42BA">
            <w:pPr>
              <w:spacing w:line="360" w:lineRule="auto"/>
            </w:pPr>
            <w:r w:rsidRPr="005064A9">
              <w:t>2.4 Ausências relevantes</w:t>
            </w:r>
          </w:p>
        </w:tc>
        <w:tc>
          <w:tcPr>
            <w:tcW w:w="5947" w:type="dxa"/>
          </w:tcPr>
          <w:p w14:paraId="51822484" w14:textId="5F759238" w:rsidR="005064A9" w:rsidRDefault="005064A9" w:rsidP="00BB42BA">
            <w:pPr>
              <w:spacing w:line="360" w:lineRule="auto"/>
            </w:pPr>
            <w:r w:rsidRPr="005064A9">
              <w:t>Quem deveria estar no processo e não estava — moradores sem citação, órgãos técnicos, entes federativos, empresas? Quando e como essa ausência foi corrigida?</w:t>
            </w:r>
          </w:p>
        </w:tc>
      </w:tr>
      <w:tr w:rsidR="005064A9" w14:paraId="4AEC5A26" w14:textId="77777777" w:rsidTr="004A2A84">
        <w:tc>
          <w:tcPr>
            <w:tcW w:w="3114" w:type="dxa"/>
          </w:tcPr>
          <w:p w14:paraId="40DE59B1" w14:textId="06B428C0" w:rsidR="005064A9" w:rsidRDefault="005064A9" w:rsidP="00BB42BA">
            <w:pPr>
              <w:spacing w:line="360" w:lineRule="auto"/>
            </w:pPr>
            <w:r w:rsidRPr="005064A9">
              <w:t>.5 Momento de entrada dos sujeitos vulneráveis</w:t>
            </w:r>
          </w:p>
        </w:tc>
        <w:tc>
          <w:tcPr>
            <w:tcW w:w="5947" w:type="dxa"/>
          </w:tcPr>
          <w:p w14:paraId="2D23A136" w14:textId="00489C3A" w:rsidR="005064A9" w:rsidRDefault="005064A9" w:rsidP="00BB42BA">
            <w:pPr>
              <w:spacing w:line="360" w:lineRule="auto"/>
            </w:pPr>
            <w:r w:rsidRPr="005064A9">
              <w:t>Os diretamente afetados participaram desde o início ou foram incorporados tardiamente? Por qual mecanismo — Defensoria, inspeção judicial, audiência?</w:t>
            </w:r>
          </w:p>
        </w:tc>
      </w:tr>
    </w:tbl>
    <w:p w14:paraId="1B82B6FA" w14:textId="77777777" w:rsidR="004E62D5" w:rsidRDefault="004E62D5" w:rsidP="00BB42BA">
      <w:pPr>
        <w:spacing w:line="360" w:lineRule="auto"/>
      </w:pPr>
    </w:p>
    <w:p w14:paraId="0B60AB3B" w14:textId="77777777" w:rsidR="00BB42BA" w:rsidRDefault="00BB42BA" w:rsidP="001E0578">
      <w:pPr>
        <w:spacing w:line="360" w:lineRule="auto"/>
        <w:ind w:firstLine="1418"/>
        <w:jc w:val="both"/>
      </w:pPr>
      <w:r w:rsidRPr="005064A9">
        <w:rPr>
          <w:i/>
          <w:iCs/>
        </w:rPr>
        <w:lastRenderedPageBreak/>
        <w:t>Pergunta síntese:</w:t>
      </w:r>
      <w:r>
        <w:t xml:space="preserve"> A arquitetura processual inicial foi capaz de capturar a complexidade social e institucional do problema urbano — ou precisou ser reconfigurada no curso do processo?</w:t>
      </w:r>
    </w:p>
    <w:p w14:paraId="1695B573" w14:textId="77777777" w:rsidR="00BB42BA" w:rsidRDefault="00BB42BA" w:rsidP="00BB42BA">
      <w:pPr>
        <w:spacing w:line="360" w:lineRule="auto"/>
      </w:pPr>
    </w:p>
    <w:p w14:paraId="085ECD67" w14:textId="77777777" w:rsidR="00BB42BA" w:rsidRPr="00C91474" w:rsidRDefault="00BB42BA" w:rsidP="00BB42BA">
      <w:pPr>
        <w:spacing w:line="360" w:lineRule="auto"/>
        <w:rPr>
          <w:i/>
          <w:iCs/>
        </w:rPr>
      </w:pPr>
      <w:r w:rsidRPr="00C91474">
        <w:rPr>
          <w:i/>
          <w:iCs/>
        </w:rPr>
        <w:t>Bloco 3 — Comportamento Judicial</w:t>
      </w:r>
    </w:p>
    <w:p w14:paraId="06D0C7F9" w14:textId="77777777" w:rsidR="00536E04" w:rsidRDefault="00536E04" w:rsidP="001E0578">
      <w:pPr>
        <w:spacing w:line="360" w:lineRule="auto"/>
        <w:ind w:firstLine="1418"/>
        <w:jc w:val="both"/>
      </w:pPr>
    </w:p>
    <w:p w14:paraId="37FAACFA" w14:textId="05FC4CB4" w:rsidR="00BB42BA" w:rsidRDefault="00536E04" w:rsidP="001E0578">
      <w:pPr>
        <w:spacing w:line="360" w:lineRule="auto"/>
        <w:ind w:firstLine="1418"/>
        <w:jc w:val="both"/>
      </w:pPr>
      <w:r>
        <w:t>Este terceiro bloco de perguntas procura identificar c</w:t>
      </w:r>
      <w:r w:rsidR="00BB42BA">
        <w:t>omo o Judiciário se posicionou diante de um problema que extrapolava a lógica binária do processo tradicional.</w:t>
      </w:r>
    </w:p>
    <w:tbl>
      <w:tblPr>
        <w:tblStyle w:val="Tabelacomgrade"/>
        <w:tblW w:w="0" w:type="auto"/>
        <w:tblLook w:val="04A0" w:firstRow="1" w:lastRow="0" w:firstColumn="1" w:lastColumn="0" w:noHBand="0" w:noVBand="1"/>
      </w:tblPr>
      <w:tblGrid>
        <w:gridCol w:w="3114"/>
        <w:gridCol w:w="5947"/>
      </w:tblGrid>
      <w:tr w:rsidR="00981B64" w14:paraId="081F7947" w14:textId="77777777" w:rsidTr="004A2A84">
        <w:tc>
          <w:tcPr>
            <w:tcW w:w="3114" w:type="dxa"/>
          </w:tcPr>
          <w:p w14:paraId="3688E514" w14:textId="74207995" w:rsidR="00981B64" w:rsidRDefault="00981B64" w:rsidP="00C91474">
            <w:pPr>
              <w:spacing w:line="360" w:lineRule="auto"/>
              <w:jc w:val="center"/>
            </w:pPr>
            <w:r w:rsidRPr="00981B64">
              <w:t>Variável</w:t>
            </w:r>
          </w:p>
        </w:tc>
        <w:tc>
          <w:tcPr>
            <w:tcW w:w="5947" w:type="dxa"/>
          </w:tcPr>
          <w:p w14:paraId="3CC90DB4" w14:textId="75C82974" w:rsidR="00981B64" w:rsidRDefault="00981B64" w:rsidP="00C91474">
            <w:pPr>
              <w:spacing w:line="360" w:lineRule="auto"/>
              <w:jc w:val="center"/>
            </w:pPr>
            <w:r w:rsidRPr="00981B64">
              <w:t>O que registrar</w:t>
            </w:r>
          </w:p>
        </w:tc>
      </w:tr>
      <w:tr w:rsidR="00981B64" w14:paraId="3A8ECD74" w14:textId="77777777" w:rsidTr="004A2A84">
        <w:tc>
          <w:tcPr>
            <w:tcW w:w="3114" w:type="dxa"/>
          </w:tcPr>
          <w:p w14:paraId="3A7C45D3" w14:textId="54585BF2" w:rsidR="00981B64" w:rsidRDefault="00981B64" w:rsidP="00981B64">
            <w:pPr>
              <w:spacing w:line="360" w:lineRule="auto"/>
              <w:jc w:val="both"/>
            </w:pPr>
            <w:r w:rsidRPr="00981B64">
              <w:t xml:space="preserve">3.1 Tipo de provimento de urgência   </w:t>
            </w:r>
          </w:p>
        </w:tc>
        <w:tc>
          <w:tcPr>
            <w:tcW w:w="5947" w:type="dxa"/>
          </w:tcPr>
          <w:p w14:paraId="4C8F8FDC" w14:textId="6BDAC77C" w:rsidR="00981B64" w:rsidRDefault="00981B64" w:rsidP="00981B64">
            <w:pPr>
              <w:spacing w:line="360" w:lineRule="auto"/>
              <w:jc w:val="both"/>
            </w:pPr>
            <w:r w:rsidRPr="00981B64">
              <w:t>Houve liminar? Foi concedida, negada, cumprida, revogada? O provimento de urgência correspondeu à urgência real do problema?</w:t>
            </w:r>
          </w:p>
        </w:tc>
      </w:tr>
      <w:tr w:rsidR="00981B64" w14:paraId="53FCC2EE" w14:textId="77777777" w:rsidTr="004A2A84">
        <w:tc>
          <w:tcPr>
            <w:tcW w:w="3114" w:type="dxa"/>
          </w:tcPr>
          <w:p w14:paraId="136CAF83" w14:textId="24AE41F3" w:rsidR="00981B64" w:rsidRDefault="00981B64" w:rsidP="00981B64">
            <w:pPr>
              <w:spacing w:line="360" w:lineRule="auto"/>
              <w:jc w:val="both"/>
            </w:pPr>
            <w:r w:rsidRPr="00981B64">
              <w:t>3.2 Modelo de sentença/acórdão</w:t>
            </w:r>
          </w:p>
        </w:tc>
        <w:tc>
          <w:tcPr>
            <w:tcW w:w="5947" w:type="dxa"/>
          </w:tcPr>
          <w:p w14:paraId="4B95FC4C" w14:textId="2FB17F57" w:rsidR="00981B64" w:rsidRDefault="00981B64" w:rsidP="00981B64">
            <w:pPr>
              <w:spacing w:line="360" w:lineRule="auto"/>
              <w:jc w:val="both"/>
            </w:pPr>
            <w:r w:rsidRPr="00981B64">
              <w:t>A decisão impôs resultado concreto, determinou apresentação de plano, fixou prazo e multa, ou construiu obrigação de meio?</w:t>
            </w:r>
          </w:p>
        </w:tc>
      </w:tr>
      <w:tr w:rsidR="00981B64" w14:paraId="4658C135" w14:textId="77777777" w:rsidTr="004A2A84">
        <w:tc>
          <w:tcPr>
            <w:tcW w:w="3114" w:type="dxa"/>
          </w:tcPr>
          <w:p w14:paraId="22CEFDB4" w14:textId="3DF67DC4" w:rsidR="00981B64" w:rsidRDefault="00981B64" w:rsidP="00981B64">
            <w:pPr>
              <w:spacing w:line="360" w:lineRule="auto"/>
              <w:jc w:val="both"/>
            </w:pPr>
            <w:r>
              <w:t>3</w:t>
            </w:r>
            <w:r w:rsidRPr="00981B64">
              <w:t>.3 Postura do juízo na execução</w:t>
            </w:r>
          </w:p>
        </w:tc>
        <w:tc>
          <w:tcPr>
            <w:tcW w:w="5947" w:type="dxa"/>
          </w:tcPr>
          <w:p w14:paraId="79E7A2AD" w14:textId="7F2D7774" w:rsidR="00981B64" w:rsidRDefault="00981B64" w:rsidP="00981B64">
            <w:pPr>
              <w:spacing w:line="360" w:lineRule="auto"/>
              <w:jc w:val="both"/>
            </w:pPr>
            <w:r w:rsidRPr="00981B64">
              <w:t>O juízo atuou como árbitro passivo, gestor ativo do cumprimento ou mediador entre as partes? Houve inspeções judiciais, audiências técnicas, mesas de negociação?</w:t>
            </w:r>
          </w:p>
        </w:tc>
      </w:tr>
      <w:tr w:rsidR="00981B64" w14:paraId="2A2840EE" w14:textId="77777777" w:rsidTr="004A2A84">
        <w:tc>
          <w:tcPr>
            <w:tcW w:w="3114" w:type="dxa"/>
          </w:tcPr>
          <w:p w14:paraId="201128CA" w14:textId="77777777" w:rsidR="00981B64" w:rsidRDefault="00981B64" w:rsidP="00981B64">
            <w:pPr>
              <w:spacing w:line="360" w:lineRule="auto"/>
              <w:jc w:val="both"/>
            </w:pPr>
          </w:p>
          <w:p w14:paraId="55F8D98E" w14:textId="4D5698FC" w:rsidR="00981B64" w:rsidRDefault="00981B64" w:rsidP="00981B64">
            <w:pPr>
              <w:spacing w:line="360" w:lineRule="auto"/>
              <w:jc w:val="both"/>
            </w:pPr>
            <w:r>
              <w:t xml:space="preserve"> 3.4 Tratamento da separação de poderes</w:t>
            </w:r>
          </w:p>
        </w:tc>
        <w:tc>
          <w:tcPr>
            <w:tcW w:w="5947" w:type="dxa"/>
          </w:tcPr>
          <w:p w14:paraId="46BF0B7B" w14:textId="054B59AD" w:rsidR="00981B64" w:rsidRDefault="00981B64" w:rsidP="00981B64">
            <w:pPr>
              <w:spacing w:line="360" w:lineRule="auto"/>
              <w:jc w:val="both"/>
            </w:pPr>
            <w:r w:rsidRPr="00981B64">
              <w:t>O juízo reconheceu limites à sua intervenção na formulação de políticas públicas? Como equilibrou a deferência administrativa com a exigibilidade do direito?</w:t>
            </w:r>
          </w:p>
        </w:tc>
      </w:tr>
      <w:tr w:rsidR="00981B64" w14:paraId="3A0DBF60" w14:textId="77777777" w:rsidTr="004A2A84">
        <w:tc>
          <w:tcPr>
            <w:tcW w:w="3114" w:type="dxa"/>
          </w:tcPr>
          <w:p w14:paraId="654FBCBB" w14:textId="5C026A12" w:rsidR="00981B64" w:rsidRDefault="00981B64" w:rsidP="00981B64">
            <w:pPr>
              <w:spacing w:line="360" w:lineRule="auto"/>
              <w:jc w:val="both"/>
            </w:pPr>
            <w:r w:rsidRPr="00981B64">
              <w:t>3.5 Uso de instrumentos coercitivos</w:t>
            </w:r>
          </w:p>
        </w:tc>
        <w:tc>
          <w:tcPr>
            <w:tcW w:w="5947" w:type="dxa"/>
          </w:tcPr>
          <w:p w14:paraId="3F083CB5" w14:textId="4ED896F3" w:rsidR="00981B64" w:rsidRDefault="00981B64" w:rsidP="00981B64">
            <w:pPr>
              <w:spacing w:line="360" w:lineRule="auto"/>
              <w:jc w:val="both"/>
            </w:pPr>
            <w:r w:rsidRPr="00981B64">
              <w:t>Multas e bloqueios foram aplicados? Produziram o efeito esperado ou se revelaram contraproducentes?</w:t>
            </w:r>
          </w:p>
        </w:tc>
      </w:tr>
    </w:tbl>
    <w:p w14:paraId="03D25679" w14:textId="77777777" w:rsidR="00981B64" w:rsidRDefault="00981B64" w:rsidP="00BB42BA">
      <w:pPr>
        <w:spacing w:line="360" w:lineRule="auto"/>
      </w:pPr>
    </w:p>
    <w:p w14:paraId="4E4253BF" w14:textId="6623BB39" w:rsidR="00BB42BA" w:rsidRDefault="00BB42BA" w:rsidP="00981B64">
      <w:pPr>
        <w:spacing w:line="360" w:lineRule="auto"/>
        <w:ind w:firstLine="1418"/>
        <w:jc w:val="both"/>
      </w:pPr>
      <w:r w:rsidRPr="00981B64">
        <w:rPr>
          <w:i/>
          <w:iCs/>
        </w:rPr>
        <w:t>Pergunta síntese:</w:t>
      </w:r>
      <w:r>
        <w:t xml:space="preserve"> O comportamento judicial em cada caso foi mais próximo do modelo de adjudicação clássica, do modelo de supervisão estrutural ou do modelo de mediação institucional — e qual desses modelos produziu melhores resultados?</w:t>
      </w:r>
    </w:p>
    <w:p w14:paraId="61939D4D" w14:textId="77777777" w:rsidR="00BB42BA" w:rsidRPr="00C91474" w:rsidRDefault="00BB42BA" w:rsidP="00BB42BA">
      <w:pPr>
        <w:spacing w:line="360" w:lineRule="auto"/>
        <w:rPr>
          <w:i/>
          <w:iCs/>
        </w:rPr>
      </w:pPr>
    </w:p>
    <w:p w14:paraId="770687C8" w14:textId="77777777" w:rsidR="00BB42BA" w:rsidRPr="00C91474" w:rsidRDefault="00BB42BA" w:rsidP="00BB42BA">
      <w:pPr>
        <w:spacing w:line="360" w:lineRule="auto"/>
        <w:rPr>
          <w:i/>
          <w:iCs/>
        </w:rPr>
      </w:pPr>
      <w:r w:rsidRPr="00C91474">
        <w:rPr>
          <w:i/>
          <w:iCs/>
        </w:rPr>
        <w:t>Bloco 4 — Resposta Governamental Induzida</w:t>
      </w:r>
    </w:p>
    <w:p w14:paraId="20F7EF4A" w14:textId="77777777" w:rsidR="00981B64" w:rsidRDefault="00981B64" w:rsidP="00BB42BA">
      <w:pPr>
        <w:spacing w:line="360" w:lineRule="auto"/>
      </w:pPr>
    </w:p>
    <w:p w14:paraId="50940AAD" w14:textId="0F5174A8" w:rsidR="00BB42BA" w:rsidRDefault="00981B64" w:rsidP="00981B64">
      <w:pPr>
        <w:spacing w:line="360" w:lineRule="auto"/>
        <w:ind w:firstLine="1418"/>
        <w:jc w:val="both"/>
      </w:pPr>
      <w:r>
        <w:t>Este quarto bloco é o</w:t>
      </w:r>
      <w:r w:rsidR="00BB42BA">
        <w:t xml:space="preserve"> núcleo do roteiro: </w:t>
      </w:r>
      <w:r>
        <w:t xml:space="preserve">busca identificar </w:t>
      </w:r>
      <w:r w:rsidR="00BB42BA">
        <w:t>como a ação governamental foi modificada — em conteúdo, forma e qualidade — pela presença do processo judicial.</w:t>
      </w:r>
    </w:p>
    <w:tbl>
      <w:tblPr>
        <w:tblStyle w:val="Tabelacomgrade"/>
        <w:tblW w:w="0" w:type="auto"/>
        <w:tblLook w:val="04A0" w:firstRow="1" w:lastRow="0" w:firstColumn="1" w:lastColumn="0" w:noHBand="0" w:noVBand="1"/>
      </w:tblPr>
      <w:tblGrid>
        <w:gridCol w:w="3114"/>
        <w:gridCol w:w="5947"/>
      </w:tblGrid>
      <w:tr w:rsidR="00981B64" w14:paraId="389F0D35" w14:textId="77777777" w:rsidTr="004A2A84">
        <w:tc>
          <w:tcPr>
            <w:tcW w:w="3114" w:type="dxa"/>
          </w:tcPr>
          <w:p w14:paraId="0FD0FAA4" w14:textId="3B352A08" w:rsidR="00981B64" w:rsidRDefault="00981B64" w:rsidP="00C91474">
            <w:pPr>
              <w:spacing w:line="360" w:lineRule="auto"/>
              <w:jc w:val="center"/>
            </w:pPr>
            <w:r w:rsidRPr="00981B64">
              <w:lastRenderedPageBreak/>
              <w:t>Variável</w:t>
            </w:r>
          </w:p>
        </w:tc>
        <w:tc>
          <w:tcPr>
            <w:tcW w:w="5947" w:type="dxa"/>
          </w:tcPr>
          <w:p w14:paraId="5F2C1142" w14:textId="3972AD1D" w:rsidR="00981B64" w:rsidRDefault="00981B64" w:rsidP="00C91474">
            <w:pPr>
              <w:spacing w:line="360" w:lineRule="auto"/>
              <w:jc w:val="center"/>
            </w:pPr>
            <w:r w:rsidRPr="00981B64">
              <w:t>O que registrar</w:t>
            </w:r>
          </w:p>
        </w:tc>
      </w:tr>
      <w:tr w:rsidR="00981B64" w14:paraId="58D1E6C0" w14:textId="77777777" w:rsidTr="004A2A84">
        <w:tc>
          <w:tcPr>
            <w:tcW w:w="3114" w:type="dxa"/>
          </w:tcPr>
          <w:p w14:paraId="48CA8A3D" w14:textId="0F2E0A0E" w:rsidR="00981B64" w:rsidRDefault="00981B64" w:rsidP="00981B64">
            <w:pPr>
              <w:spacing w:line="360" w:lineRule="auto"/>
              <w:jc w:val="both"/>
            </w:pPr>
            <w:r w:rsidRPr="00981B64">
              <w:t>4.1 Tipo de resposta inicial</w:t>
            </w:r>
          </w:p>
        </w:tc>
        <w:tc>
          <w:tcPr>
            <w:tcW w:w="5947" w:type="dxa"/>
          </w:tcPr>
          <w:p w14:paraId="1D2613CA" w14:textId="137691C9" w:rsidR="00981B64" w:rsidRDefault="00981B64" w:rsidP="00981B64">
            <w:pPr>
              <w:spacing w:line="360" w:lineRule="auto"/>
              <w:jc w:val="both"/>
            </w:pPr>
            <w:r w:rsidRPr="00981B64">
              <w:t>O governo resistiu, negociou, cumpriu parcialmente ou ignorou a determinação judicial? A resposta variou ao longo do tempo?</w:t>
            </w:r>
          </w:p>
        </w:tc>
      </w:tr>
      <w:tr w:rsidR="00981B64" w14:paraId="0AEB4D8E" w14:textId="77777777" w:rsidTr="004A2A84">
        <w:tc>
          <w:tcPr>
            <w:tcW w:w="3114" w:type="dxa"/>
          </w:tcPr>
          <w:p w14:paraId="078E40B3" w14:textId="50C8F505" w:rsidR="00981B64" w:rsidRDefault="00981B64" w:rsidP="00981B64">
            <w:pPr>
              <w:spacing w:line="360" w:lineRule="auto"/>
              <w:jc w:val="both"/>
            </w:pPr>
            <w:r w:rsidRPr="00981B64">
              <w:t>4.2 Reconfiguração da política pública</w:t>
            </w:r>
          </w:p>
        </w:tc>
        <w:tc>
          <w:tcPr>
            <w:tcW w:w="5947" w:type="dxa"/>
          </w:tcPr>
          <w:p w14:paraId="7754CA8C" w14:textId="1A64EF9A" w:rsidR="00981B64" w:rsidRDefault="00981B64" w:rsidP="00981B64">
            <w:pPr>
              <w:spacing w:line="360" w:lineRule="auto"/>
              <w:jc w:val="both"/>
            </w:pPr>
            <w:r w:rsidRPr="00981B64">
              <w:t xml:space="preserve">O litígio induziu mudança apenas operacional (cumprir o que já estava previsto) ou qualitativa (reorientar a política, </w:t>
            </w:r>
            <w:proofErr w:type="gramStart"/>
            <w:r w:rsidRPr="00981B64">
              <w:t>criar novo</w:t>
            </w:r>
            <w:proofErr w:type="gramEnd"/>
            <w:r w:rsidRPr="00981B64">
              <w:t xml:space="preserve"> serviço, adotar novo modelo)?</w:t>
            </w:r>
          </w:p>
        </w:tc>
      </w:tr>
      <w:tr w:rsidR="00981B64" w14:paraId="36F5B2F1" w14:textId="77777777" w:rsidTr="004A2A84">
        <w:tc>
          <w:tcPr>
            <w:tcW w:w="3114" w:type="dxa"/>
          </w:tcPr>
          <w:p w14:paraId="000AFB42" w14:textId="6C6FAC87" w:rsidR="00981B64" w:rsidRDefault="00981B64" w:rsidP="00981B64">
            <w:pPr>
              <w:spacing w:line="360" w:lineRule="auto"/>
              <w:jc w:val="both"/>
            </w:pPr>
            <w:r w:rsidRPr="00981B64">
              <w:t>4.3 Instrumentos governamentais produzidos</w:t>
            </w:r>
          </w:p>
        </w:tc>
        <w:tc>
          <w:tcPr>
            <w:tcW w:w="5947" w:type="dxa"/>
          </w:tcPr>
          <w:p w14:paraId="4055CF12" w14:textId="53261A9E" w:rsidR="00981B64" w:rsidRDefault="00981B64" w:rsidP="00981B64">
            <w:pPr>
              <w:spacing w:line="360" w:lineRule="auto"/>
              <w:jc w:val="both"/>
            </w:pPr>
            <w:r w:rsidRPr="00981B64">
              <w:t>Plano Diretor, plano de contingência, plano de intervenção, acordo de ampliação de serviço — quais documentos e compromissos formais foram gerados pelo processo?</w:t>
            </w:r>
          </w:p>
        </w:tc>
      </w:tr>
      <w:tr w:rsidR="00981B64" w14:paraId="720406EF" w14:textId="77777777" w:rsidTr="004A2A84">
        <w:tc>
          <w:tcPr>
            <w:tcW w:w="3114" w:type="dxa"/>
          </w:tcPr>
          <w:p w14:paraId="0ADEA105" w14:textId="5DFACA6C" w:rsidR="00981B64" w:rsidRDefault="00981B64" w:rsidP="00981B64">
            <w:pPr>
              <w:spacing w:line="360" w:lineRule="auto"/>
              <w:jc w:val="both"/>
            </w:pPr>
            <w:r w:rsidRPr="00981B64">
              <w:t>4.4 Qualidade técnica da resposta</w:t>
            </w:r>
          </w:p>
        </w:tc>
        <w:tc>
          <w:tcPr>
            <w:tcW w:w="5947" w:type="dxa"/>
          </w:tcPr>
          <w:p w14:paraId="19D3EBA6" w14:textId="7110D73D" w:rsidR="00981B64" w:rsidRDefault="00981B64" w:rsidP="00981B64">
            <w:pPr>
              <w:spacing w:line="360" w:lineRule="auto"/>
              <w:jc w:val="both"/>
            </w:pPr>
            <w:r w:rsidRPr="00981B64">
              <w:t>A solução governamental foi tecnicamente adequada ao problema? Houve necessidade de revisão por insuficiência técnica da primeira versão apresentada?</w:t>
            </w:r>
          </w:p>
        </w:tc>
      </w:tr>
      <w:tr w:rsidR="00981B64" w14:paraId="17F85FED" w14:textId="77777777" w:rsidTr="004A2A84">
        <w:tc>
          <w:tcPr>
            <w:tcW w:w="3114" w:type="dxa"/>
          </w:tcPr>
          <w:p w14:paraId="1F8AF18B" w14:textId="2E46A845" w:rsidR="00981B64" w:rsidRDefault="00981B64" w:rsidP="00981B64">
            <w:pPr>
              <w:spacing w:line="360" w:lineRule="auto"/>
              <w:jc w:val="both"/>
            </w:pPr>
            <w:r w:rsidRPr="00981B64">
              <w:t>4.5 Custo político e orçamentário</w:t>
            </w:r>
          </w:p>
        </w:tc>
        <w:tc>
          <w:tcPr>
            <w:tcW w:w="5947" w:type="dxa"/>
          </w:tcPr>
          <w:p w14:paraId="30611892" w14:textId="2B94181F" w:rsidR="00981B64" w:rsidRDefault="00981B64" w:rsidP="00981B64">
            <w:pPr>
              <w:spacing w:line="360" w:lineRule="auto"/>
              <w:jc w:val="both"/>
            </w:pPr>
            <w:r w:rsidRPr="00981B64">
              <w:t>O cumprimento da obrigação judicial gerou disputa por recursos, resistência interna na administração ou impacto em outras políticas?</w:t>
            </w:r>
          </w:p>
        </w:tc>
      </w:tr>
    </w:tbl>
    <w:p w14:paraId="5021B9B6" w14:textId="77777777" w:rsidR="00981B64" w:rsidRDefault="00981B64" w:rsidP="00981B64">
      <w:pPr>
        <w:spacing w:line="360" w:lineRule="auto"/>
        <w:jc w:val="both"/>
      </w:pPr>
    </w:p>
    <w:p w14:paraId="41166466" w14:textId="4BAFC18C" w:rsidR="00BB42BA" w:rsidRDefault="00BB42BA" w:rsidP="00981B64">
      <w:pPr>
        <w:spacing w:line="360" w:lineRule="auto"/>
        <w:ind w:firstLine="1418"/>
        <w:jc w:val="both"/>
      </w:pPr>
      <w:r w:rsidRPr="00981B64">
        <w:rPr>
          <w:i/>
          <w:iCs/>
        </w:rPr>
        <w:t>Pergunta síntese</w:t>
      </w:r>
      <w:r>
        <w:t xml:space="preserve">: Em cada caso, o processo judicial funcionou como substituto, indutor ou parceiro da ação governamental — e qual dessas relações </w:t>
      </w:r>
      <w:r w:rsidR="00981B64">
        <w:t xml:space="preserve">resultou num aperfeiçoamento da </w:t>
      </w:r>
      <w:r>
        <w:t>política pública?</w:t>
      </w:r>
    </w:p>
    <w:p w14:paraId="13168522" w14:textId="77777777" w:rsidR="00BB42BA" w:rsidRDefault="00BB42BA" w:rsidP="00BB42BA">
      <w:pPr>
        <w:spacing w:line="360" w:lineRule="auto"/>
      </w:pPr>
    </w:p>
    <w:p w14:paraId="61FE284A" w14:textId="77777777" w:rsidR="00BB42BA" w:rsidRPr="00C91474" w:rsidRDefault="00BB42BA" w:rsidP="00BB42BA">
      <w:pPr>
        <w:spacing w:line="360" w:lineRule="auto"/>
        <w:rPr>
          <w:i/>
          <w:iCs/>
        </w:rPr>
      </w:pPr>
      <w:r w:rsidRPr="00C91474">
        <w:rPr>
          <w:i/>
          <w:iCs/>
        </w:rPr>
        <w:t>Bloco 5 — Arranjo Institucional Construído</w:t>
      </w:r>
    </w:p>
    <w:p w14:paraId="27A4C5E0" w14:textId="77777777" w:rsidR="00981B64" w:rsidRPr="00981B64" w:rsidRDefault="00981B64" w:rsidP="00BB42BA">
      <w:pPr>
        <w:spacing w:line="360" w:lineRule="auto"/>
        <w:rPr>
          <w:b/>
          <w:bCs/>
        </w:rPr>
      </w:pPr>
    </w:p>
    <w:p w14:paraId="6E5C8EE6" w14:textId="5B353CFF" w:rsidR="00BB42BA" w:rsidRDefault="00BB42BA" w:rsidP="004A2A84">
      <w:pPr>
        <w:spacing w:line="360" w:lineRule="auto"/>
        <w:ind w:firstLine="1418"/>
        <w:jc w:val="both"/>
      </w:pPr>
      <w:r>
        <w:t>O processo judicial</w:t>
      </w:r>
      <w:r w:rsidR="004A2A84">
        <w:t xml:space="preserve">, em regra, não apresenta sozinho uma solução para </w:t>
      </w:r>
      <w:r>
        <w:t>um problema urbano estrutural. Este bloco mapeia o ecossistema de atores e vínculos que emerge do litígio.</w:t>
      </w:r>
    </w:p>
    <w:tbl>
      <w:tblPr>
        <w:tblStyle w:val="Tabelacomgrade"/>
        <w:tblW w:w="0" w:type="auto"/>
        <w:tblLook w:val="04A0" w:firstRow="1" w:lastRow="0" w:firstColumn="1" w:lastColumn="0" w:noHBand="0" w:noVBand="1"/>
      </w:tblPr>
      <w:tblGrid>
        <w:gridCol w:w="3256"/>
        <w:gridCol w:w="5805"/>
      </w:tblGrid>
      <w:tr w:rsidR="004A2A84" w14:paraId="3B163FDA" w14:textId="77777777" w:rsidTr="004A2A84">
        <w:tc>
          <w:tcPr>
            <w:tcW w:w="3256" w:type="dxa"/>
          </w:tcPr>
          <w:p w14:paraId="65A86C5F" w14:textId="46609AC8" w:rsidR="004A2A84" w:rsidRDefault="009B266B" w:rsidP="00C91474">
            <w:pPr>
              <w:spacing w:line="360" w:lineRule="auto"/>
              <w:jc w:val="center"/>
            </w:pPr>
            <w:r w:rsidRPr="009B266B">
              <w:t>Variável</w:t>
            </w:r>
          </w:p>
        </w:tc>
        <w:tc>
          <w:tcPr>
            <w:tcW w:w="5805" w:type="dxa"/>
          </w:tcPr>
          <w:p w14:paraId="09527319" w14:textId="008CDF83" w:rsidR="004A2A84" w:rsidRDefault="009B266B" w:rsidP="00C91474">
            <w:pPr>
              <w:spacing w:line="360" w:lineRule="auto"/>
              <w:jc w:val="center"/>
            </w:pPr>
            <w:r>
              <w:t>O que registrar</w:t>
            </w:r>
          </w:p>
        </w:tc>
      </w:tr>
      <w:tr w:rsidR="004A2A84" w14:paraId="147B646E" w14:textId="77777777" w:rsidTr="004A2A84">
        <w:tc>
          <w:tcPr>
            <w:tcW w:w="3256" w:type="dxa"/>
          </w:tcPr>
          <w:p w14:paraId="5F9C69C2" w14:textId="606A905C" w:rsidR="004A2A84" w:rsidRDefault="009B266B" w:rsidP="009B266B">
            <w:pPr>
              <w:spacing w:line="360" w:lineRule="auto"/>
            </w:pPr>
            <w:r>
              <w:t>5.1 Atores institucionais envolvidos</w:t>
            </w:r>
          </w:p>
        </w:tc>
        <w:tc>
          <w:tcPr>
            <w:tcW w:w="5805" w:type="dxa"/>
          </w:tcPr>
          <w:p w14:paraId="0E920FF8" w14:textId="7262885E" w:rsidR="004A2A84" w:rsidRDefault="009B266B" w:rsidP="00BB42BA">
            <w:pPr>
              <w:spacing w:line="360" w:lineRule="auto"/>
            </w:pPr>
            <w:r w:rsidRPr="009B266B">
              <w:t>Quais órgãos, entidades, empresas públicas, conselhos, movimentos e organismos técnicos participaram da solução — dentro e fora do processo?</w:t>
            </w:r>
          </w:p>
        </w:tc>
      </w:tr>
      <w:tr w:rsidR="004A2A84" w14:paraId="3DDCE42F" w14:textId="77777777" w:rsidTr="004A2A84">
        <w:tc>
          <w:tcPr>
            <w:tcW w:w="3256" w:type="dxa"/>
          </w:tcPr>
          <w:p w14:paraId="5CC88070" w14:textId="691BE8E2" w:rsidR="004A2A84" w:rsidRDefault="009B266B" w:rsidP="00BB42BA">
            <w:pPr>
              <w:spacing w:line="360" w:lineRule="auto"/>
            </w:pPr>
            <w:r w:rsidRPr="009B266B">
              <w:t>5.2 Forma de articulação entre atores</w:t>
            </w:r>
          </w:p>
        </w:tc>
        <w:tc>
          <w:tcPr>
            <w:tcW w:w="5805" w:type="dxa"/>
          </w:tcPr>
          <w:p w14:paraId="12F43689" w14:textId="43F86064" w:rsidR="004A2A84" w:rsidRDefault="009B266B" w:rsidP="00BB42BA">
            <w:pPr>
              <w:spacing w:line="360" w:lineRule="auto"/>
            </w:pPr>
            <w:r w:rsidRPr="009B266B">
              <w:t>A relação entre os atores foi hierárquica, negocial, conflituosa ou colaborativa? Houve momentos distintos com dinâmicas diferentes?</w:t>
            </w:r>
          </w:p>
        </w:tc>
      </w:tr>
      <w:tr w:rsidR="004A2A84" w14:paraId="79A96F6E" w14:textId="77777777" w:rsidTr="004A2A84">
        <w:tc>
          <w:tcPr>
            <w:tcW w:w="3256" w:type="dxa"/>
          </w:tcPr>
          <w:p w14:paraId="5E2AC4AD" w14:textId="15824A0F" w:rsidR="004A2A84" w:rsidRDefault="009B266B" w:rsidP="00BB42BA">
            <w:pPr>
              <w:spacing w:line="360" w:lineRule="auto"/>
            </w:pPr>
            <w:r w:rsidRPr="009B266B">
              <w:lastRenderedPageBreak/>
              <w:t>5.3 Papel dos conselhos e instâncias participativas</w:t>
            </w:r>
          </w:p>
        </w:tc>
        <w:tc>
          <w:tcPr>
            <w:tcW w:w="5805" w:type="dxa"/>
          </w:tcPr>
          <w:p w14:paraId="29C80661" w14:textId="19592883" w:rsidR="004A2A84" w:rsidRDefault="009B266B" w:rsidP="00BB42BA">
            <w:pPr>
              <w:spacing w:line="360" w:lineRule="auto"/>
            </w:pPr>
            <w:r w:rsidRPr="009B266B">
              <w:t>Conselho Gestor, conselho de meio ambiente, lideranças comunitárias — foram incorporados formalmente ao arranjo ou atuaram de forma marginal?</w:t>
            </w:r>
          </w:p>
        </w:tc>
      </w:tr>
      <w:tr w:rsidR="004A2A84" w14:paraId="6A7AE5E4" w14:textId="77777777" w:rsidTr="004A2A84">
        <w:tc>
          <w:tcPr>
            <w:tcW w:w="3256" w:type="dxa"/>
          </w:tcPr>
          <w:p w14:paraId="7424D800" w14:textId="19FE36E5" w:rsidR="004A2A84" w:rsidRDefault="009B266B" w:rsidP="00BB42BA">
            <w:pPr>
              <w:spacing w:line="360" w:lineRule="auto"/>
            </w:pPr>
            <w:r w:rsidRPr="009B266B">
              <w:t xml:space="preserve">5.4 Mecanismos de monitoramento continuado  </w:t>
            </w:r>
          </w:p>
        </w:tc>
        <w:tc>
          <w:tcPr>
            <w:tcW w:w="5805" w:type="dxa"/>
          </w:tcPr>
          <w:p w14:paraId="447F80BF" w14:textId="35EC27C1" w:rsidR="004A2A84" w:rsidRDefault="009B266B" w:rsidP="00BB42BA">
            <w:pPr>
              <w:spacing w:line="360" w:lineRule="auto"/>
            </w:pPr>
            <w:r w:rsidRPr="009B266B">
              <w:t>Após o acordo ou sentença, quem ficou responsável pelo acompanhamento? O monitoramento foi judicial, ministerial, social ou híbrido?</w:t>
            </w:r>
          </w:p>
        </w:tc>
      </w:tr>
      <w:tr w:rsidR="004A2A84" w14:paraId="4D2E956B" w14:textId="77777777" w:rsidTr="004A2A84">
        <w:tc>
          <w:tcPr>
            <w:tcW w:w="3256" w:type="dxa"/>
          </w:tcPr>
          <w:p w14:paraId="07D2591D" w14:textId="2BEF2705" w:rsidR="004A2A84" w:rsidRDefault="009B266B" w:rsidP="00BB42BA">
            <w:pPr>
              <w:spacing w:line="360" w:lineRule="auto"/>
            </w:pPr>
            <w:r w:rsidRPr="009B266B">
              <w:t>5.5 Sustentabilidade do arranjo</w:t>
            </w:r>
          </w:p>
        </w:tc>
        <w:tc>
          <w:tcPr>
            <w:tcW w:w="5805" w:type="dxa"/>
          </w:tcPr>
          <w:p w14:paraId="2BB155A0" w14:textId="51468365" w:rsidR="004A2A84" w:rsidRDefault="009B266B" w:rsidP="00BB42BA">
            <w:pPr>
              <w:spacing w:line="360" w:lineRule="auto"/>
            </w:pPr>
            <w:r w:rsidRPr="009B266B">
              <w:t>O arranjo institucional construído tem capacidade de perdurar além do processo judicial? Depende da presença do Judiciário para funcionar?</w:t>
            </w:r>
          </w:p>
        </w:tc>
      </w:tr>
    </w:tbl>
    <w:p w14:paraId="1E2DEC78" w14:textId="77777777" w:rsidR="00981B64" w:rsidRDefault="00981B64" w:rsidP="00BB42BA">
      <w:pPr>
        <w:spacing w:line="360" w:lineRule="auto"/>
      </w:pPr>
    </w:p>
    <w:p w14:paraId="72015AE9" w14:textId="7747F278" w:rsidR="00BB42BA" w:rsidRDefault="00BB42BA" w:rsidP="00981B64">
      <w:pPr>
        <w:spacing w:line="360" w:lineRule="auto"/>
        <w:ind w:firstLine="1418"/>
        <w:jc w:val="both"/>
      </w:pPr>
      <w:r w:rsidRPr="00981B64">
        <w:rPr>
          <w:i/>
          <w:iCs/>
        </w:rPr>
        <w:t>Pergunta síntese</w:t>
      </w:r>
      <w:r>
        <w:t>: O litígio gerou arranjo institucional capaz de sobreviver ao encerramento do processo — ou a solução é frágil e dependente da pressão judicial contínua?</w:t>
      </w:r>
    </w:p>
    <w:p w14:paraId="39099B0D" w14:textId="77777777" w:rsidR="00BB42BA" w:rsidRDefault="00BB42BA" w:rsidP="00BB42BA">
      <w:pPr>
        <w:spacing w:line="360" w:lineRule="auto"/>
      </w:pPr>
    </w:p>
    <w:p w14:paraId="408E05AF" w14:textId="77777777" w:rsidR="00BB42BA" w:rsidRPr="00C91474" w:rsidRDefault="00BB42BA" w:rsidP="00BB42BA">
      <w:pPr>
        <w:spacing w:line="360" w:lineRule="auto"/>
        <w:rPr>
          <w:i/>
          <w:iCs/>
        </w:rPr>
      </w:pPr>
      <w:r w:rsidRPr="00C91474">
        <w:rPr>
          <w:i/>
          <w:iCs/>
        </w:rPr>
        <w:t>Bloco 6 — Dimensão Territorial e Urbana da Solução</w:t>
      </w:r>
    </w:p>
    <w:p w14:paraId="662A89E9" w14:textId="77777777" w:rsidR="0053260A" w:rsidRDefault="0053260A" w:rsidP="00BB42BA">
      <w:pPr>
        <w:spacing w:line="360" w:lineRule="auto"/>
      </w:pPr>
    </w:p>
    <w:p w14:paraId="237CDAC0" w14:textId="2D36A302" w:rsidR="00BB42BA" w:rsidRDefault="00BB42BA" w:rsidP="0053260A">
      <w:pPr>
        <w:spacing w:line="360" w:lineRule="auto"/>
        <w:ind w:firstLine="1418"/>
      </w:pPr>
      <w:r>
        <w:t xml:space="preserve">Toda solução judicial em matéria urbana </w:t>
      </w:r>
      <w:r w:rsidR="0053260A">
        <w:t>aplica-se a</w:t>
      </w:r>
      <w:r>
        <w:t xml:space="preserve"> um território concreto. Este bloco avalia essa materialização.</w:t>
      </w:r>
    </w:p>
    <w:p w14:paraId="1C078183" w14:textId="77777777" w:rsidR="009B266B" w:rsidRDefault="009B266B" w:rsidP="009B266B">
      <w:pPr>
        <w:spacing w:line="360" w:lineRule="auto"/>
        <w:ind w:firstLine="1418"/>
        <w:jc w:val="both"/>
      </w:pPr>
    </w:p>
    <w:tbl>
      <w:tblPr>
        <w:tblStyle w:val="Tabelacomgrade"/>
        <w:tblW w:w="0" w:type="auto"/>
        <w:tblLook w:val="04A0" w:firstRow="1" w:lastRow="0" w:firstColumn="1" w:lastColumn="0" w:noHBand="0" w:noVBand="1"/>
      </w:tblPr>
      <w:tblGrid>
        <w:gridCol w:w="3256"/>
        <w:gridCol w:w="5805"/>
      </w:tblGrid>
      <w:tr w:rsidR="009B266B" w14:paraId="09A1693A" w14:textId="77777777" w:rsidTr="000F7576">
        <w:tc>
          <w:tcPr>
            <w:tcW w:w="3256" w:type="dxa"/>
          </w:tcPr>
          <w:p w14:paraId="67003210" w14:textId="6E28FF6E" w:rsidR="009B266B" w:rsidRDefault="009B266B" w:rsidP="000F7576">
            <w:pPr>
              <w:spacing w:line="360" w:lineRule="auto"/>
            </w:pPr>
            <w:r w:rsidRPr="009B266B">
              <w:t>Variável</w:t>
            </w:r>
          </w:p>
        </w:tc>
        <w:tc>
          <w:tcPr>
            <w:tcW w:w="5805" w:type="dxa"/>
          </w:tcPr>
          <w:p w14:paraId="0D8D87DA" w14:textId="610ACA43" w:rsidR="009B266B" w:rsidRDefault="009B266B" w:rsidP="000F7576">
            <w:pPr>
              <w:spacing w:line="360" w:lineRule="auto"/>
            </w:pPr>
            <w:r w:rsidRPr="009B266B">
              <w:t>O que registrar</w:t>
            </w:r>
          </w:p>
        </w:tc>
      </w:tr>
      <w:tr w:rsidR="009B266B" w14:paraId="35DCCABE" w14:textId="77777777" w:rsidTr="000F7576">
        <w:tc>
          <w:tcPr>
            <w:tcW w:w="3256" w:type="dxa"/>
          </w:tcPr>
          <w:p w14:paraId="104E7DEF" w14:textId="19976468" w:rsidR="009B266B" w:rsidRDefault="0053260A" w:rsidP="000F7576">
            <w:pPr>
              <w:spacing w:line="360" w:lineRule="auto"/>
            </w:pPr>
            <w:r w:rsidRPr="0053260A">
              <w:t>6.1 Transformação física produzida ou induzida</w:t>
            </w:r>
          </w:p>
        </w:tc>
        <w:tc>
          <w:tcPr>
            <w:tcW w:w="5805" w:type="dxa"/>
          </w:tcPr>
          <w:p w14:paraId="2E420594" w14:textId="3148A5D0" w:rsidR="009B266B" w:rsidRDefault="0053260A" w:rsidP="000F7576">
            <w:pPr>
              <w:spacing w:line="360" w:lineRule="auto"/>
            </w:pPr>
            <w:r w:rsidRPr="0053260A">
              <w:t>Houve obras, intervenções urbanísticas, relocações, implantação de infraestrutura? Estão concluídas, em andamento ou apenas planejadas?</w:t>
            </w:r>
          </w:p>
        </w:tc>
      </w:tr>
      <w:tr w:rsidR="009B266B" w14:paraId="5651991D" w14:textId="77777777" w:rsidTr="000F7576">
        <w:tc>
          <w:tcPr>
            <w:tcW w:w="3256" w:type="dxa"/>
          </w:tcPr>
          <w:p w14:paraId="725ABBE7" w14:textId="096497B9" w:rsidR="009B266B" w:rsidRDefault="0053260A" w:rsidP="000F7576">
            <w:pPr>
              <w:spacing w:line="360" w:lineRule="auto"/>
            </w:pPr>
            <w:r w:rsidRPr="0053260A">
              <w:t>6.2 Impacto sobre a população afetada</w:t>
            </w:r>
          </w:p>
        </w:tc>
        <w:tc>
          <w:tcPr>
            <w:tcW w:w="5805" w:type="dxa"/>
          </w:tcPr>
          <w:p w14:paraId="1DE787CE" w14:textId="12DBB0DC" w:rsidR="009B266B" w:rsidRDefault="0053260A" w:rsidP="000F7576">
            <w:pPr>
              <w:spacing w:line="360" w:lineRule="auto"/>
            </w:pPr>
            <w:r w:rsidRPr="0053260A">
              <w:t>A solução melhorou efetivamente as condições de vida, mobilidade, segurança ou acesso a serviços da população envolvida?</w:t>
            </w:r>
          </w:p>
        </w:tc>
      </w:tr>
      <w:tr w:rsidR="009B266B" w14:paraId="78EA42CE" w14:textId="77777777" w:rsidTr="000F7576">
        <w:tc>
          <w:tcPr>
            <w:tcW w:w="3256" w:type="dxa"/>
          </w:tcPr>
          <w:p w14:paraId="136BDEFB" w14:textId="1FAEE7E5" w:rsidR="009B266B" w:rsidRDefault="0053260A" w:rsidP="000F7576">
            <w:pPr>
              <w:spacing w:line="360" w:lineRule="auto"/>
            </w:pPr>
            <w:r w:rsidRPr="0053260A">
              <w:t>6.3 Relação com instrumentos de planejamento urbano</w:t>
            </w:r>
          </w:p>
        </w:tc>
        <w:tc>
          <w:tcPr>
            <w:tcW w:w="5805" w:type="dxa"/>
          </w:tcPr>
          <w:p w14:paraId="2C55F6D0" w14:textId="128817D3" w:rsidR="009B266B" w:rsidRDefault="0053260A" w:rsidP="000F7576">
            <w:pPr>
              <w:spacing w:line="360" w:lineRule="auto"/>
            </w:pPr>
            <w:r w:rsidRPr="0053260A">
              <w:t>A solução judicial se articulou com o Plano Diretor, ZEIS, legislação de mananciais, programas habitacionais ou outros instrumentos urbanísticos vigentes?</w:t>
            </w:r>
          </w:p>
        </w:tc>
      </w:tr>
      <w:tr w:rsidR="009B266B" w14:paraId="77A53C47" w14:textId="77777777" w:rsidTr="000F7576">
        <w:tc>
          <w:tcPr>
            <w:tcW w:w="3256" w:type="dxa"/>
          </w:tcPr>
          <w:p w14:paraId="4E11D059" w14:textId="54E89EF7" w:rsidR="009B266B" w:rsidRDefault="0053260A" w:rsidP="000F7576">
            <w:pPr>
              <w:spacing w:line="360" w:lineRule="auto"/>
            </w:pPr>
            <w:r w:rsidRPr="0053260A">
              <w:t>6.4 Efeitos sobre desigualdades socioespaciais</w:t>
            </w:r>
          </w:p>
        </w:tc>
        <w:tc>
          <w:tcPr>
            <w:tcW w:w="5805" w:type="dxa"/>
          </w:tcPr>
          <w:p w14:paraId="1C72B562" w14:textId="380339E1" w:rsidR="009B266B" w:rsidRDefault="0053260A" w:rsidP="000F7576">
            <w:pPr>
              <w:spacing w:line="360" w:lineRule="auto"/>
            </w:pPr>
            <w:r w:rsidRPr="0053260A">
              <w:t>A intervenção reduziu ou reproduziu desigualdades? Houve risco de gentrificação, remoção sem reassentamento adequado ou exclusão de grupos vulneráveis?</w:t>
            </w:r>
          </w:p>
        </w:tc>
      </w:tr>
      <w:tr w:rsidR="009B266B" w14:paraId="065EA15C" w14:textId="77777777" w:rsidTr="000F7576">
        <w:tc>
          <w:tcPr>
            <w:tcW w:w="3256" w:type="dxa"/>
          </w:tcPr>
          <w:p w14:paraId="19065B2B" w14:textId="230E59B8" w:rsidR="009B266B" w:rsidRDefault="0053260A" w:rsidP="000F7576">
            <w:pPr>
              <w:spacing w:line="360" w:lineRule="auto"/>
            </w:pPr>
            <w:r w:rsidRPr="0053260A">
              <w:lastRenderedPageBreak/>
              <w:t>6.5 Escala de replicabilidade</w:t>
            </w:r>
          </w:p>
        </w:tc>
        <w:tc>
          <w:tcPr>
            <w:tcW w:w="5805" w:type="dxa"/>
          </w:tcPr>
          <w:p w14:paraId="23E43F57" w14:textId="2800D3B6" w:rsidR="009B266B" w:rsidRDefault="0053260A" w:rsidP="000F7576">
            <w:pPr>
              <w:spacing w:line="360" w:lineRule="auto"/>
            </w:pPr>
            <w:r w:rsidRPr="0053260A">
              <w:t>A solução é aplicável a outros territórios com problemas semelhantes? Foi de fato replicada ou citada como referência em outros contextos?</w:t>
            </w:r>
          </w:p>
        </w:tc>
      </w:tr>
    </w:tbl>
    <w:p w14:paraId="7760F519" w14:textId="77777777" w:rsidR="009B266B" w:rsidRDefault="009B266B" w:rsidP="009B266B">
      <w:pPr>
        <w:spacing w:line="360" w:lineRule="auto"/>
      </w:pPr>
    </w:p>
    <w:p w14:paraId="2D381F42" w14:textId="77777777" w:rsidR="009B266B" w:rsidRDefault="009B266B" w:rsidP="00BB42BA">
      <w:pPr>
        <w:spacing w:line="360" w:lineRule="auto"/>
      </w:pPr>
    </w:p>
    <w:p w14:paraId="5320CA34" w14:textId="1B110D43" w:rsidR="00BB42BA" w:rsidRDefault="00BB42BA" w:rsidP="0053260A">
      <w:pPr>
        <w:spacing w:line="360" w:lineRule="auto"/>
        <w:ind w:firstLine="1418"/>
      </w:pPr>
      <w:r w:rsidRPr="0053260A">
        <w:rPr>
          <w:i/>
          <w:iCs/>
        </w:rPr>
        <w:t>Pergunta síntese</w:t>
      </w:r>
      <w:r>
        <w:t xml:space="preserve">: A solução jurídica </w:t>
      </w:r>
      <w:r w:rsidR="0053260A">
        <w:t xml:space="preserve">ampliou o direito de acesso a uma </w:t>
      </w:r>
      <w:proofErr w:type="gramStart"/>
      <w:r w:rsidR="0053260A">
        <w:t xml:space="preserve">cidade </w:t>
      </w:r>
      <w:r>
        <w:t xml:space="preserve"> mais</w:t>
      </w:r>
      <w:proofErr w:type="gramEnd"/>
      <w:r>
        <w:t xml:space="preserve"> justa, mais segura, mais acessível, mais sustentável — para quem estava em situação de maior vulnerabilidade?</w:t>
      </w:r>
    </w:p>
    <w:p w14:paraId="2BFA1784" w14:textId="77777777" w:rsidR="00BB42BA" w:rsidRPr="00C91474" w:rsidRDefault="00BB42BA" w:rsidP="00BB42BA">
      <w:pPr>
        <w:spacing w:line="360" w:lineRule="auto"/>
        <w:rPr>
          <w:i/>
          <w:iCs/>
        </w:rPr>
      </w:pPr>
    </w:p>
    <w:p w14:paraId="3464E8A3" w14:textId="77777777" w:rsidR="00BB42BA" w:rsidRPr="00C91474" w:rsidRDefault="00BB42BA" w:rsidP="00BB42BA">
      <w:pPr>
        <w:spacing w:line="360" w:lineRule="auto"/>
        <w:rPr>
          <w:i/>
          <w:iCs/>
        </w:rPr>
      </w:pPr>
      <w:r w:rsidRPr="00C91474">
        <w:rPr>
          <w:i/>
          <w:iCs/>
        </w:rPr>
        <w:t>Bloco 7 — Variáveis Críticas Transversais</w:t>
      </w:r>
    </w:p>
    <w:p w14:paraId="0F25A1D0" w14:textId="77777777" w:rsidR="00B73D7F" w:rsidRDefault="00B73D7F" w:rsidP="00BB42BA">
      <w:pPr>
        <w:spacing w:line="360" w:lineRule="auto"/>
      </w:pPr>
    </w:p>
    <w:p w14:paraId="1E3D8C35" w14:textId="72758F62" w:rsidR="00BB42BA" w:rsidRDefault="00B73D7F" w:rsidP="00B2786A">
      <w:pPr>
        <w:spacing w:line="360" w:lineRule="auto"/>
        <w:ind w:firstLine="1418"/>
        <w:jc w:val="both"/>
      </w:pPr>
      <w:r>
        <w:t>N</w:t>
      </w:r>
      <w:r w:rsidR="00BB42BA">
        <w:t xml:space="preserve">os casos examinados, </w:t>
      </w:r>
      <w:r>
        <w:t xml:space="preserve">foram quatro os fatores que se </w:t>
      </w:r>
      <w:r w:rsidR="00BB42BA">
        <w:t>mostraram decisivos para o sucesso ou fracasso da intervenção judicial — independentemente do tipo de conflito</w:t>
      </w:r>
      <w:r w:rsidR="00B2786A">
        <w:t>, motivo pelo também são organizados em um bloco complementar.</w:t>
      </w:r>
    </w:p>
    <w:tbl>
      <w:tblPr>
        <w:tblStyle w:val="Tabelacomgrade"/>
        <w:tblW w:w="0" w:type="auto"/>
        <w:tblLook w:val="04A0" w:firstRow="1" w:lastRow="0" w:firstColumn="1" w:lastColumn="0" w:noHBand="0" w:noVBand="1"/>
      </w:tblPr>
      <w:tblGrid>
        <w:gridCol w:w="3256"/>
        <w:gridCol w:w="5805"/>
      </w:tblGrid>
      <w:tr w:rsidR="00B2786A" w14:paraId="5EBBF574" w14:textId="77777777" w:rsidTr="00B2786A">
        <w:tc>
          <w:tcPr>
            <w:tcW w:w="3256" w:type="dxa"/>
          </w:tcPr>
          <w:p w14:paraId="4E894102" w14:textId="6D7ECA3E" w:rsidR="00B2786A" w:rsidRPr="00B2786A" w:rsidRDefault="00B2786A" w:rsidP="00B2786A">
            <w:pPr>
              <w:spacing w:line="360" w:lineRule="auto"/>
              <w:jc w:val="both"/>
            </w:pPr>
            <w:r>
              <w:t>Variável</w:t>
            </w:r>
          </w:p>
        </w:tc>
        <w:tc>
          <w:tcPr>
            <w:tcW w:w="5805" w:type="dxa"/>
          </w:tcPr>
          <w:p w14:paraId="028FB914" w14:textId="7B3719DF" w:rsidR="00B2786A" w:rsidRDefault="00B2786A" w:rsidP="00B2786A">
            <w:pPr>
              <w:spacing w:line="360" w:lineRule="auto"/>
              <w:jc w:val="both"/>
            </w:pPr>
            <w:r>
              <w:t>Registrar</w:t>
            </w:r>
          </w:p>
        </w:tc>
      </w:tr>
      <w:tr w:rsidR="00B2786A" w14:paraId="108AA3DE" w14:textId="77777777" w:rsidTr="00B2786A">
        <w:tc>
          <w:tcPr>
            <w:tcW w:w="3256" w:type="dxa"/>
          </w:tcPr>
          <w:p w14:paraId="5C81B8E0" w14:textId="45016677" w:rsidR="00B2786A" w:rsidRDefault="00B2786A" w:rsidP="00B2786A">
            <w:pPr>
              <w:spacing w:line="360" w:lineRule="auto"/>
              <w:jc w:val="both"/>
            </w:pPr>
            <w:r w:rsidRPr="00B2786A">
              <w:t>7.1 O fator tempo</w:t>
            </w:r>
            <w:r>
              <w:t xml:space="preserve">: </w:t>
            </w:r>
            <w:r w:rsidRPr="00B2786A">
              <w:t xml:space="preserve">Em todos os quatro casos, o intervalo entre o problema, o ajuizamento e o cumprimento efetivo </w:t>
            </w:r>
            <w:proofErr w:type="gramStart"/>
            <w:r w:rsidRPr="00B2786A">
              <w:t>foi</w:t>
            </w:r>
            <w:proofErr w:type="gramEnd"/>
            <w:r w:rsidRPr="00B2786A">
              <w:t xml:space="preserve"> determinante.</w:t>
            </w:r>
          </w:p>
        </w:tc>
        <w:tc>
          <w:tcPr>
            <w:tcW w:w="5805" w:type="dxa"/>
          </w:tcPr>
          <w:p w14:paraId="779E575E" w14:textId="61756060" w:rsidR="00B2786A" w:rsidRDefault="00B2786A" w:rsidP="00B2786A">
            <w:pPr>
              <w:spacing w:line="360" w:lineRule="auto"/>
              <w:jc w:val="both"/>
            </w:pPr>
            <w:r>
              <w:t>Q</w:t>
            </w:r>
            <w:r w:rsidRPr="00B2786A">
              <w:t>uanto tempo durou cada fase; o tempo do processo correspondeu ao tempo da urgência urbana; a morosidade agravou o problema ou criou fatos consumados irreversíveis?</w:t>
            </w:r>
          </w:p>
        </w:tc>
      </w:tr>
      <w:tr w:rsidR="00B2786A" w14:paraId="053D07C1" w14:textId="77777777" w:rsidTr="00B2786A">
        <w:tc>
          <w:tcPr>
            <w:tcW w:w="3256" w:type="dxa"/>
          </w:tcPr>
          <w:p w14:paraId="58289CF8" w14:textId="77777777" w:rsidR="006A5077" w:rsidRDefault="006A5077" w:rsidP="006A5077">
            <w:pPr>
              <w:spacing w:line="360" w:lineRule="auto"/>
              <w:jc w:val="both"/>
            </w:pPr>
            <w:r>
              <w:t>7.2 O fator técnico</w:t>
            </w:r>
          </w:p>
          <w:p w14:paraId="31BD32B9" w14:textId="291AAF7C" w:rsidR="00B2786A" w:rsidRDefault="006A5077" w:rsidP="006A5077">
            <w:pPr>
              <w:spacing w:line="360" w:lineRule="auto"/>
              <w:jc w:val="both"/>
            </w:pPr>
            <w:r>
              <w:t>Nenhum dos quatro casos era resolúvel sem conhecimento especializado — geologia, ecologia, engenharia urbana, mobilidade, gestão ambiental.</w:t>
            </w:r>
          </w:p>
        </w:tc>
        <w:tc>
          <w:tcPr>
            <w:tcW w:w="5805" w:type="dxa"/>
          </w:tcPr>
          <w:p w14:paraId="424FAA17" w14:textId="1CC48F5F" w:rsidR="00B2786A" w:rsidRDefault="006A5077" w:rsidP="00B2786A">
            <w:pPr>
              <w:spacing w:line="360" w:lineRule="auto"/>
              <w:jc w:val="both"/>
            </w:pPr>
            <w:r w:rsidRPr="006A5077">
              <w:t>o processo incorporou expertise técnica adequada; houve perícias, assistentes técnicos, laudos; a solução final foi tecnicamente superior à originalmente proposta?</w:t>
            </w:r>
          </w:p>
        </w:tc>
      </w:tr>
      <w:tr w:rsidR="00B2786A" w14:paraId="1308A124" w14:textId="77777777" w:rsidTr="00B2786A">
        <w:tc>
          <w:tcPr>
            <w:tcW w:w="3256" w:type="dxa"/>
          </w:tcPr>
          <w:p w14:paraId="6FA0AD6C" w14:textId="77777777" w:rsidR="006A5077" w:rsidRDefault="006A5077" w:rsidP="006A5077">
            <w:pPr>
              <w:spacing w:line="360" w:lineRule="auto"/>
              <w:jc w:val="both"/>
            </w:pPr>
            <w:r>
              <w:t>7.3 O fator participação</w:t>
            </w:r>
          </w:p>
          <w:p w14:paraId="115F30F6" w14:textId="107E59FA" w:rsidR="00B2786A" w:rsidRDefault="006A5077" w:rsidP="006A5077">
            <w:pPr>
              <w:spacing w:line="360" w:lineRule="auto"/>
              <w:jc w:val="both"/>
            </w:pPr>
            <w:r>
              <w:t xml:space="preserve">A qualidade da participação popular e institucional foi variável </w:t>
            </w:r>
            <w:r w:rsidR="00357FC3">
              <w:t>relevante</w:t>
            </w:r>
            <w:r>
              <w:t xml:space="preserve"> em todos os casos.</w:t>
            </w:r>
          </w:p>
        </w:tc>
        <w:tc>
          <w:tcPr>
            <w:tcW w:w="5805" w:type="dxa"/>
          </w:tcPr>
          <w:p w14:paraId="0BE6098A" w14:textId="1F314CAF" w:rsidR="00B2786A" w:rsidRDefault="00357FC3" w:rsidP="00B2786A">
            <w:pPr>
              <w:spacing w:line="360" w:lineRule="auto"/>
              <w:jc w:val="both"/>
            </w:pPr>
            <w:r w:rsidRPr="00357FC3">
              <w:t>quando e como os afetados entraram no processo; a participação foi formal ou substantiva; alterou o conteúdo da solução; gerou maior adesão e sustentabilidade?</w:t>
            </w:r>
          </w:p>
        </w:tc>
      </w:tr>
      <w:tr w:rsidR="00B2786A" w14:paraId="29537DD9" w14:textId="77777777" w:rsidTr="00B2786A">
        <w:tc>
          <w:tcPr>
            <w:tcW w:w="3256" w:type="dxa"/>
          </w:tcPr>
          <w:p w14:paraId="524FD146" w14:textId="77777777" w:rsidR="00357FC3" w:rsidRDefault="00357FC3" w:rsidP="00357FC3">
            <w:pPr>
              <w:spacing w:line="360" w:lineRule="auto"/>
              <w:jc w:val="both"/>
            </w:pPr>
            <w:r>
              <w:t>7.4 O fator político</w:t>
            </w:r>
          </w:p>
          <w:p w14:paraId="4D1AA9C9" w14:textId="5B1C5799" w:rsidR="00B2786A" w:rsidRDefault="00357FC3" w:rsidP="00357FC3">
            <w:pPr>
              <w:spacing w:line="360" w:lineRule="auto"/>
              <w:jc w:val="both"/>
            </w:pPr>
            <w:r>
              <w:lastRenderedPageBreak/>
              <w:t>Litígios urbanos estruturais nunca são politicamente neutros.</w:t>
            </w:r>
          </w:p>
        </w:tc>
        <w:tc>
          <w:tcPr>
            <w:tcW w:w="5805" w:type="dxa"/>
          </w:tcPr>
          <w:p w14:paraId="12F05758" w14:textId="3C263204" w:rsidR="00B2786A" w:rsidRDefault="00357FC3" w:rsidP="00B2786A">
            <w:pPr>
              <w:spacing w:line="360" w:lineRule="auto"/>
              <w:jc w:val="both"/>
            </w:pPr>
            <w:r w:rsidRPr="00357FC3">
              <w:lastRenderedPageBreak/>
              <w:t xml:space="preserve">houve resistência política à solução; interesses econômicos privados interferiram; a alternância de gestão municipal </w:t>
            </w:r>
            <w:r w:rsidRPr="00357FC3">
              <w:lastRenderedPageBreak/>
              <w:t>afetou o cumprimento; o processo judicial foi instrumentalizado por atores com agendas específicas?</w:t>
            </w:r>
          </w:p>
        </w:tc>
      </w:tr>
    </w:tbl>
    <w:p w14:paraId="6662D534" w14:textId="77777777" w:rsidR="00B2786A" w:rsidRDefault="00B2786A" w:rsidP="00B2786A">
      <w:pPr>
        <w:spacing w:line="360" w:lineRule="auto"/>
        <w:ind w:firstLine="1418"/>
        <w:jc w:val="both"/>
      </w:pPr>
    </w:p>
    <w:p w14:paraId="37FFACCB" w14:textId="38453C99" w:rsidR="00C95413" w:rsidRDefault="00BB42BA" w:rsidP="00E16380">
      <w:pPr>
        <w:spacing w:line="360" w:lineRule="auto"/>
        <w:ind w:firstLine="1418"/>
        <w:jc w:val="both"/>
      </w:pPr>
      <w:r>
        <w:t>Este roteiro pode ser usado como instrumento de pesquisa, grade de análise para dissertações e teses, protocolo de acompanhamento de litígios estruturais por promotores, defensores e magistrados, ou ainda como base para a construção de indicadores de efetividade da intervenção judicial em políticas urbanas.</w:t>
      </w:r>
    </w:p>
    <w:p w14:paraId="32A7DFD9" w14:textId="40B17100" w:rsidR="00326528" w:rsidRDefault="00186C5F" w:rsidP="00186C5F">
      <w:pPr>
        <w:spacing w:line="360" w:lineRule="auto"/>
        <w:ind w:firstLine="1418"/>
        <w:jc w:val="both"/>
      </w:pPr>
      <w:r w:rsidRPr="00186C5F">
        <w:t>Esse roteiro, em constante desenvolv</w:t>
      </w:r>
      <w:r>
        <w:t>i</w:t>
      </w:r>
      <w:r w:rsidRPr="00186C5F">
        <w:t>mento, possui limitações. Uma das principais limitações reside na natureza dinâmica e polissêmica dos conflitos urbanos, que muitas vezes extrapolam a capacidade de síntese de uma grade de variáveis fixa. Enquanto o roteiro busca categorizar o "problema urbano de fundo", a realidade das cidades apresenta sobreposições de vulnerabilidades que se transformam ao longo do tempo processual. Isso significa que uma disfunção inicialmente identificada como risco geológico pode, no curso da ação, converter-se em uma crise de exclusão habitacional ou em um conflito de vizinhança, desafiando a estabilidade dos dados registrados e exigindo constantes reiterações da análise para que o retrato não se torne anacrônico.</w:t>
      </w:r>
    </w:p>
    <w:p w14:paraId="1316EB64" w14:textId="19808D49" w:rsidR="007F4760" w:rsidRDefault="007F4760" w:rsidP="00186C5F">
      <w:pPr>
        <w:spacing w:line="360" w:lineRule="auto"/>
        <w:ind w:firstLine="1418"/>
        <w:jc w:val="both"/>
      </w:pPr>
      <w:r w:rsidRPr="007F4760">
        <w:t>No campo do controle judicial de políticas públicas, o roteiro enfrenta o obstáculo da dificuldade localização de decisões estruturais proferidas em processos em fase de cumprimento estrutural de sentença. As decisões estruturais, muitas vezes, ocorrem de forma fragmentada, por vezes mediante atos administrativos cartorários, e se não houver o conhecimento específico daquela execução em andamento, e um acompanhamento próximo por parte do pesquisador, não será viável ter ciência de todas as etapas do processo decisório.</w:t>
      </w:r>
    </w:p>
    <w:p w14:paraId="52B41C50" w14:textId="40794360" w:rsidR="007F4760" w:rsidRDefault="007F4760" w:rsidP="00186C5F">
      <w:pPr>
        <w:spacing w:line="360" w:lineRule="auto"/>
        <w:ind w:firstLine="1418"/>
        <w:jc w:val="both"/>
      </w:pPr>
      <w:r w:rsidRPr="007F4760">
        <w:t>Ademais, a aplicação deste modelo a litígios estruturais esbarra na dificuldade de monitoramento da "sustentabilidade do arranjo institucional" após o encerramento formal do processo. Decisões estruturantes demandam uma supervisão de longo prazo que, muitas vezes, ultrapassa o tempo de vida de uma pesquisa acadêmica ou de um mandato institucional. Existe o risco de o roteiro registrar uma solução como "bem-sucedida" no momento da sentença ou do acordo, sem conseguir detectar retrocessos sociais ou o desmonte de instâncias participativas que ocorrem quando a pressão direta do Judiciário arrefece.</w:t>
      </w:r>
    </w:p>
    <w:p w14:paraId="52DDE1D5" w14:textId="72B2519D" w:rsidR="007F4760" w:rsidRDefault="007F4760" w:rsidP="00186C5F">
      <w:pPr>
        <w:spacing w:line="360" w:lineRule="auto"/>
        <w:ind w:firstLine="1418"/>
        <w:jc w:val="both"/>
      </w:pPr>
      <w:r w:rsidRPr="007F4760">
        <w:t xml:space="preserve">Por fim, há uma limitação metodológica quanto à proporcionalidade entre a técnica e a política. Embora o roteiro isole o "fator técnico" e o "fator político" em blocos transversais, na prática </w:t>
      </w:r>
      <w:r>
        <w:t>das políticas públicas</w:t>
      </w:r>
      <w:r w:rsidRPr="007F4760">
        <w:t xml:space="preserve"> essas dimensões são indissociáveis.</w:t>
      </w:r>
    </w:p>
    <w:p w14:paraId="6C251F95" w14:textId="270EBE25" w:rsidR="007F4760" w:rsidRDefault="007F4760" w:rsidP="00186C5F">
      <w:pPr>
        <w:spacing w:line="360" w:lineRule="auto"/>
        <w:ind w:firstLine="1418"/>
        <w:jc w:val="both"/>
      </w:pPr>
      <w:r>
        <w:lastRenderedPageBreak/>
        <w:t>Contudo, uma mudança na metodologia utilizada para a realização do estudo do controle judicial de políticas públicas pode colaborar para o avanço do estado da arte, e impactar de forma positiva, também, no cumprimento de decisões estruturais.</w:t>
      </w:r>
    </w:p>
    <w:p w14:paraId="2298DA08" w14:textId="77777777" w:rsidR="007F4760" w:rsidRDefault="007F4760" w:rsidP="00186C5F">
      <w:pPr>
        <w:spacing w:line="360" w:lineRule="auto"/>
        <w:ind w:firstLine="1418"/>
        <w:jc w:val="both"/>
      </w:pPr>
    </w:p>
    <w:p w14:paraId="6694AC4E" w14:textId="3A65FBC1" w:rsidR="00C95413" w:rsidRPr="00C91474" w:rsidRDefault="00C91474" w:rsidP="0028119E">
      <w:pPr>
        <w:pStyle w:val="PargrafodaLista"/>
        <w:numPr>
          <w:ilvl w:val="0"/>
          <w:numId w:val="3"/>
        </w:numPr>
        <w:spacing w:line="360" w:lineRule="auto"/>
        <w:ind w:left="284" w:hanging="295"/>
        <w:rPr>
          <w:b/>
          <w:bCs/>
        </w:rPr>
      </w:pPr>
      <w:r w:rsidRPr="00C91474">
        <w:rPr>
          <w:b/>
          <w:bCs/>
        </w:rPr>
        <w:t>CONSIDERAÇÕES FINAIS</w:t>
      </w:r>
    </w:p>
    <w:p w14:paraId="0E8CAFC4" w14:textId="77777777" w:rsidR="00C91474" w:rsidRDefault="00C91474" w:rsidP="00DE3572">
      <w:pPr>
        <w:pStyle w:val="PargrafodaLista"/>
        <w:spacing w:line="360" w:lineRule="auto"/>
        <w:ind w:left="1778"/>
      </w:pPr>
    </w:p>
    <w:p w14:paraId="0CD62773" w14:textId="77777777" w:rsidR="00DE3572" w:rsidRDefault="00C91474" w:rsidP="00C91474">
      <w:pPr>
        <w:spacing w:line="360" w:lineRule="auto"/>
        <w:ind w:firstLine="1418"/>
        <w:jc w:val="both"/>
      </w:pPr>
      <w:r>
        <w:t xml:space="preserve">A presente pesquisa demonstrou que a judicialização de direitos sociais urbanos, embora seja um reflexo da insuficiência das políticas públicas, pode ser compreendida como uma oportunidade para aprimorar a governança urbana e reconfigurar os arranjos institucionais. </w:t>
      </w:r>
    </w:p>
    <w:p w14:paraId="496318F9" w14:textId="575318EA" w:rsidR="00C91474" w:rsidRDefault="00C91474" w:rsidP="00C91474">
      <w:pPr>
        <w:spacing w:line="360" w:lineRule="auto"/>
        <w:ind w:firstLine="1418"/>
        <w:jc w:val="both"/>
      </w:pPr>
      <w:r>
        <w:t>A análise dos casos em São Paulo revelou que as abordagens tradicionais do Poder Judiciário, focadas na mera declaração de direitos ou na imposição de obrigações pontuais, são frequentemente ineficazes para lidar com a complexidade estrutural dos problemas urbanos, como a moradia de baixa renda e a regularização de áreas de risco. A fragmentação institucional e a falta de coordenação entre os entes federativos e os diversos órgãos administrativos são barreiras significativas que impedem a concretização do direito à cidade, evidenciando a necessidade de uma abordagem policêntrica</w:t>
      </w:r>
      <w:r w:rsidR="00DE3572">
        <w:t>.</w:t>
      </w:r>
    </w:p>
    <w:p w14:paraId="4EBA596E" w14:textId="1E44D498" w:rsidR="00AF2BE8" w:rsidRDefault="00EE4540" w:rsidP="00C91474">
      <w:pPr>
        <w:spacing w:line="360" w:lineRule="auto"/>
        <w:ind w:firstLine="1418"/>
        <w:jc w:val="both"/>
      </w:pPr>
      <w:r>
        <w:t>Por outro lado, o estudo do controle judicial de políticas públicas será produtivo se não pode levar em consideração respostas isoladas ou conteúdo de acórdãos publicados nos sites do Tribunal de Justiça, pois estes são apenas uma orientação para o cumprimento de sentença. O desenlace da execução pode caminhar em sentido diverso daquele definido no acórdão, já que pode comportar um</w:t>
      </w:r>
      <w:r w:rsidR="00436E53">
        <w:t>a decisão estrutural, que altera o conteúdo do acórdão transitado em julgado.</w:t>
      </w:r>
    </w:p>
    <w:p w14:paraId="082A375B" w14:textId="035F3A80" w:rsidR="00EE4540" w:rsidRDefault="00AF2BE8" w:rsidP="00C91474">
      <w:pPr>
        <w:spacing w:line="360" w:lineRule="auto"/>
        <w:ind w:firstLine="1418"/>
        <w:jc w:val="both"/>
      </w:pPr>
      <w:r>
        <w:t xml:space="preserve">Um método de análise do controle judicial mais eficaz deve considerar </w:t>
      </w:r>
      <w:r w:rsidR="00EE4540">
        <w:t xml:space="preserve">o desenrolar do cumprimento das decisões judiciais </w:t>
      </w:r>
      <w:r>
        <w:t xml:space="preserve">no tempo, </w:t>
      </w:r>
      <w:r w:rsidR="00436E53">
        <w:t>destrinçando os fatores</w:t>
      </w:r>
      <w:r w:rsidR="007F4760">
        <w:t xml:space="preserve">. </w:t>
      </w:r>
      <w:r w:rsidR="00436E53">
        <w:t xml:space="preserve"> </w:t>
      </w:r>
      <w:r w:rsidR="00436E53" w:rsidRPr="00436E53">
        <w:t xml:space="preserve">As variáveis críticas transversais identificadas – tempo, tecnologia, participação, política, institucional e recursos – </w:t>
      </w:r>
      <w:r w:rsidR="00436E53">
        <w:t xml:space="preserve">que </w:t>
      </w:r>
      <w:r w:rsidR="00436E53" w:rsidRPr="00436E53">
        <w:t>não atuam isoladamente, mas em uma dinâmica interdependente que molda o sucesso da execução estrutural.</w:t>
      </w:r>
    </w:p>
    <w:p w14:paraId="7DBE89F2" w14:textId="64E7399C" w:rsidR="00DE495C" w:rsidRDefault="00C91474" w:rsidP="00C91474">
      <w:pPr>
        <w:spacing w:line="360" w:lineRule="auto"/>
        <w:ind w:firstLine="1418"/>
        <w:jc w:val="both"/>
      </w:pPr>
      <w:r>
        <w:t xml:space="preserve"> Nesse cenário, a execução estrutural, mediada pela </w:t>
      </w:r>
      <w:r w:rsidR="00436E53">
        <w:t>abordagem</w:t>
      </w:r>
      <w:r>
        <w:t xml:space="preserve"> </w:t>
      </w:r>
      <w:r w:rsidR="00DE495C">
        <w:t>Direito e Políticas Públicas</w:t>
      </w:r>
      <w:r>
        <w:t xml:space="preserve"> (DPP), emerge como uma técnica decisória inovadora </w:t>
      </w:r>
      <w:r w:rsidR="00DE495C">
        <w:t>para o estudo da judicialização</w:t>
      </w:r>
      <w:r>
        <w:t xml:space="preserve">. </w:t>
      </w:r>
    </w:p>
    <w:p w14:paraId="0BA9EB72" w14:textId="77777777" w:rsidR="00DE495C" w:rsidRDefault="00DE495C" w:rsidP="00C91474">
      <w:pPr>
        <w:spacing w:line="360" w:lineRule="auto"/>
        <w:ind w:firstLine="1418"/>
        <w:jc w:val="both"/>
      </w:pPr>
      <w:r>
        <w:t>Nos casos observados</w:t>
      </w:r>
      <w:r w:rsidR="00C91474">
        <w:t xml:space="preserve">, ao invés de substituir a administração pública, o </w:t>
      </w:r>
      <w:r>
        <w:t xml:space="preserve">Poder </w:t>
      </w:r>
      <w:r w:rsidR="00C91474">
        <w:t xml:space="preserve">Judiciário, através da execução estrutural, assume um papel de catalisador e coordenador, induzindo a formulação e implementação de políticas públicas complexas. </w:t>
      </w:r>
      <w:r>
        <w:t>Os problemas diagnosticados na fase de cumprimento,</w:t>
      </w:r>
      <w:r w:rsidR="00C91474">
        <w:t xml:space="preserve"> desde a realocação de famílias em áreas de risco em </w:t>
      </w:r>
      <w:r w:rsidR="00C91474">
        <w:lastRenderedPageBreak/>
        <w:t>Itaquera até a regularização fundiária no Morro da Mandioca, ilustram como a atuação judicial pode transcender a lógica do litígio e promover a construção de soluções colaborativas e policêntricas.</w:t>
      </w:r>
    </w:p>
    <w:p w14:paraId="79C1D51B" w14:textId="0D7CC8E2" w:rsidR="00C91474" w:rsidRDefault="00C91474" w:rsidP="00C91474">
      <w:pPr>
        <w:spacing w:line="360" w:lineRule="auto"/>
        <w:ind w:firstLine="1418"/>
        <w:jc w:val="both"/>
      </w:pPr>
      <w:r>
        <w:t xml:space="preserve"> A eficácia da execução estrutural reside, portanto, na sua capacidade de promover a articulação de múltiplos atores, a construção de consensos e o monitoramento contínuo das ações, superando a inércia e a fragmentação que historicamente marcam a atuação administrativa e redefinindo os arranjos institucionais nos níveis macro, </w:t>
      </w:r>
      <w:proofErr w:type="spellStart"/>
      <w:r>
        <w:t>meso</w:t>
      </w:r>
      <w:proofErr w:type="spellEnd"/>
      <w:r>
        <w:t xml:space="preserve"> e micro</w:t>
      </w:r>
      <w:r w:rsidR="00DE495C">
        <w:t>, e este deve ser o objeto de estudo do controle judicial por excelência, e não o texto do acórdão publicado no processo</w:t>
      </w:r>
      <w:r>
        <w:t xml:space="preserve">. </w:t>
      </w:r>
    </w:p>
    <w:p w14:paraId="156C89F1" w14:textId="2065DE11" w:rsidR="00C91474" w:rsidRDefault="00C91474" w:rsidP="00EE57F9">
      <w:pPr>
        <w:spacing w:line="360" w:lineRule="auto"/>
        <w:ind w:firstLine="1418"/>
        <w:jc w:val="both"/>
      </w:pPr>
      <w:r>
        <w:t xml:space="preserve"> A </w:t>
      </w:r>
      <w:r w:rsidR="00DE495C">
        <w:t>abordagem</w:t>
      </w:r>
      <w:r>
        <w:t xml:space="preserve"> DPP, </w:t>
      </w:r>
      <w:r w:rsidR="00DE495C">
        <w:t>em sua vertente “processo</w:t>
      </w:r>
      <w:proofErr w:type="gramStart"/>
      <w:r w:rsidR="00DE495C">
        <w:t>”</w:t>
      </w:r>
      <w:r w:rsidR="00EE57F9">
        <w:t xml:space="preserve">, </w:t>
      </w:r>
      <w:r>
        <w:t xml:space="preserve"> permite</w:t>
      </w:r>
      <w:proofErr w:type="gramEnd"/>
      <w:r>
        <w:t xml:space="preserve"> que as soluções sejam construídas de forma adaptativa, considerando as especificidades de cada contexto e as capacidades institucionais envolvidas. </w:t>
      </w:r>
    </w:p>
    <w:p w14:paraId="20D8F44F" w14:textId="470EB3C8" w:rsidR="00C95413" w:rsidRDefault="00C91474" w:rsidP="00C91474">
      <w:pPr>
        <w:spacing w:line="360" w:lineRule="auto"/>
        <w:ind w:firstLine="1418"/>
        <w:jc w:val="both"/>
      </w:pPr>
      <w:r>
        <w:t xml:space="preserve"> Para o futuro, </w:t>
      </w:r>
      <w:r w:rsidR="00EE57F9">
        <w:t xml:space="preserve">pretende-se aprofundar </w:t>
      </w:r>
      <w:r>
        <w:t xml:space="preserve">a pesquisa sobre os impactos de longo prazo da execução estrutural na governança urbana e na vida das comunidades afetadas. </w:t>
      </w:r>
    </w:p>
    <w:p w14:paraId="063B326F" w14:textId="77777777" w:rsidR="00EE57F9" w:rsidRDefault="00EE57F9" w:rsidP="00C91474">
      <w:pPr>
        <w:spacing w:line="360" w:lineRule="auto"/>
        <w:ind w:firstLine="1418"/>
        <w:jc w:val="both"/>
      </w:pPr>
    </w:p>
    <w:p w14:paraId="3E2139CA" w14:textId="77777777" w:rsidR="00C95413" w:rsidRDefault="00000000">
      <w:pPr>
        <w:spacing w:line="360" w:lineRule="auto"/>
      </w:pPr>
      <w:r>
        <w:rPr>
          <w:b/>
          <w:bCs/>
        </w:rPr>
        <w:t>REFERÊNCIAS</w:t>
      </w:r>
    </w:p>
    <w:p w14:paraId="362E2442" w14:textId="059FB9D4" w:rsidR="00C95413" w:rsidRPr="00B7645F" w:rsidRDefault="00000000" w:rsidP="007F4760">
      <w:pPr>
        <w:spacing w:line="360" w:lineRule="auto"/>
        <w:ind w:left="720" w:hanging="720"/>
        <w:jc w:val="both"/>
      </w:pPr>
      <w:r w:rsidRPr="00B7645F">
        <w:t xml:space="preserve">ARAÚJO, Alexandra Fuchs de. </w:t>
      </w:r>
      <w:r w:rsidRPr="00B7645F">
        <w:rPr>
          <w:i/>
          <w:iCs/>
        </w:rPr>
        <w:t>Controle judicial de políticas públicas de moradia para baixa renda: uma proposta metodológica</w:t>
      </w:r>
      <w:r w:rsidRPr="00B7645F">
        <w:t>. Belo Horizonte: Fórum, 2023.</w:t>
      </w:r>
    </w:p>
    <w:p w14:paraId="4A8182A1" w14:textId="7CDA3B5F" w:rsidR="00C95413" w:rsidRPr="00B7645F" w:rsidRDefault="00000000" w:rsidP="007F4760">
      <w:pPr>
        <w:spacing w:line="360" w:lineRule="auto"/>
        <w:ind w:left="720" w:hanging="720"/>
        <w:jc w:val="both"/>
      </w:pPr>
      <w:r w:rsidRPr="00B7645F">
        <w:t xml:space="preserve">ARAÚJO, Alexandra Fuchs de et al. Judicialização de Políticas Públicas e o Caso das Próteses: fatores intervenientes para uma solução consensual na Fase da Execução. </w:t>
      </w:r>
      <w:r w:rsidR="00E34858">
        <w:t xml:space="preserve">In: </w:t>
      </w:r>
      <w:r w:rsidRPr="00B7645F">
        <w:rPr>
          <w:i/>
          <w:iCs/>
        </w:rPr>
        <w:t>LTR — Legislação do Trabalho</w:t>
      </w:r>
      <w:r w:rsidRPr="00B7645F">
        <w:t>. São Paulo, 2024.</w:t>
      </w:r>
    </w:p>
    <w:p w14:paraId="11867296" w14:textId="367D325C" w:rsidR="00C95413" w:rsidRPr="00B7645F" w:rsidRDefault="00000000" w:rsidP="004D4595">
      <w:pPr>
        <w:spacing w:line="360" w:lineRule="auto"/>
        <w:ind w:left="720" w:hanging="720"/>
        <w:jc w:val="both"/>
      </w:pPr>
      <w:r w:rsidRPr="00B7645F">
        <w:t xml:space="preserve">BUCCI, Maria Paula Dallari. </w:t>
      </w:r>
      <w:r w:rsidRPr="00B7645F">
        <w:rPr>
          <w:i/>
          <w:iCs/>
        </w:rPr>
        <w:t>Fundamentos para uma teoria jurídica das políticas públicas</w:t>
      </w:r>
      <w:r w:rsidRPr="00B7645F">
        <w:t>. São Paulo: Saraiva, 2013.</w:t>
      </w:r>
    </w:p>
    <w:p w14:paraId="77A3BD19" w14:textId="7C01C2B1" w:rsidR="007F4760" w:rsidRPr="00B7645F" w:rsidRDefault="00000000">
      <w:pPr>
        <w:spacing w:line="360" w:lineRule="auto"/>
        <w:ind w:left="720" w:hanging="720"/>
        <w:jc w:val="both"/>
      </w:pPr>
      <w:r w:rsidRPr="00B7645F">
        <w:t xml:space="preserve">BUCCI, Maria Paula Dallari. Método e aplicações da abordagem Direito e Políticas Públicas — DPP. </w:t>
      </w:r>
      <w:r w:rsidRPr="00B7645F">
        <w:rPr>
          <w:i/>
          <w:iCs/>
        </w:rPr>
        <w:t>Revista de Estudos Institucionais</w:t>
      </w:r>
      <w:r w:rsidRPr="00B7645F">
        <w:t>, v. 5, n. 3, pp. 791-832, 2019.</w:t>
      </w:r>
    </w:p>
    <w:p w14:paraId="3E806E38" w14:textId="6A97073F" w:rsidR="007F4760" w:rsidRPr="00B7645F" w:rsidRDefault="00DE3FED" w:rsidP="004D4595">
      <w:pPr>
        <w:spacing w:line="360" w:lineRule="auto"/>
        <w:ind w:left="720" w:hanging="720"/>
      </w:pPr>
      <w:r w:rsidRPr="00B7645F">
        <w:rPr>
          <w:rFonts w:eastAsia="Calibri"/>
        </w:rPr>
        <w:t xml:space="preserve">CAPPELLETTI, Mauro. </w:t>
      </w:r>
      <w:r w:rsidRPr="0028119E">
        <w:rPr>
          <w:rFonts w:eastAsia="Calibri"/>
          <w:i/>
          <w:iCs/>
        </w:rPr>
        <w:t>Juízes legisladores?</w:t>
      </w:r>
      <w:r w:rsidRPr="00B7645F">
        <w:rPr>
          <w:rFonts w:eastAsia="Calibri"/>
        </w:rPr>
        <w:t xml:space="preserve"> Tradução de Carlos Alberto Álvaro de Oliveira. Porto Alegre: Sergio </w:t>
      </w:r>
      <w:proofErr w:type="spellStart"/>
      <w:r w:rsidRPr="00B7645F">
        <w:rPr>
          <w:rFonts w:eastAsia="Calibri"/>
        </w:rPr>
        <w:t>Antonio</w:t>
      </w:r>
      <w:proofErr w:type="spellEnd"/>
      <w:r w:rsidRPr="00B7645F">
        <w:rPr>
          <w:rFonts w:eastAsia="Calibri"/>
        </w:rPr>
        <w:t xml:space="preserve"> Fabris Editor, 1993.</w:t>
      </w:r>
    </w:p>
    <w:p w14:paraId="1080667D" w14:textId="3B05C19D" w:rsidR="00C95413" w:rsidRPr="00B7645F" w:rsidRDefault="00000000">
      <w:pPr>
        <w:spacing w:line="360" w:lineRule="auto"/>
        <w:ind w:left="720" w:hanging="720"/>
        <w:jc w:val="both"/>
      </w:pPr>
      <w:r w:rsidRPr="00B7645F">
        <w:t xml:space="preserve">COSTA, Eduardo José da Fonseca. A “Execução Negociada” de políticas públicas em juízo. </w:t>
      </w:r>
      <w:r w:rsidR="00E34858">
        <w:t xml:space="preserve">In: </w:t>
      </w:r>
      <w:r w:rsidRPr="00B7645F">
        <w:rPr>
          <w:i/>
          <w:iCs/>
        </w:rPr>
        <w:t>Revista do Ministério Público do Rio de Janeiro</w:t>
      </w:r>
      <w:r w:rsidRPr="00B7645F">
        <w:t>, n. 59, pp. 109-136, jan./mar. 2016.</w:t>
      </w:r>
    </w:p>
    <w:p w14:paraId="2C3259D3" w14:textId="77777777" w:rsidR="00DE3FED" w:rsidRPr="00DE3FED" w:rsidRDefault="00DE3FED" w:rsidP="00DE3FED">
      <w:pPr>
        <w:spacing w:before="60" w:after="120" w:line="276" w:lineRule="auto"/>
        <w:ind w:left="720" w:hanging="720"/>
        <w:jc w:val="both"/>
        <w:rPr>
          <w:rFonts w:eastAsia="Calibri"/>
        </w:rPr>
      </w:pPr>
      <w:r w:rsidRPr="00DE3FED">
        <w:rPr>
          <w:rFonts w:eastAsia="Calibri"/>
        </w:rPr>
        <w:t xml:space="preserve">HARVEY, David. </w:t>
      </w:r>
      <w:r w:rsidRPr="00DE3FED">
        <w:rPr>
          <w:rFonts w:eastAsia="Calibri"/>
          <w:i/>
          <w:iCs/>
        </w:rPr>
        <w:t>Cidades Rebeldes: do direito à cidade à revolução urbana</w:t>
      </w:r>
      <w:r w:rsidRPr="00DE3FED">
        <w:rPr>
          <w:rFonts w:eastAsia="Calibri"/>
        </w:rPr>
        <w:t xml:space="preserve">. São Paulo: Martins Fontes, 2014. </w:t>
      </w:r>
    </w:p>
    <w:p w14:paraId="7DCED6CF" w14:textId="77777777" w:rsidR="00C95413" w:rsidRPr="00B7645F" w:rsidRDefault="00000000">
      <w:pPr>
        <w:spacing w:line="360" w:lineRule="auto"/>
        <w:ind w:left="720" w:hanging="720"/>
        <w:jc w:val="both"/>
      </w:pPr>
      <w:r w:rsidRPr="00B7645F">
        <w:t xml:space="preserve">IBGE — Instituto Brasileiro de Geografia e Estatística. </w:t>
      </w:r>
      <w:r w:rsidRPr="00B7645F">
        <w:rPr>
          <w:i/>
          <w:iCs/>
        </w:rPr>
        <w:t>Censo Demográfico 2022</w:t>
      </w:r>
      <w:r w:rsidRPr="00B7645F">
        <w:t>. Rio de Janeiro: IBGE, 2023.</w:t>
      </w:r>
    </w:p>
    <w:p w14:paraId="0313C37B" w14:textId="698C389F" w:rsidR="00C95413" w:rsidRDefault="00DE3FED" w:rsidP="00DE3FED">
      <w:pPr>
        <w:spacing w:before="60" w:after="120" w:line="276" w:lineRule="auto"/>
        <w:ind w:left="720" w:hanging="720"/>
        <w:jc w:val="both"/>
        <w:rPr>
          <w:rFonts w:eastAsia="Calibri"/>
        </w:rPr>
      </w:pPr>
      <w:r w:rsidRPr="00DE3FED">
        <w:rPr>
          <w:rFonts w:eastAsia="Calibri"/>
        </w:rPr>
        <w:lastRenderedPageBreak/>
        <w:t xml:space="preserve">MARQUES, Eduardo. O direito à cidade e a política urbana no Brasil. </w:t>
      </w:r>
      <w:r w:rsidR="00E34858">
        <w:rPr>
          <w:rFonts w:eastAsia="Calibri"/>
        </w:rPr>
        <w:t xml:space="preserve">In: </w:t>
      </w:r>
      <w:r w:rsidRPr="00DE3FED">
        <w:rPr>
          <w:rFonts w:eastAsia="Calibri"/>
          <w:i/>
          <w:iCs/>
        </w:rPr>
        <w:t>Novos Estudos CEBRAP</w:t>
      </w:r>
      <w:r w:rsidRPr="00DE3FED">
        <w:rPr>
          <w:rFonts w:eastAsia="Calibri"/>
        </w:rPr>
        <w:t xml:space="preserve">, São Paulo, n. 110, p. 13-28, mar. 2018. </w:t>
      </w:r>
    </w:p>
    <w:p w14:paraId="61EAC005" w14:textId="3D89AD86" w:rsidR="008857E1" w:rsidRPr="00B7645F" w:rsidRDefault="008857E1" w:rsidP="00DE3FED">
      <w:pPr>
        <w:spacing w:before="60" w:after="120" w:line="276" w:lineRule="auto"/>
        <w:ind w:left="720" w:hanging="720"/>
        <w:jc w:val="both"/>
        <w:rPr>
          <w:rFonts w:eastAsia="Calibri"/>
        </w:rPr>
      </w:pPr>
      <w:r w:rsidRPr="008857E1">
        <w:rPr>
          <w:rFonts w:eastAsia="Calibri"/>
        </w:rPr>
        <w:t>MARTINS, M</w:t>
      </w:r>
      <w:r w:rsidR="00E34858">
        <w:rPr>
          <w:rFonts w:eastAsia="Calibri"/>
        </w:rPr>
        <w:t>aria</w:t>
      </w:r>
      <w:r w:rsidRPr="008857E1">
        <w:rPr>
          <w:rFonts w:eastAsia="Calibri"/>
        </w:rPr>
        <w:t xml:space="preserve"> L</w:t>
      </w:r>
      <w:r w:rsidR="00E34858">
        <w:rPr>
          <w:rFonts w:eastAsia="Calibri"/>
        </w:rPr>
        <w:t xml:space="preserve">úcia </w:t>
      </w:r>
      <w:proofErr w:type="spellStart"/>
      <w:r w:rsidR="00E34858">
        <w:rPr>
          <w:rFonts w:eastAsia="Calibri"/>
        </w:rPr>
        <w:t>Refinetti</w:t>
      </w:r>
      <w:proofErr w:type="spellEnd"/>
      <w:r w:rsidRPr="008857E1">
        <w:rPr>
          <w:rFonts w:eastAsia="Calibri"/>
        </w:rPr>
        <w:t xml:space="preserve">. </w:t>
      </w:r>
      <w:r w:rsidRPr="0028119E">
        <w:rPr>
          <w:rFonts w:eastAsia="Calibri"/>
          <w:i/>
          <w:iCs/>
        </w:rPr>
        <w:t>Moradia e Mananciais: tensão e diálogo na metrópole</w:t>
      </w:r>
      <w:r w:rsidRPr="008857E1">
        <w:rPr>
          <w:rFonts w:eastAsia="Calibri"/>
        </w:rPr>
        <w:t>. São Paulo: FAUUSP/FAPESP, 2006.</w:t>
      </w:r>
    </w:p>
    <w:p w14:paraId="37F153A6" w14:textId="1574F09D" w:rsidR="00E27930" w:rsidRDefault="00E27930" w:rsidP="00460F9B">
      <w:pPr>
        <w:spacing w:line="360" w:lineRule="auto"/>
        <w:ind w:left="720" w:hanging="720"/>
        <w:jc w:val="both"/>
        <w:rPr>
          <w:rFonts w:eastAsia="Calibri"/>
          <w:lang w:eastAsia="en-US"/>
        </w:rPr>
      </w:pPr>
      <w:bookmarkStart w:id="0" w:name="_Hlk62059567"/>
      <w:r w:rsidRPr="00E27930">
        <w:rPr>
          <w:rFonts w:eastAsia="Calibri"/>
          <w:lang w:eastAsia="en-US"/>
        </w:rPr>
        <w:t xml:space="preserve">MILANO, Giovanna Bonilha. </w:t>
      </w:r>
      <w:bookmarkEnd w:id="0"/>
      <w:r w:rsidRPr="00E27930">
        <w:rPr>
          <w:rFonts w:eastAsia="Calibri"/>
          <w:i/>
          <w:iCs/>
          <w:lang w:eastAsia="en-US"/>
        </w:rPr>
        <w:t xml:space="preserve">Conflitos fundiários urbanos e Poder </w:t>
      </w:r>
      <w:r w:rsidRPr="00E27930">
        <w:rPr>
          <w:rFonts w:eastAsia="Calibri"/>
          <w:i/>
          <w:lang w:eastAsia="en-US"/>
        </w:rPr>
        <w:t>Judiciário</w:t>
      </w:r>
      <w:r w:rsidRPr="00E27930">
        <w:rPr>
          <w:rFonts w:eastAsia="Calibri"/>
          <w:lang w:eastAsia="en-US"/>
        </w:rPr>
        <w:t xml:space="preserve">. Curitiba: </w:t>
      </w:r>
      <w:proofErr w:type="spellStart"/>
      <w:r w:rsidRPr="00E27930">
        <w:rPr>
          <w:rFonts w:eastAsia="Calibri"/>
          <w:lang w:eastAsia="en-US"/>
        </w:rPr>
        <w:t>Ithala</w:t>
      </w:r>
      <w:proofErr w:type="spellEnd"/>
      <w:r w:rsidRPr="00E27930">
        <w:rPr>
          <w:rFonts w:eastAsia="Calibri"/>
          <w:lang w:eastAsia="en-US"/>
        </w:rPr>
        <w:t>, 2017.</w:t>
      </w:r>
    </w:p>
    <w:p w14:paraId="2A69D4D3" w14:textId="5B8FA445" w:rsidR="00873EC9" w:rsidRDefault="00873EC9" w:rsidP="00460F9B">
      <w:pPr>
        <w:spacing w:line="360" w:lineRule="auto"/>
        <w:ind w:left="720" w:hanging="720"/>
        <w:jc w:val="both"/>
        <w:rPr>
          <w:rFonts w:eastAsia="Calibri"/>
          <w:lang w:eastAsia="en-US"/>
        </w:rPr>
      </w:pPr>
      <w:r w:rsidRPr="00873EC9">
        <w:rPr>
          <w:rFonts w:eastAsia="Calibri"/>
          <w:lang w:eastAsia="en-US"/>
        </w:rPr>
        <w:t>MUNICÍPIO DE SÃO PAULO, Processo SEI N.º 6011.2022/0001869-3. Disponível em https://prefeitura.sp.gov.br/documents/d/desestatizacao_projetos/10-bl_anexo-v-do-edital-termo-de-ajustamento-de-conduta. Acesso em 31 Mar 2026.</w:t>
      </w:r>
    </w:p>
    <w:p w14:paraId="18972678" w14:textId="0239053D" w:rsidR="0074222B" w:rsidRPr="0074222B" w:rsidRDefault="0074222B" w:rsidP="0074222B">
      <w:pPr>
        <w:spacing w:line="360" w:lineRule="auto"/>
        <w:ind w:left="720" w:hanging="720"/>
        <w:jc w:val="both"/>
        <w:rPr>
          <w:rFonts w:eastAsia="Calibri"/>
          <w:lang w:eastAsia="en-US"/>
        </w:rPr>
      </w:pPr>
      <w:r w:rsidRPr="0074222B">
        <w:rPr>
          <w:rFonts w:eastAsia="Calibri"/>
          <w:lang w:eastAsia="en-US"/>
        </w:rPr>
        <w:t>TIERNO, Rosane de Almeida. REURB em Área de Preservação Permanente: análise da compatibilidade das normas no ordenamento jurídico diante das disposições trazidas pela Lei nº 13.465/17.</w:t>
      </w:r>
      <w:r>
        <w:rPr>
          <w:rFonts w:eastAsia="Calibri"/>
          <w:lang w:eastAsia="en-US"/>
        </w:rPr>
        <w:t xml:space="preserve"> </w:t>
      </w:r>
      <w:r w:rsidR="00E34858">
        <w:rPr>
          <w:rFonts w:eastAsia="Calibri"/>
          <w:lang w:eastAsia="en-US"/>
        </w:rPr>
        <w:t xml:space="preserve">In: </w:t>
      </w:r>
      <w:r w:rsidRPr="0028119E">
        <w:rPr>
          <w:rFonts w:eastAsia="Calibri"/>
          <w:i/>
          <w:iCs/>
          <w:lang w:eastAsia="en-US"/>
        </w:rPr>
        <w:t>Revista Brasileira de Direito Urbanístico | RBDU</w:t>
      </w:r>
      <w:r w:rsidRPr="0074222B">
        <w:rPr>
          <w:rFonts w:eastAsia="Calibri"/>
          <w:lang w:eastAsia="en-US"/>
        </w:rPr>
        <w:t>, Belo Horizonte: Fórum, v. 4, n. 6, p. 177–194, 2018. Disponível em: https://biblioteca.ibdu.org.br/direitourbanistico/article/view/586. Acesso em: 30 mar. 2026.</w:t>
      </w:r>
    </w:p>
    <w:p w14:paraId="33D082E7" w14:textId="6076DF6C" w:rsidR="00460F9B" w:rsidRDefault="00460F9B" w:rsidP="0074222B">
      <w:pPr>
        <w:spacing w:line="360" w:lineRule="auto"/>
        <w:ind w:left="720" w:hanging="720"/>
        <w:jc w:val="both"/>
        <w:rPr>
          <w:rFonts w:eastAsia="Calibri"/>
          <w:lang w:eastAsia="en-US"/>
        </w:rPr>
      </w:pPr>
      <w:r>
        <w:rPr>
          <w:rFonts w:eastAsia="Calibri"/>
          <w:lang w:eastAsia="en-US"/>
        </w:rPr>
        <w:t xml:space="preserve">TRIBUNAL DE JUSTIÇA DE SÃO PAULO. </w:t>
      </w:r>
      <w:r w:rsidRPr="0028119E">
        <w:rPr>
          <w:rFonts w:eastAsia="Calibri"/>
          <w:i/>
          <w:iCs/>
          <w:lang w:eastAsia="en-US"/>
        </w:rPr>
        <w:t>Processo nº. 0205320-32.2009.8.26.0002</w:t>
      </w:r>
      <w:r>
        <w:rPr>
          <w:rFonts w:eastAsia="Calibri"/>
          <w:lang w:eastAsia="en-US"/>
        </w:rPr>
        <w:t xml:space="preserve">. Disponível   em: </w:t>
      </w:r>
      <w:hyperlink r:id="rId8" w:history="1">
        <w:r w:rsidRPr="005D74B8">
          <w:rPr>
            <w:rStyle w:val="Hyperlink"/>
            <w:rFonts w:eastAsia="Calibri"/>
            <w:lang w:eastAsia="en-US"/>
          </w:rPr>
          <w:t>https://esaj.tjsp.jus.br/cpopg/show.do?processo.codigo=0200104Q50000&amp;processo.foro=2&amp;processo.numero=0205320-32.2009.8.26.0002</w:t>
        </w:r>
      </w:hyperlink>
      <w:r>
        <w:rPr>
          <w:rFonts w:eastAsia="Calibri"/>
          <w:lang w:eastAsia="en-US"/>
        </w:rPr>
        <w:t>. Acesso em 30 de mar. de 2026.</w:t>
      </w:r>
    </w:p>
    <w:p w14:paraId="08D50B4B" w14:textId="24B0892A" w:rsidR="00460F9B" w:rsidRPr="00B7645F" w:rsidRDefault="00460F9B" w:rsidP="0074222B">
      <w:pPr>
        <w:spacing w:line="360" w:lineRule="auto"/>
        <w:ind w:left="720" w:hanging="720"/>
        <w:jc w:val="both"/>
      </w:pPr>
      <w:r>
        <w:rPr>
          <w:rFonts w:eastAsia="Calibri"/>
          <w:lang w:eastAsia="en-US"/>
        </w:rPr>
        <w:t xml:space="preserve">TRIBUNAL DE JUSTIÇA DE SÃO PAULO. Foro de São Paulo. </w:t>
      </w:r>
      <w:r w:rsidRPr="0028119E">
        <w:rPr>
          <w:rFonts w:eastAsia="Calibri"/>
          <w:i/>
          <w:iCs/>
          <w:lang w:eastAsia="en-US"/>
        </w:rPr>
        <w:t>Processo nº. 0036979-69.2018.8.26.0053.</w:t>
      </w:r>
      <w:r>
        <w:rPr>
          <w:rFonts w:eastAsia="Calibri"/>
          <w:lang w:eastAsia="en-US"/>
        </w:rPr>
        <w:t xml:space="preserve"> Disponível em: </w:t>
      </w:r>
      <w:hyperlink r:id="rId9" w:history="1">
        <w:r w:rsidRPr="005D74B8">
          <w:rPr>
            <w:rStyle w:val="Hyperlink"/>
            <w:rFonts w:eastAsia="Calibri"/>
            <w:lang w:eastAsia="en-US"/>
          </w:rPr>
          <w:t>https://esaj.tjsp.jus.br/cpopg/show.do?processo.codigo=1H000E51I0000&amp;processo.foro=53&amp;processo.numero=0036979-69.2018.8.26.0053</w:t>
        </w:r>
      </w:hyperlink>
      <w:r>
        <w:rPr>
          <w:rFonts w:eastAsia="Calibri"/>
          <w:lang w:eastAsia="en-US"/>
        </w:rPr>
        <w:t>. Acesso em 30 de mar. de 2026.</w:t>
      </w:r>
    </w:p>
    <w:p w14:paraId="491E4247" w14:textId="238AC8FB" w:rsidR="00681630" w:rsidRPr="00B7645F" w:rsidRDefault="00681630" w:rsidP="00460F9B">
      <w:pPr>
        <w:spacing w:line="360" w:lineRule="auto"/>
        <w:ind w:left="720" w:hanging="720"/>
        <w:jc w:val="both"/>
      </w:pPr>
      <w:r w:rsidRPr="00B7645F">
        <w:rPr>
          <w:rFonts w:eastAsia="Calibri"/>
          <w:lang w:eastAsia="en-US"/>
        </w:rPr>
        <w:t xml:space="preserve">VITORELLI, Edilson. Litígios estruturais: decisão e implementação de mudanças socialmente relevantes pela via do processo. </w:t>
      </w:r>
      <w:r w:rsidRPr="00B7645F">
        <w:rPr>
          <w:rFonts w:eastAsia="Calibri"/>
          <w:i/>
          <w:lang w:eastAsia="en-US"/>
        </w:rPr>
        <w:t>In</w:t>
      </w:r>
      <w:r w:rsidRPr="00B7645F">
        <w:rPr>
          <w:rFonts w:eastAsia="Calibri"/>
          <w:lang w:eastAsia="en-US"/>
        </w:rPr>
        <w:t xml:space="preserve">: ARENHART, Sérgio Cruz; JOBIM, Marco Félix. </w:t>
      </w:r>
      <w:r w:rsidRPr="00B7645F">
        <w:rPr>
          <w:rFonts w:eastAsia="Calibri"/>
          <w:i/>
          <w:iCs/>
          <w:lang w:eastAsia="en-US"/>
        </w:rPr>
        <w:t>Processos estruturais</w:t>
      </w:r>
      <w:r w:rsidRPr="00B7645F">
        <w:rPr>
          <w:rFonts w:eastAsia="Calibri"/>
          <w:lang w:eastAsia="en-US"/>
        </w:rPr>
        <w:t xml:space="preserve">. Salvador: </w:t>
      </w:r>
      <w:proofErr w:type="spellStart"/>
      <w:r w:rsidRPr="00B7645F">
        <w:rPr>
          <w:rFonts w:eastAsia="Calibri"/>
          <w:lang w:eastAsia="en-US"/>
        </w:rPr>
        <w:t>Juspodivm</w:t>
      </w:r>
      <w:proofErr w:type="spellEnd"/>
      <w:r w:rsidRPr="00B7645F">
        <w:rPr>
          <w:rFonts w:eastAsia="Calibri"/>
          <w:lang w:eastAsia="en-US"/>
        </w:rPr>
        <w:t>, 2017</w:t>
      </w:r>
      <w:r w:rsidR="002F1D00">
        <w:rPr>
          <w:rFonts w:eastAsia="Calibri"/>
          <w:lang w:eastAsia="en-US"/>
        </w:rPr>
        <w:t>.</w:t>
      </w:r>
    </w:p>
    <w:sectPr w:rsidR="00681630" w:rsidRPr="00B7645F">
      <w:pgSz w:w="11906" w:h="16838"/>
      <w:pgMar w:top="1701"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65B8" w14:textId="77777777" w:rsidR="00A11F0A" w:rsidRDefault="00A11F0A" w:rsidP="00873EC9">
      <w:r>
        <w:separator/>
      </w:r>
    </w:p>
  </w:endnote>
  <w:endnote w:type="continuationSeparator" w:id="0">
    <w:p w14:paraId="45931F1C" w14:textId="77777777" w:rsidR="00A11F0A" w:rsidRDefault="00A11F0A" w:rsidP="00873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B1E1" w14:textId="77777777" w:rsidR="00A11F0A" w:rsidRDefault="00A11F0A" w:rsidP="00873EC9">
      <w:r>
        <w:separator/>
      </w:r>
    </w:p>
  </w:footnote>
  <w:footnote w:type="continuationSeparator" w:id="0">
    <w:p w14:paraId="36AF4C6D" w14:textId="77777777" w:rsidR="00A11F0A" w:rsidRDefault="00A11F0A" w:rsidP="00873EC9">
      <w:r>
        <w:continuationSeparator/>
      </w:r>
    </w:p>
  </w:footnote>
  <w:footnote w:id="1">
    <w:p w14:paraId="0E3714C4" w14:textId="5B943A8D" w:rsidR="00F73B35" w:rsidRDefault="00F73B35" w:rsidP="0028119E">
      <w:pPr>
        <w:pStyle w:val="Textodenotaderodap"/>
        <w:jc w:val="both"/>
      </w:pPr>
      <w:r>
        <w:rPr>
          <w:rStyle w:val="Refdenotaderodap"/>
        </w:rPr>
        <w:footnoteRef/>
      </w:r>
      <w:r>
        <w:t xml:space="preserve"> Embora este não seja um estudo transversal, se utilizou na elaboração de quadros de elementos deste tipo de estudo, q</w:t>
      </w:r>
      <w:r w:rsidRPr="00F73B35">
        <w:t>ue utiliza análise e avaliação por meio da observação, sem a interação direta da pessoa pesquisadora com a população amostral.</w:t>
      </w:r>
      <w:r>
        <w:t xml:space="preserve"> A variável transversal </w:t>
      </w:r>
      <w:r w:rsidRPr="00F73B35">
        <w:t xml:space="preserve">é </w:t>
      </w:r>
      <w:r>
        <w:t xml:space="preserve">aquela </w:t>
      </w:r>
      <w:r w:rsidRPr="00F73B35">
        <w:t xml:space="preserve">usada ao longo de toda a pesquisa, permitindo captar as opiniões e dados de um </w:t>
      </w:r>
      <w:r>
        <w:t>objeto</w:t>
      </w:r>
      <w:r w:rsidRPr="00F73B35">
        <w:t xml:space="preserve"> em um momento específico.</w:t>
      </w:r>
    </w:p>
  </w:footnote>
  <w:footnote w:id="2">
    <w:p w14:paraId="4995B066" w14:textId="77777777" w:rsidR="00873EC9" w:rsidRDefault="00873EC9" w:rsidP="0028119E">
      <w:pPr>
        <w:pStyle w:val="Textodenotaderodap"/>
        <w:jc w:val="both"/>
      </w:pPr>
      <w:r>
        <w:rPr>
          <w:rStyle w:val="Refdenotaderodap"/>
        </w:rPr>
        <w:footnoteRef/>
      </w:r>
      <w:r>
        <w:t xml:space="preserve"> A implementação do TAC ainda não está finalizada, mas tem avançado constantemente. No </w:t>
      </w:r>
      <w:r w:rsidRPr="00873EC9">
        <w:t>Processo SEI N.º 6011.2022/0001869-3</w:t>
      </w:r>
      <w:r>
        <w:t>, conforme ANEXO V DO EDITAL – TERMO DE AJUSTAMENTO DE CONDUTA N.º</w:t>
      </w:r>
    </w:p>
    <w:p w14:paraId="0545DB97" w14:textId="316866D4" w:rsidR="00873EC9" w:rsidRDefault="00873EC9" w:rsidP="0028119E">
      <w:pPr>
        <w:pStyle w:val="Textodenotaderodap"/>
        <w:jc w:val="both"/>
      </w:pPr>
      <w:r>
        <w:t xml:space="preserve">0407437-05.1999.8.26.0053, foi publicado edital para PARCERIA PÚBLICO-PRIVADA (PPP) na modalidade de concessão administrativa para administração, manutenção, conservação, exploração comercial e requalificação dos terminais de ônibus vinculados ao sistema de transporte coletivo urbano de passageiros da cidade de São Paulo. MUNICÍPIO DE SÃO PAULO, </w:t>
      </w:r>
      <w:r w:rsidRPr="00873EC9">
        <w:t>Processo SEI N.º 6011.2022/0001869-3</w:t>
      </w:r>
      <w:r>
        <w:t xml:space="preserve">. Disponível em </w:t>
      </w:r>
      <w:hyperlink r:id="rId1" w:history="1">
        <w:r w:rsidRPr="00041F3A">
          <w:rPr>
            <w:rStyle w:val="Hyperlink"/>
          </w:rPr>
          <w:t>https://prefeitura.sp.gov.br/documents/d/desestatizacao_projetos/10-bl_anexo-v-do-edital-termo-de-ajustamento-de-conduta</w:t>
        </w:r>
      </w:hyperlink>
      <w:r>
        <w:t>. Acesso em 31 Mar 2026.</w:t>
      </w:r>
    </w:p>
  </w:footnote>
  <w:footnote w:id="3">
    <w:p w14:paraId="532B1875" w14:textId="77226E91" w:rsidR="003B409D" w:rsidRDefault="003B409D">
      <w:pPr>
        <w:pStyle w:val="Textodenotaderodap"/>
      </w:pPr>
      <w:r>
        <w:rPr>
          <w:rStyle w:val="Refdenotaderodap"/>
        </w:rPr>
        <w:footnoteRef/>
      </w:r>
      <w:r>
        <w:t xml:space="preserve"> Martins, 2006, p.  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173BE"/>
    <w:multiLevelType w:val="hybridMultilevel"/>
    <w:tmpl w:val="BE30DEEE"/>
    <w:lvl w:ilvl="0" w:tplc="6CBE3EAC">
      <w:start w:val="4"/>
      <w:numFmt w:val="decimal"/>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 w15:restartNumberingAfterBreak="0">
    <w:nsid w:val="22A1241A"/>
    <w:multiLevelType w:val="hybridMultilevel"/>
    <w:tmpl w:val="24564E9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62753F"/>
    <w:multiLevelType w:val="hybridMultilevel"/>
    <w:tmpl w:val="8CA03B8E"/>
    <w:lvl w:ilvl="0" w:tplc="26921D3A">
      <w:start w:val="1"/>
      <w:numFmt w:val="bullet"/>
      <w:lvlText w:val="●"/>
      <w:lvlJc w:val="left"/>
      <w:pPr>
        <w:ind w:left="720" w:hanging="360"/>
      </w:pPr>
    </w:lvl>
    <w:lvl w:ilvl="1" w:tplc="9C6C59FC">
      <w:start w:val="1"/>
      <w:numFmt w:val="bullet"/>
      <w:lvlText w:val="○"/>
      <w:lvlJc w:val="left"/>
      <w:pPr>
        <w:ind w:left="1440" w:hanging="360"/>
      </w:pPr>
    </w:lvl>
    <w:lvl w:ilvl="2" w:tplc="8D40606C">
      <w:start w:val="1"/>
      <w:numFmt w:val="bullet"/>
      <w:lvlText w:val="■"/>
      <w:lvlJc w:val="left"/>
      <w:pPr>
        <w:ind w:left="2160" w:hanging="360"/>
      </w:pPr>
    </w:lvl>
    <w:lvl w:ilvl="3" w:tplc="8390AB4A">
      <w:start w:val="1"/>
      <w:numFmt w:val="bullet"/>
      <w:lvlText w:val="●"/>
      <w:lvlJc w:val="left"/>
      <w:pPr>
        <w:ind w:left="2880" w:hanging="360"/>
      </w:pPr>
    </w:lvl>
    <w:lvl w:ilvl="4" w:tplc="A74ECC40">
      <w:start w:val="1"/>
      <w:numFmt w:val="bullet"/>
      <w:lvlText w:val="○"/>
      <w:lvlJc w:val="left"/>
      <w:pPr>
        <w:ind w:left="3600" w:hanging="360"/>
      </w:pPr>
    </w:lvl>
    <w:lvl w:ilvl="5" w:tplc="30E08134">
      <w:start w:val="1"/>
      <w:numFmt w:val="bullet"/>
      <w:lvlText w:val="■"/>
      <w:lvlJc w:val="left"/>
      <w:pPr>
        <w:ind w:left="4320" w:hanging="360"/>
      </w:pPr>
    </w:lvl>
    <w:lvl w:ilvl="6" w:tplc="44F4CD80">
      <w:start w:val="1"/>
      <w:numFmt w:val="bullet"/>
      <w:lvlText w:val="●"/>
      <w:lvlJc w:val="left"/>
      <w:pPr>
        <w:ind w:left="5040" w:hanging="360"/>
      </w:pPr>
    </w:lvl>
    <w:lvl w:ilvl="7" w:tplc="4F70CB62">
      <w:start w:val="1"/>
      <w:numFmt w:val="bullet"/>
      <w:lvlText w:val="●"/>
      <w:lvlJc w:val="left"/>
      <w:pPr>
        <w:ind w:left="5760" w:hanging="360"/>
      </w:pPr>
    </w:lvl>
    <w:lvl w:ilvl="8" w:tplc="EC60AC6A">
      <w:start w:val="1"/>
      <w:numFmt w:val="bullet"/>
      <w:lvlText w:val="●"/>
      <w:lvlJc w:val="left"/>
      <w:pPr>
        <w:ind w:left="6480" w:hanging="360"/>
      </w:pPr>
    </w:lvl>
  </w:abstractNum>
  <w:abstractNum w:abstractNumId="3" w15:restartNumberingAfterBreak="0">
    <w:nsid w:val="44BF0772"/>
    <w:multiLevelType w:val="hybridMultilevel"/>
    <w:tmpl w:val="BDBED756"/>
    <w:lvl w:ilvl="0" w:tplc="85769CC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1079057680">
    <w:abstractNumId w:val="2"/>
    <w:lvlOverride w:ilvl="0">
      <w:startOverride w:val="1"/>
    </w:lvlOverride>
  </w:num>
  <w:num w:numId="2" w16cid:durableId="683439563">
    <w:abstractNumId w:val="3"/>
  </w:num>
  <w:num w:numId="3" w16cid:durableId="1972860366">
    <w:abstractNumId w:val="0"/>
  </w:num>
  <w:num w:numId="4" w16cid:durableId="58484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413"/>
    <w:rsid w:val="00020138"/>
    <w:rsid w:val="00022A8D"/>
    <w:rsid w:val="00050144"/>
    <w:rsid w:val="000627C6"/>
    <w:rsid w:val="00063C77"/>
    <w:rsid w:val="000C0BF8"/>
    <w:rsid w:val="000C7561"/>
    <w:rsid w:val="000D7FC2"/>
    <w:rsid w:val="00113377"/>
    <w:rsid w:val="00137C63"/>
    <w:rsid w:val="001460D8"/>
    <w:rsid w:val="00186C5F"/>
    <w:rsid w:val="001A42F0"/>
    <w:rsid w:val="001E0578"/>
    <w:rsid w:val="001E52BB"/>
    <w:rsid w:val="001F2588"/>
    <w:rsid w:val="00205D5B"/>
    <w:rsid w:val="0028119E"/>
    <w:rsid w:val="002A6964"/>
    <w:rsid w:val="002D22E0"/>
    <w:rsid w:val="002E1773"/>
    <w:rsid w:val="002F1D00"/>
    <w:rsid w:val="002F360C"/>
    <w:rsid w:val="00302000"/>
    <w:rsid w:val="00321B24"/>
    <w:rsid w:val="00326528"/>
    <w:rsid w:val="003407A6"/>
    <w:rsid w:val="003545B5"/>
    <w:rsid w:val="0035465A"/>
    <w:rsid w:val="00357FC3"/>
    <w:rsid w:val="003B409D"/>
    <w:rsid w:val="003C2413"/>
    <w:rsid w:val="004234A8"/>
    <w:rsid w:val="00436E53"/>
    <w:rsid w:val="0045111A"/>
    <w:rsid w:val="00460F9B"/>
    <w:rsid w:val="0047528C"/>
    <w:rsid w:val="0049620C"/>
    <w:rsid w:val="004A2A84"/>
    <w:rsid w:val="004A6311"/>
    <w:rsid w:val="004A684C"/>
    <w:rsid w:val="004D4595"/>
    <w:rsid w:val="004E62D5"/>
    <w:rsid w:val="005064A9"/>
    <w:rsid w:val="005215C9"/>
    <w:rsid w:val="0053260A"/>
    <w:rsid w:val="00536E04"/>
    <w:rsid w:val="0057242E"/>
    <w:rsid w:val="00593D25"/>
    <w:rsid w:val="005C056D"/>
    <w:rsid w:val="006477DC"/>
    <w:rsid w:val="00662C4C"/>
    <w:rsid w:val="00681630"/>
    <w:rsid w:val="006836A7"/>
    <w:rsid w:val="006A5077"/>
    <w:rsid w:val="006C3E52"/>
    <w:rsid w:val="006E02B9"/>
    <w:rsid w:val="00720CEE"/>
    <w:rsid w:val="0074222B"/>
    <w:rsid w:val="00744F66"/>
    <w:rsid w:val="00773F15"/>
    <w:rsid w:val="007822A8"/>
    <w:rsid w:val="007F4760"/>
    <w:rsid w:val="00813362"/>
    <w:rsid w:val="00873EC9"/>
    <w:rsid w:val="008846AE"/>
    <w:rsid w:val="008857E1"/>
    <w:rsid w:val="008E482D"/>
    <w:rsid w:val="008F6850"/>
    <w:rsid w:val="009363EF"/>
    <w:rsid w:val="00937304"/>
    <w:rsid w:val="00943799"/>
    <w:rsid w:val="00952A4A"/>
    <w:rsid w:val="00955B48"/>
    <w:rsid w:val="00967345"/>
    <w:rsid w:val="0097461E"/>
    <w:rsid w:val="00981B64"/>
    <w:rsid w:val="009B266B"/>
    <w:rsid w:val="009B6670"/>
    <w:rsid w:val="00A01992"/>
    <w:rsid w:val="00A11F0A"/>
    <w:rsid w:val="00A83D60"/>
    <w:rsid w:val="00AA3001"/>
    <w:rsid w:val="00AF2BE8"/>
    <w:rsid w:val="00B2786A"/>
    <w:rsid w:val="00B42EBD"/>
    <w:rsid w:val="00B472F7"/>
    <w:rsid w:val="00B65AC7"/>
    <w:rsid w:val="00B73D7F"/>
    <w:rsid w:val="00B74A75"/>
    <w:rsid w:val="00B7645F"/>
    <w:rsid w:val="00B84D2B"/>
    <w:rsid w:val="00BB42BA"/>
    <w:rsid w:val="00C03AF6"/>
    <w:rsid w:val="00C36F7D"/>
    <w:rsid w:val="00C73896"/>
    <w:rsid w:val="00C91474"/>
    <w:rsid w:val="00C95413"/>
    <w:rsid w:val="00CC5730"/>
    <w:rsid w:val="00CE5BAF"/>
    <w:rsid w:val="00D94D30"/>
    <w:rsid w:val="00DA0F6B"/>
    <w:rsid w:val="00DE3572"/>
    <w:rsid w:val="00DE3FED"/>
    <w:rsid w:val="00DE495C"/>
    <w:rsid w:val="00E16380"/>
    <w:rsid w:val="00E23CA0"/>
    <w:rsid w:val="00E27930"/>
    <w:rsid w:val="00E32AE3"/>
    <w:rsid w:val="00E33E66"/>
    <w:rsid w:val="00E34858"/>
    <w:rsid w:val="00E74547"/>
    <w:rsid w:val="00E83B5B"/>
    <w:rsid w:val="00EC3ED5"/>
    <w:rsid w:val="00EE4540"/>
    <w:rsid w:val="00EE57F9"/>
    <w:rsid w:val="00EF3736"/>
    <w:rsid w:val="00F01B7C"/>
    <w:rsid w:val="00F161BD"/>
    <w:rsid w:val="00F275CB"/>
    <w:rsid w:val="00F31F89"/>
    <w:rsid w:val="00F33706"/>
    <w:rsid w:val="00F73B35"/>
    <w:rsid w:val="00F9247E"/>
    <w:rsid w:val="00FA2855"/>
    <w:rsid w:val="00FA4B1C"/>
    <w:rsid w:val="00FB6E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F110"/>
  <w15:docId w15:val="{9CC059C0-802B-4A4C-897C-32AF0928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paragraph" w:customStyle="1" w:styleId="font-claude-response-body">
    <w:name w:val="font-claude-response-body"/>
    <w:basedOn w:val="Normal"/>
    <w:rsid w:val="00A01992"/>
    <w:pPr>
      <w:spacing w:before="100" w:beforeAutospacing="1" w:after="100" w:afterAutospacing="1"/>
    </w:pPr>
  </w:style>
  <w:style w:type="table" w:styleId="Tabelacomgrade">
    <w:name w:val="Table Grid"/>
    <w:basedOn w:val="Tabelanormal"/>
    <w:uiPriority w:val="39"/>
    <w:rsid w:val="004A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627C6"/>
  </w:style>
  <w:style w:type="character" w:styleId="MenoPendente">
    <w:name w:val="Unresolved Mention"/>
    <w:basedOn w:val="Fontepargpadro"/>
    <w:uiPriority w:val="99"/>
    <w:semiHidden/>
    <w:unhideWhenUsed/>
    <w:rsid w:val="00460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aj.tjsp.jus.br/cpopg/show.do?processo.codigo=0200104Q50000&amp;processo.foro=2&amp;processo.numero=0205320-32.2009.8.26.00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aj.tjsp.jus.br/cpopg/show.do?processo.codigo=1H000E51I0000&amp;processo.foro=53&amp;processo.numero=0036979-69.2018.8.26.005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efeitura.sp.gov.br/documents/d/desestatizacao_projetos/10-bl_anexo-v-do-edital-termo-de-ajustamento-de-condu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2C4C8-95C0-489E-B336-EF1B223B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8700</Words>
  <Characters>50984</Characters>
  <Application>Microsoft Office Word</Application>
  <DocSecurity>0</DocSecurity>
  <Lines>926</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Alexandra Araújo</cp:lastModifiedBy>
  <cp:revision>10</cp:revision>
  <dcterms:created xsi:type="dcterms:W3CDTF">2026-03-31T12:41:00Z</dcterms:created>
  <dcterms:modified xsi:type="dcterms:W3CDTF">2026-03-31T13:23:00Z</dcterms:modified>
</cp:coreProperties>
</file>