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508DB" w14:textId="77777777" w:rsidR="003D00D8" w:rsidRPr="009E6D75" w:rsidRDefault="003D00D8" w:rsidP="003D00D8">
      <w:pPr>
        <w:jc w:val="both"/>
        <w:rPr>
          <w:rFonts w:ascii="Book Antiqua" w:hAnsi="Book Antiqua"/>
        </w:rPr>
      </w:pPr>
      <w:r w:rsidRPr="009E6D75">
        <w:rPr>
          <w:rFonts w:ascii="Book Antiqua" w:hAnsi="Book Antiqua"/>
          <w:b/>
          <w:bCs/>
        </w:rPr>
        <w:t>LABIRINTOS INSTITUCIONAIS NO ENFORCEMENT PENAL DO INSIDER TRADING: NORMAS, INSTITUIÇÕES E ATIVAÇÃO DE CAPACIDADES ESTATAIS</w:t>
      </w:r>
    </w:p>
    <w:p w14:paraId="40E18948" w14:textId="77777777" w:rsidR="003D00D8" w:rsidRPr="009E6D75" w:rsidRDefault="003D00D8" w:rsidP="003D00D8">
      <w:pPr>
        <w:jc w:val="both"/>
        <w:rPr>
          <w:rFonts w:ascii="Book Antiqua" w:hAnsi="Book Antiqua"/>
          <w:b/>
          <w:bCs/>
        </w:rPr>
      </w:pPr>
      <w:r w:rsidRPr="009E6D75">
        <w:rPr>
          <w:rFonts w:ascii="Book Antiqua" w:hAnsi="Book Antiqua"/>
          <w:b/>
          <w:bCs/>
        </w:rPr>
        <w:t>Resumo</w:t>
      </w:r>
    </w:p>
    <w:p w14:paraId="275C7330" w14:textId="77777777" w:rsidR="003D00D8" w:rsidRPr="001A73F4" w:rsidRDefault="003D00D8" w:rsidP="003D00D8">
      <w:pPr>
        <w:jc w:val="both"/>
        <w:rPr>
          <w:rFonts w:ascii="Book Antiqua" w:hAnsi="Book Antiqua"/>
        </w:rPr>
      </w:pPr>
      <w:r w:rsidRPr="009E6D75">
        <w:rPr>
          <w:rFonts w:ascii="Book Antiqua" w:hAnsi="Book Antiqua"/>
        </w:rPr>
        <w:t xml:space="preserve">O presente relato de pesquisa é parte da Tese de Doutorado que investiga o funcionamento do </w:t>
      </w:r>
      <w:proofErr w:type="spellStart"/>
      <w:r w:rsidRPr="009E6D75">
        <w:rPr>
          <w:rFonts w:ascii="Book Antiqua" w:hAnsi="Book Antiqua"/>
          <w:i/>
          <w:iCs/>
        </w:rPr>
        <w:t>enforcement</w:t>
      </w:r>
      <w:proofErr w:type="spellEnd"/>
      <w:r w:rsidRPr="009E6D75">
        <w:rPr>
          <w:rFonts w:ascii="Book Antiqua" w:hAnsi="Book Antiqua"/>
        </w:rPr>
        <w:t xml:space="preserve"> penal do crime de </w:t>
      </w:r>
      <w:proofErr w:type="spellStart"/>
      <w:r w:rsidRPr="009E6D75">
        <w:rPr>
          <w:rFonts w:ascii="Book Antiqua" w:hAnsi="Book Antiqua"/>
          <w:i/>
          <w:iCs/>
        </w:rPr>
        <w:t>insider</w:t>
      </w:r>
      <w:proofErr w:type="spellEnd"/>
      <w:r w:rsidRPr="009E6D75">
        <w:rPr>
          <w:rFonts w:ascii="Book Antiqua" w:hAnsi="Book Antiqua"/>
        </w:rPr>
        <w:t xml:space="preserve"> </w:t>
      </w:r>
      <w:r w:rsidRPr="009E6D75">
        <w:rPr>
          <w:rFonts w:ascii="Book Antiqua" w:hAnsi="Book Antiqua"/>
          <w:i/>
          <w:iCs/>
        </w:rPr>
        <w:t>trading</w:t>
      </w:r>
      <w:r w:rsidRPr="009E6D75">
        <w:rPr>
          <w:rFonts w:ascii="Book Antiqua" w:hAnsi="Book Antiqua"/>
        </w:rPr>
        <w:t xml:space="preserve"> no Brasil a partir de um paradoxo persistente: a coexistência entre uma arquitetura normativa sofisticada e a raridade</w:t>
      </w:r>
      <w:r w:rsidRPr="001A73F4">
        <w:rPr>
          <w:rFonts w:ascii="Book Antiqua" w:hAnsi="Book Antiqua"/>
        </w:rPr>
        <w:t xml:space="preserve"> </w:t>
      </w:r>
      <w:r w:rsidRPr="009E6D75">
        <w:rPr>
          <w:rFonts w:ascii="Book Antiqua" w:hAnsi="Book Antiqua"/>
        </w:rPr>
        <w:t>e, sobretudo, a difícil rastreabilidade</w:t>
      </w:r>
      <w:r w:rsidRPr="001A73F4">
        <w:rPr>
          <w:rFonts w:ascii="Book Antiqua" w:hAnsi="Book Antiqua"/>
        </w:rPr>
        <w:t xml:space="preserve">, </w:t>
      </w:r>
      <w:r w:rsidRPr="009E6D75">
        <w:rPr>
          <w:rFonts w:ascii="Book Antiqua" w:hAnsi="Book Antiqua"/>
        </w:rPr>
        <w:t>das ações penais. O objetivo é compreender por que um caso de uso de informação privilegiada chega, ou não, à esfera criminal, deslocando o foco da dogmática jurídica para o modo como operam, na prática, a Comissão de Valores Mobiliários (CVM), a Polícia Federal (PF) e o Ministério Público Federal (MPF).</w:t>
      </w:r>
      <w:r w:rsidRPr="001A73F4">
        <w:rPr>
          <w:rFonts w:ascii="Book Antiqua" w:hAnsi="Book Antiqua"/>
        </w:rPr>
        <w:t xml:space="preserve"> </w:t>
      </w:r>
      <w:r w:rsidRPr="009E6D75">
        <w:rPr>
          <w:rFonts w:ascii="Book Antiqua" w:hAnsi="Book Antiqua"/>
        </w:rPr>
        <w:t>Ancorada na literatura de capacidades estatais e arranjos de implementação, a investigação adota metodologia qualitativa baseada em análise documental e entrevistas semiestruturadas. Os achados indicam que a baixa incidência de respostas penais não decorre da ausência de competência técnica, mas da forma como o arranjo organiza</w:t>
      </w:r>
      <w:r w:rsidRPr="001A73F4">
        <w:rPr>
          <w:rFonts w:ascii="Book Antiqua" w:hAnsi="Book Antiqua"/>
        </w:rPr>
        <w:t>,</w:t>
      </w:r>
      <w:r w:rsidRPr="009E6D75">
        <w:rPr>
          <w:rFonts w:ascii="Book Antiqua" w:hAnsi="Book Antiqua"/>
        </w:rPr>
        <w:t xml:space="preserve"> de maneira desigual e não convergente</w:t>
      </w:r>
      <w:r w:rsidRPr="001A73F4">
        <w:rPr>
          <w:rFonts w:ascii="Book Antiqua" w:hAnsi="Book Antiqua"/>
        </w:rPr>
        <w:t>,</w:t>
      </w:r>
      <w:r w:rsidRPr="009E6D75">
        <w:rPr>
          <w:rFonts w:ascii="Book Antiqua" w:hAnsi="Book Antiqua"/>
        </w:rPr>
        <w:t xml:space="preserve"> a ativação dessas capacidades ao longo do circuito institucional. </w:t>
      </w:r>
      <w:r w:rsidRPr="00E33ED1">
        <w:rPr>
          <w:rFonts w:ascii="Book Antiqua" w:hAnsi="Book Antiqua"/>
        </w:rPr>
        <w:t xml:space="preserve">Argumenta-se que o </w:t>
      </w:r>
      <w:proofErr w:type="spellStart"/>
      <w:r w:rsidRPr="00E33ED1">
        <w:rPr>
          <w:rFonts w:ascii="Book Antiqua" w:hAnsi="Book Antiqua"/>
          <w:i/>
          <w:iCs/>
        </w:rPr>
        <w:t>enforcement</w:t>
      </w:r>
      <w:proofErr w:type="spellEnd"/>
      <w:r w:rsidRPr="00E33ED1">
        <w:rPr>
          <w:rFonts w:ascii="Book Antiqua" w:hAnsi="Book Antiqua"/>
        </w:rPr>
        <w:t xml:space="preserve"> opera como um fluxo descontínuo, no qual capacidades existem, são parcialmente mobilizadas, mas não se encontram, comprometendo a transformação de insumos regulatórios em ação penal.</w:t>
      </w:r>
    </w:p>
    <w:p w14:paraId="20BBBEB9" w14:textId="77777777" w:rsidR="003D00D8" w:rsidRPr="00E33ED1" w:rsidRDefault="003D00D8" w:rsidP="003D00D8">
      <w:pPr>
        <w:jc w:val="both"/>
        <w:rPr>
          <w:rFonts w:ascii="Book Antiqua" w:hAnsi="Book Antiqua"/>
        </w:rPr>
      </w:pPr>
      <w:r w:rsidRPr="00E33ED1">
        <w:rPr>
          <w:rFonts w:ascii="Book Antiqua" w:hAnsi="Book Antiqua"/>
          <w:b/>
          <w:bCs/>
        </w:rPr>
        <w:t>Palavras-chave:</w:t>
      </w:r>
      <w:r w:rsidRPr="00E33ED1">
        <w:rPr>
          <w:rFonts w:ascii="Book Antiqua" w:hAnsi="Book Antiqua"/>
        </w:rPr>
        <w:t xml:space="preserve"> </w:t>
      </w:r>
      <w:r w:rsidRPr="00E33ED1">
        <w:rPr>
          <w:rFonts w:ascii="Book Antiqua" w:hAnsi="Book Antiqua"/>
          <w:i/>
          <w:iCs/>
        </w:rPr>
        <w:t>Insider trading</w:t>
      </w:r>
      <w:r w:rsidRPr="00E33ED1">
        <w:rPr>
          <w:rFonts w:ascii="Book Antiqua" w:hAnsi="Book Antiqua"/>
        </w:rPr>
        <w:t xml:space="preserve">; Capacidades estatais; Arranjos de implementação; </w:t>
      </w:r>
      <w:proofErr w:type="spellStart"/>
      <w:r w:rsidRPr="00E33ED1">
        <w:rPr>
          <w:rFonts w:ascii="Book Antiqua" w:hAnsi="Book Antiqua"/>
        </w:rPr>
        <w:t>Enforcement</w:t>
      </w:r>
      <w:proofErr w:type="spellEnd"/>
      <w:r w:rsidRPr="00E33ED1">
        <w:rPr>
          <w:rFonts w:ascii="Book Antiqua" w:hAnsi="Book Antiqua"/>
        </w:rPr>
        <w:t xml:space="preserve"> penal; Mercado de capitais.</w:t>
      </w:r>
    </w:p>
    <w:p w14:paraId="5D908138" w14:textId="77777777" w:rsidR="003D00D8" w:rsidRPr="001A73F4" w:rsidRDefault="003D00D8" w:rsidP="003D00D8">
      <w:pPr>
        <w:pStyle w:val="PargrafodaLista"/>
        <w:numPr>
          <w:ilvl w:val="0"/>
          <w:numId w:val="1"/>
        </w:numPr>
        <w:jc w:val="both"/>
        <w:rPr>
          <w:rFonts w:ascii="Book Antiqua" w:hAnsi="Book Antiqua"/>
          <w:b/>
          <w:bCs/>
        </w:rPr>
      </w:pPr>
      <w:r w:rsidRPr="001A73F4">
        <w:rPr>
          <w:rFonts w:ascii="Book Antiqua" w:hAnsi="Book Antiqua"/>
          <w:b/>
          <w:bCs/>
        </w:rPr>
        <w:t>Introdução</w:t>
      </w:r>
    </w:p>
    <w:p w14:paraId="0BBA1C29" w14:textId="77777777" w:rsidR="003D00D8" w:rsidRPr="00E33ED1" w:rsidRDefault="003D00D8" w:rsidP="003D00D8">
      <w:pPr>
        <w:ind w:firstLine="851"/>
        <w:jc w:val="both"/>
        <w:rPr>
          <w:rFonts w:ascii="Book Antiqua" w:hAnsi="Book Antiqua"/>
        </w:rPr>
      </w:pPr>
      <w:r w:rsidRPr="00E33ED1">
        <w:rPr>
          <w:rFonts w:ascii="Book Antiqua" w:hAnsi="Book Antiqua"/>
        </w:rPr>
        <w:t xml:space="preserve">O presente relato de pesquisa é parte da Tese de Doutorado que investiga o funcionamento do </w:t>
      </w:r>
      <w:proofErr w:type="spellStart"/>
      <w:r w:rsidRPr="00EC336A">
        <w:rPr>
          <w:rFonts w:ascii="Book Antiqua" w:hAnsi="Book Antiqua"/>
          <w:i/>
          <w:iCs/>
        </w:rPr>
        <w:t>enforcement</w:t>
      </w:r>
      <w:proofErr w:type="spellEnd"/>
      <w:r w:rsidRPr="00E33ED1">
        <w:rPr>
          <w:rFonts w:ascii="Book Antiqua" w:hAnsi="Book Antiqua"/>
        </w:rPr>
        <w:t xml:space="preserve"> penal do crime de </w:t>
      </w:r>
      <w:proofErr w:type="spellStart"/>
      <w:r w:rsidRPr="00EC336A">
        <w:rPr>
          <w:rFonts w:ascii="Book Antiqua" w:hAnsi="Book Antiqua"/>
          <w:i/>
          <w:iCs/>
        </w:rPr>
        <w:t>insider</w:t>
      </w:r>
      <w:proofErr w:type="spellEnd"/>
      <w:r w:rsidRPr="00EC336A">
        <w:rPr>
          <w:rFonts w:ascii="Book Antiqua" w:hAnsi="Book Antiqua"/>
          <w:i/>
          <w:iCs/>
        </w:rPr>
        <w:t xml:space="preserve"> trading</w:t>
      </w:r>
      <w:r w:rsidRPr="00E33ED1">
        <w:rPr>
          <w:rFonts w:ascii="Book Antiqua" w:hAnsi="Book Antiqua"/>
        </w:rPr>
        <w:t xml:space="preserve"> no Brasil. A questão que orienta essa investigação não surge da ausência de informação, mas da dificuldade de organizá-la: </w:t>
      </w:r>
      <w:r w:rsidRPr="00E33ED1">
        <w:rPr>
          <w:rFonts w:ascii="Book Antiqua" w:hAnsi="Book Antiqua"/>
          <w:b/>
          <w:bCs/>
        </w:rPr>
        <w:t xml:space="preserve">por que um caso de </w:t>
      </w:r>
      <w:proofErr w:type="spellStart"/>
      <w:r w:rsidRPr="00E33ED1">
        <w:rPr>
          <w:rFonts w:ascii="Book Antiqua" w:hAnsi="Book Antiqua"/>
          <w:b/>
          <w:bCs/>
        </w:rPr>
        <w:t>insider</w:t>
      </w:r>
      <w:proofErr w:type="spellEnd"/>
      <w:r w:rsidRPr="00E33ED1">
        <w:rPr>
          <w:rFonts w:ascii="Book Antiqua" w:hAnsi="Book Antiqua"/>
          <w:b/>
          <w:bCs/>
        </w:rPr>
        <w:t xml:space="preserve"> trading chega, ou não, à esfera penal no Brasil?</w:t>
      </w:r>
    </w:p>
    <w:p w14:paraId="7DD70A10" w14:textId="77777777" w:rsidR="003D00D8" w:rsidRPr="001A73F4" w:rsidRDefault="003D00D8" w:rsidP="003D00D8">
      <w:pPr>
        <w:spacing w:line="276" w:lineRule="auto"/>
        <w:ind w:firstLine="851"/>
        <w:jc w:val="both"/>
        <w:rPr>
          <w:rFonts w:ascii="Book Antiqua" w:hAnsi="Book Antiqua"/>
        </w:rPr>
      </w:pPr>
      <w:r w:rsidRPr="001A73F4">
        <w:rPr>
          <w:rFonts w:ascii="Book Antiqua" w:hAnsi="Book Antiqua"/>
        </w:rPr>
        <w:t>Do ponto de vista normativo, a arquitetura repressiva brasileira é relativamente clara: a Lei n.º 6.404/1976</w:t>
      </w:r>
      <w:r w:rsidRPr="001A73F4">
        <w:rPr>
          <w:rStyle w:val="Refdenotaderodap"/>
          <w:rFonts w:ascii="Book Antiqua" w:hAnsi="Book Antiqua"/>
        </w:rPr>
        <w:footnoteReference w:id="1"/>
      </w:r>
      <w:r w:rsidRPr="001A73F4">
        <w:rPr>
          <w:rFonts w:ascii="Book Antiqua" w:hAnsi="Book Antiqua"/>
        </w:rPr>
        <w:t xml:space="preserve"> consolidou a vedação administrativa ao uso de informação </w:t>
      </w:r>
      <w:r w:rsidRPr="001A73F4">
        <w:rPr>
          <w:rFonts w:ascii="Book Antiqua" w:hAnsi="Book Antiqua"/>
        </w:rPr>
        <w:lastRenderedPageBreak/>
        <w:t>privilegiada; a Lei n.º 10.303/2001</w:t>
      </w:r>
      <w:r w:rsidRPr="001A73F4">
        <w:rPr>
          <w:rStyle w:val="Refdenotaderodap"/>
          <w:rFonts w:ascii="Book Antiqua" w:hAnsi="Book Antiqua"/>
        </w:rPr>
        <w:footnoteReference w:id="2"/>
      </w:r>
      <w:r w:rsidRPr="001A73F4">
        <w:rPr>
          <w:rFonts w:ascii="Book Antiqua" w:hAnsi="Book Antiqua"/>
        </w:rPr>
        <w:t xml:space="preserve"> introduziu o tipo penal de </w:t>
      </w:r>
      <w:proofErr w:type="spellStart"/>
      <w:r w:rsidRPr="001A73F4">
        <w:rPr>
          <w:rFonts w:ascii="Book Antiqua" w:hAnsi="Book Antiqua"/>
          <w:i/>
          <w:iCs/>
        </w:rPr>
        <w:t>insider</w:t>
      </w:r>
      <w:proofErr w:type="spellEnd"/>
      <w:r w:rsidRPr="001A73F4">
        <w:rPr>
          <w:rFonts w:ascii="Book Antiqua" w:hAnsi="Book Antiqua"/>
          <w:i/>
          <w:iCs/>
        </w:rPr>
        <w:t xml:space="preserve"> trading</w:t>
      </w:r>
      <w:r w:rsidRPr="001A73F4">
        <w:rPr>
          <w:rFonts w:ascii="Book Antiqua" w:hAnsi="Book Antiqua"/>
        </w:rPr>
        <w:t>; e a Lei n.º 13.506/2017</w:t>
      </w:r>
      <w:r w:rsidRPr="001A73F4">
        <w:rPr>
          <w:rStyle w:val="Refdenotaderodap"/>
          <w:rFonts w:ascii="Book Antiqua" w:hAnsi="Book Antiqua"/>
        </w:rPr>
        <w:footnoteReference w:id="3"/>
      </w:r>
      <w:r w:rsidRPr="001A73F4">
        <w:rPr>
          <w:rFonts w:ascii="Book Antiqua" w:hAnsi="Book Antiqua"/>
        </w:rPr>
        <w:t xml:space="preserve"> reformulou o regime sancionador penal, ampliando a responsabilização. </w:t>
      </w:r>
    </w:p>
    <w:p w14:paraId="3DA9F85B" w14:textId="77777777" w:rsidR="003D00D8" w:rsidRPr="00B36664" w:rsidRDefault="003D00D8" w:rsidP="003D00D8">
      <w:pPr>
        <w:spacing w:line="276" w:lineRule="auto"/>
        <w:ind w:firstLine="1134"/>
        <w:jc w:val="both"/>
        <w:rPr>
          <w:rFonts w:ascii="Book Antiqua" w:hAnsi="Book Antiqua"/>
        </w:rPr>
      </w:pPr>
      <w:r w:rsidRPr="001A73F4">
        <w:rPr>
          <w:rFonts w:ascii="Book Antiqua" w:hAnsi="Book Antiqua"/>
        </w:rPr>
        <w:t>Em paralelo, iniciativas de cooperação, como o convênio firmado entre a Comissão de Valores Mobiliários – CVM e Ministério Público Federal – MPF em 2008</w:t>
      </w:r>
      <w:r w:rsidRPr="001A73F4">
        <w:rPr>
          <w:rStyle w:val="Refdenotaderodap"/>
          <w:rFonts w:ascii="Book Antiqua" w:hAnsi="Book Antiqua"/>
        </w:rPr>
        <w:footnoteReference w:id="4"/>
      </w:r>
      <w:r w:rsidRPr="001A73F4">
        <w:rPr>
          <w:rFonts w:ascii="Book Antiqua" w:hAnsi="Book Antiqua"/>
        </w:rPr>
        <w:t xml:space="preserve"> e com a Polícia Federal – PF em 2010</w:t>
      </w:r>
      <w:r w:rsidRPr="001A73F4">
        <w:rPr>
          <w:rStyle w:val="Refdenotaderodap"/>
          <w:rFonts w:ascii="Book Antiqua" w:hAnsi="Book Antiqua"/>
        </w:rPr>
        <w:footnoteReference w:id="5"/>
      </w:r>
      <w:r w:rsidRPr="001A73F4">
        <w:rPr>
          <w:rFonts w:ascii="Book Antiqua" w:hAnsi="Book Antiqua"/>
        </w:rPr>
        <w:t xml:space="preserve">, buscaram aproximar as esferas administrativa e penal. </w:t>
      </w:r>
      <w:r w:rsidRPr="00B36664">
        <w:rPr>
          <w:rFonts w:ascii="Book Antiqua" w:hAnsi="Book Antiqua"/>
        </w:rPr>
        <w:t>O sistema, em tese, reúne normas, instrumentos e instituições capazes de monitorar, detectar, investigar e sancionar condutas que produzem assimetrias informacionais.</w:t>
      </w:r>
    </w:p>
    <w:p w14:paraId="3CA98E4E" w14:textId="77777777" w:rsidR="003D00D8" w:rsidRPr="001A73F4" w:rsidRDefault="003D00D8" w:rsidP="003D00D8">
      <w:pPr>
        <w:spacing w:line="276" w:lineRule="auto"/>
        <w:ind w:firstLine="851"/>
        <w:jc w:val="both"/>
        <w:rPr>
          <w:rFonts w:ascii="Book Antiqua" w:hAnsi="Book Antiqua"/>
        </w:rPr>
      </w:pPr>
      <w:r w:rsidRPr="001A73F4">
        <w:rPr>
          <w:rFonts w:ascii="Book Antiqua" w:hAnsi="Book Antiqua"/>
        </w:rPr>
        <w:t>Nesse circuito institucional</w:t>
      </w:r>
      <w:r w:rsidRPr="001A73F4">
        <w:rPr>
          <w:rStyle w:val="Refdenotaderodap"/>
          <w:rFonts w:ascii="Book Antiqua" w:hAnsi="Book Antiqua"/>
        </w:rPr>
        <w:footnoteReference w:id="6"/>
      </w:r>
      <w:r w:rsidRPr="001A73F4">
        <w:rPr>
          <w:rFonts w:ascii="Book Antiqua" w:hAnsi="Book Antiqua"/>
        </w:rPr>
        <w:t>, três atores ocupam posições centrais: a Comissão de Valores Mobiliários, responsável pela supervisão do mercado, pela detecção de operações suspeitas, pela instrução técnica de infrações e pelo julgamento administrativo dos casos; a Polícia Federal, que possui competência para conduzir investigações criminais, reunir provas e instaurar inquéritos; e o Ministério Público Federal, titular da ação penal e responsável por transformar indícios em denúncias (ações penais) ou arquivamentos.</w:t>
      </w:r>
    </w:p>
    <w:p w14:paraId="4FC5189B" w14:textId="77777777" w:rsidR="003D00D8" w:rsidRPr="003E3A86" w:rsidRDefault="003D00D8" w:rsidP="003D00D8">
      <w:pPr>
        <w:spacing w:line="276" w:lineRule="auto"/>
        <w:ind w:firstLine="1134"/>
        <w:jc w:val="both"/>
        <w:rPr>
          <w:rFonts w:ascii="Book Antiqua" w:hAnsi="Book Antiqua"/>
        </w:rPr>
      </w:pPr>
      <w:r w:rsidRPr="003E3A86">
        <w:rPr>
          <w:rFonts w:ascii="Book Antiqua" w:hAnsi="Book Antiqua"/>
        </w:rPr>
        <w:lastRenderedPageBreak/>
        <w:t xml:space="preserve">A repressão ao </w:t>
      </w:r>
      <w:proofErr w:type="spellStart"/>
      <w:r w:rsidRPr="003E3A86">
        <w:rPr>
          <w:rFonts w:ascii="Book Antiqua" w:hAnsi="Book Antiqua"/>
          <w:i/>
          <w:iCs/>
        </w:rPr>
        <w:t>insider</w:t>
      </w:r>
      <w:proofErr w:type="spellEnd"/>
      <w:r w:rsidRPr="003E3A86">
        <w:rPr>
          <w:rFonts w:ascii="Book Antiqua" w:hAnsi="Book Antiqua"/>
          <w:i/>
          <w:iCs/>
        </w:rPr>
        <w:t xml:space="preserve"> trading</w:t>
      </w:r>
      <w:r w:rsidRPr="003E3A86">
        <w:rPr>
          <w:rFonts w:ascii="Book Antiqua" w:hAnsi="Book Antiqua"/>
        </w:rPr>
        <w:t>, portanto, depende de um arranjo de implementação</w:t>
      </w:r>
      <w:r w:rsidRPr="003E3A86">
        <w:rPr>
          <w:rStyle w:val="Refdenotaderodap"/>
          <w:rFonts w:ascii="Book Antiqua" w:hAnsi="Book Antiqua"/>
        </w:rPr>
        <w:footnoteReference w:id="7"/>
      </w:r>
      <w:r w:rsidRPr="003E3A86">
        <w:rPr>
          <w:rFonts w:ascii="Book Antiqua" w:hAnsi="Book Antiqua"/>
        </w:rPr>
        <w:t xml:space="preserve"> </w:t>
      </w:r>
      <w:proofErr w:type="spellStart"/>
      <w:r w:rsidRPr="003E3A86">
        <w:rPr>
          <w:rFonts w:ascii="Book Antiqua" w:hAnsi="Book Antiqua"/>
        </w:rPr>
        <w:t>multiorganizacional</w:t>
      </w:r>
      <w:proofErr w:type="spellEnd"/>
      <w:r w:rsidRPr="003E3A86">
        <w:rPr>
          <w:rFonts w:ascii="Book Antiqua" w:hAnsi="Book Antiqua"/>
        </w:rPr>
        <w:t>, no qual fluxos de informação, rotinas de investigação e decisões estratégicas precisam se articular para produzir resultados.</w:t>
      </w:r>
    </w:p>
    <w:p w14:paraId="574DDD15" w14:textId="77777777" w:rsidR="003D00D8" w:rsidRPr="003E3A86" w:rsidRDefault="003D00D8" w:rsidP="003D00D8">
      <w:pPr>
        <w:spacing w:line="276" w:lineRule="auto"/>
        <w:ind w:firstLine="1134"/>
        <w:jc w:val="both"/>
        <w:rPr>
          <w:rFonts w:ascii="Book Antiqua" w:hAnsi="Book Antiqua"/>
        </w:rPr>
      </w:pPr>
      <w:r w:rsidRPr="003E3A86">
        <w:rPr>
          <w:rFonts w:ascii="Book Antiqua" w:hAnsi="Book Antiqua"/>
        </w:rPr>
        <w:t xml:space="preserve">É nesse contexto que, ao observar o funcionamento concreto do sistema, emerge um contraste difícil de ignorar: apesar da densidade normativa, da existência de órgãos especializados e do acúmulo de instrumentos formais, a responsabilização penal por </w:t>
      </w:r>
      <w:proofErr w:type="spellStart"/>
      <w:r w:rsidRPr="003E3A86">
        <w:rPr>
          <w:rFonts w:ascii="Book Antiqua" w:hAnsi="Book Antiqua"/>
          <w:i/>
          <w:iCs/>
        </w:rPr>
        <w:t>insider</w:t>
      </w:r>
      <w:proofErr w:type="spellEnd"/>
      <w:r w:rsidRPr="003E3A86">
        <w:rPr>
          <w:rFonts w:ascii="Book Antiqua" w:hAnsi="Book Antiqua"/>
          <w:i/>
          <w:iCs/>
        </w:rPr>
        <w:t xml:space="preserve"> trading</w:t>
      </w:r>
      <w:r w:rsidRPr="003E3A86">
        <w:rPr>
          <w:rFonts w:ascii="Book Antiqua" w:hAnsi="Book Antiqua"/>
        </w:rPr>
        <w:t xml:space="preserve"> é um evento raro e de difícil rastreio</w:t>
      </w:r>
      <w:r w:rsidRPr="003E3A86">
        <w:rPr>
          <w:rStyle w:val="Refdenotaderodap"/>
          <w:rFonts w:ascii="Book Antiqua" w:hAnsi="Book Antiqua"/>
        </w:rPr>
        <w:footnoteReference w:id="8"/>
      </w:r>
      <w:r w:rsidRPr="003E3A86">
        <w:rPr>
          <w:rFonts w:ascii="Book Antiqua" w:hAnsi="Book Antiqua"/>
        </w:rPr>
        <w:t xml:space="preserve">. </w:t>
      </w:r>
    </w:p>
    <w:p w14:paraId="6127423F" w14:textId="77777777" w:rsidR="003D00D8" w:rsidRPr="003825B9" w:rsidRDefault="003D00D8" w:rsidP="003D00D8">
      <w:pPr>
        <w:spacing w:line="276" w:lineRule="auto"/>
        <w:ind w:firstLine="1134"/>
        <w:jc w:val="both"/>
        <w:rPr>
          <w:rFonts w:ascii="Book Antiqua" w:hAnsi="Book Antiqua"/>
        </w:rPr>
      </w:pPr>
      <w:r w:rsidRPr="003825B9">
        <w:rPr>
          <w:rFonts w:ascii="Book Antiqua" w:hAnsi="Book Antiqua"/>
        </w:rPr>
        <w:t xml:space="preserve">A literatura e a prática institucional oferecem diagnósticos recorrentes: dificuldades probatórias, limitações investigativas, baixa priorização do tema, fragilidade de articulação entre órgãos. Embora relevantes, essas leituras tendem a tratar o problema como falha localizada — em uma instituição, em uma etapa ou em um tipo de capacidade. O que permanece menos explorado é a </w:t>
      </w:r>
      <w:r w:rsidRPr="007C3811">
        <w:rPr>
          <w:rFonts w:ascii="Book Antiqua" w:hAnsi="Book Antiqua"/>
          <w:i/>
          <w:iCs/>
        </w:rPr>
        <w:t>forma</w:t>
      </w:r>
      <w:r w:rsidRPr="003825B9">
        <w:rPr>
          <w:rFonts w:ascii="Book Antiqua" w:hAnsi="Book Antiqua"/>
        </w:rPr>
        <w:t xml:space="preserve"> como essas dimensões se combinam.</w:t>
      </w:r>
    </w:p>
    <w:p w14:paraId="3A256000" w14:textId="77777777" w:rsidR="003D00D8" w:rsidRDefault="003D00D8" w:rsidP="003D00D8">
      <w:pPr>
        <w:spacing w:line="276" w:lineRule="auto"/>
        <w:ind w:firstLine="1134"/>
        <w:jc w:val="both"/>
        <w:rPr>
          <w:rFonts w:ascii="Book Antiqua" w:hAnsi="Book Antiqua"/>
        </w:rPr>
      </w:pPr>
      <w:r w:rsidRPr="003825B9">
        <w:rPr>
          <w:rFonts w:ascii="Book Antiqua" w:hAnsi="Book Antiqua"/>
        </w:rPr>
        <w:t xml:space="preserve">A hipótese que orienta este trabalho parte desse deslocamento. Não se trata de explicar o fenômeno a partir de uma ausência — de coordenação, de capacidade ou de vontade institucional —, mas de examinar como o arranjo que estrutura o circuito </w:t>
      </w:r>
      <w:r w:rsidRPr="003825B9">
        <w:rPr>
          <w:rFonts w:ascii="Book Antiqua" w:hAnsi="Book Antiqua"/>
        </w:rPr>
        <w:lastRenderedPageBreak/>
        <w:t xml:space="preserve">CVM–PF–MPF distribui capacidades, </w:t>
      </w:r>
      <w:r>
        <w:rPr>
          <w:rFonts w:ascii="Book Antiqua" w:hAnsi="Book Antiqua"/>
        </w:rPr>
        <w:t>condiciona a sua</w:t>
      </w:r>
      <w:r w:rsidRPr="003825B9">
        <w:rPr>
          <w:rFonts w:ascii="Book Antiqua" w:hAnsi="Book Antiqua"/>
        </w:rPr>
        <w:t xml:space="preserve"> ativação e, sobretudo, limita as condições </w:t>
      </w:r>
      <w:r>
        <w:rPr>
          <w:rFonts w:ascii="Book Antiqua" w:hAnsi="Book Antiqua"/>
        </w:rPr>
        <w:t>da sua</w:t>
      </w:r>
      <w:r w:rsidRPr="003825B9">
        <w:rPr>
          <w:rFonts w:ascii="Book Antiqua" w:hAnsi="Book Antiqua"/>
        </w:rPr>
        <w:t xml:space="preserve"> convergência. O problema não se reduz à articulação entre instituições; </w:t>
      </w:r>
      <w:r>
        <w:rPr>
          <w:rFonts w:ascii="Book Antiqua" w:hAnsi="Book Antiqua"/>
        </w:rPr>
        <w:t>ele manifesta-se</w:t>
      </w:r>
      <w:r w:rsidRPr="003825B9">
        <w:rPr>
          <w:rFonts w:ascii="Book Antiqua" w:hAnsi="Book Antiqua"/>
        </w:rPr>
        <w:t xml:space="preserve"> na forma como essas instituições são organizadas para atuar.</w:t>
      </w:r>
    </w:p>
    <w:p w14:paraId="46E0B62B" w14:textId="77777777" w:rsidR="003D00D8" w:rsidRPr="00B36664" w:rsidRDefault="003D00D8" w:rsidP="003D00D8">
      <w:pPr>
        <w:spacing w:line="276" w:lineRule="auto"/>
        <w:ind w:firstLine="1134"/>
        <w:jc w:val="both"/>
        <w:rPr>
          <w:rFonts w:ascii="Book Antiqua" w:hAnsi="Book Antiqua"/>
        </w:rPr>
      </w:pPr>
      <w:r w:rsidRPr="00B36664">
        <w:rPr>
          <w:rFonts w:ascii="Book Antiqua" w:hAnsi="Book Antiqua"/>
        </w:rPr>
        <w:t xml:space="preserve">Este caminho investigativo parte de uma hipótese geral: a </w:t>
      </w:r>
      <w:r w:rsidRPr="001141B0">
        <w:rPr>
          <w:rFonts w:ascii="Book Antiqua" w:hAnsi="Book Antiqua"/>
        </w:rPr>
        <w:t>baixa visibilidade</w:t>
      </w:r>
      <w:r>
        <w:rPr>
          <w:rStyle w:val="Refdenotaderodap"/>
          <w:rFonts w:ascii="Book Antiqua" w:hAnsi="Book Antiqua"/>
        </w:rPr>
        <w:footnoteReference w:id="9"/>
      </w:r>
      <w:r w:rsidRPr="001141B0">
        <w:rPr>
          <w:rFonts w:ascii="Book Antiqua" w:hAnsi="Book Antiqua"/>
        </w:rPr>
        <w:t xml:space="preserve"> do </w:t>
      </w:r>
      <w:proofErr w:type="spellStart"/>
      <w:r w:rsidRPr="001141B0">
        <w:rPr>
          <w:rFonts w:ascii="Book Antiqua" w:hAnsi="Book Antiqua"/>
          <w:i/>
          <w:iCs/>
        </w:rPr>
        <w:t>enforcement</w:t>
      </w:r>
      <w:proofErr w:type="spellEnd"/>
      <w:r w:rsidRPr="001141B0">
        <w:rPr>
          <w:rFonts w:ascii="Book Antiqua" w:hAnsi="Book Antiqua"/>
        </w:rPr>
        <w:t xml:space="preserve"> penal</w:t>
      </w:r>
      <w:r>
        <w:rPr>
          <w:rFonts w:ascii="Book Antiqua" w:hAnsi="Book Antiqua"/>
        </w:rPr>
        <w:t xml:space="preserve"> no</w:t>
      </w:r>
      <w:r w:rsidRPr="00B36664">
        <w:rPr>
          <w:rFonts w:ascii="Book Antiqua" w:hAnsi="Book Antiqua"/>
        </w:rPr>
        <w:t xml:space="preserve"> </w:t>
      </w:r>
      <w:proofErr w:type="spellStart"/>
      <w:r w:rsidRPr="00B36664">
        <w:rPr>
          <w:rFonts w:ascii="Book Antiqua" w:hAnsi="Book Antiqua"/>
          <w:i/>
          <w:iCs/>
        </w:rPr>
        <w:t>insider</w:t>
      </w:r>
      <w:proofErr w:type="spellEnd"/>
      <w:r w:rsidRPr="00B36664">
        <w:rPr>
          <w:rFonts w:ascii="Book Antiqua" w:hAnsi="Book Antiqua"/>
          <w:i/>
          <w:iCs/>
        </w:rPr>
        <w:t xml:space="preserve"> trading</w:t>
      </w:r>
      <w:r w:rsidRPr="00B36664">
        <w:rPr>
          <w:rFonts w:ascii="Book Antiqua" w:hAnsi="Book Antiqua"/>
        </w:rPr>
        <w:t xml:space="preserve"> decorre não da ausência das capacidades dos órgãos envolvidos no </w:t>
      </w:r>
      <w:proofErr w:type="spellStart"/>
      <w:r w:rsidRPr="00B36664">
        <w:rPr>
          <w:rFonts w:ascii="Book Antiqua" w:hAnsi="Book Antiqua"/>
          <w:i/>
          <w:iCs/>
        </w:rPr>
        <w:t>enforcement</w:t>
      </w:r>
      <w:proofErr w:type="spellEnd"/>
      <w:r w:rsidRPr="00B36664">
        <w:rPr>
          <w:rFonts w:ascii="Book Antiqua" w:hAnsi="Book Antiqua"/>
        </w:rPr>
        <w:t>, mas da forma como o arranjo CVM–PF–MPF organiza (ou inibe) a ativação dessas capacidades, produzindo um fluxo descontínuo no qual insumos regulatórios não se convertem em ação penal.</w:t>
      </w:r>
    </w:p>
    <w:p w14:paraId="35B9651D" w14:textId="77777777" w:rsidR="003D00D8" w:rsidRPr="00B36664" w:rsidRDefault="003D00D8" w:rsidP="003D00D8">
      <w:pPr>
        <w:spacing w:line="276" w:lineRule="auto"/>
        <w:ind w:firstLine="1134"/>
        <w:jc w:val="both"/>
        <w:rPr>
          <w:rFonts w:ascii="Book Antiqua" w:hAnsi="Book Antiqua"/>
        </w:rPr>
      </w:pPr>
      <w:r w:rsidRPr="00B36664">
        <w:rPr>
          <w:rFonts w:ascii="Book Antiqua" w:hAnsi="Book Antiqua"/>
        </w:rPr>
        <w:t xml:space="preserve"> Essa hipótese se desdobra em três:</w:t>
      </w:r>
    </w:p>
    <w:p w14:paraId="2468ED0B" w14:textId="77777777" w:rsidR="003D00D8" w:rsidRPr="00B36664" w:rsidRDefault="003D00D8" w:rsidP="003D00D8">
      <w:pPr>
        <w:pStyle w:val="PargrafodaLista"/>
        <w:numPr>
          <w:ilvl w:val="0"/>
          <w:numId w:val="7"/>
        </w:numPr>
        <w:spacing w:line="276" w:lineRule="auto"/>
        <w:ind w:left="0" w:firstLine="1134"/>
        <w:jc w:val="both"/>
        <w:rPr>
          <w:rFonts w:ascii="Book Antiqua" w:hAnsi="Book Antiqua"/>
        </w:rPr>
      </w:pPr>
      <w:r w:rsidRPr="00B36664">
        <w:rPr>
          <w:rFonts w:ascii="Book Antiqua" w:hAnsi="Book Antiqua"/>
        </w:rPr>
        <w:t>A CVM</w:t>
      </w:r>
      <w:r w:rsidRPr="00B36664">
        <w:rPr>
          <w:rStyle w:val="Refdenotaderodap"/>
          <w:rFonts w:ascii="Book Antiqua" w:hAnsi="Book Antiqua"/>
        </w:rPr>
        <w:footnoteReference w:id="10"/>
      </w:r>
      <w:r w:rsidRPr="00B36664">
        <w:rPr>
          <w:rFonts w:ascii="Book Antiqua" w:hAnsi="Book Antiqua"/>
        </w:rPr>
        <w:t xml:space="preserve"> ativa de maneira robusta a sua capacidade analítica (expertise, detecção, instrução técnica), mas essa ativação não se converte em coordenação político-relacional suficiente para integrar seus produtos ao sistema penal, devido à ausência de rotinas formais de conexão com PF e MPF e à baixa responsividade das comunicações enviadas.</w:t>
      </w:r>
    </w:p>
    <w:p w14:paraId="685A7ADD" w14:textId="77777777" w:rsidR="003D00D8" w:rsidRPr="00B36664" w:rsidRDefault="003D00D8" w:rsidP="003D00D8">
      <w:pPr>
        <w:pStyle w:val="PargrafodaLista"/>
        <w:numPr>
          <w:ilvl w:val="0"/>
          <w:numId w:val="7"/>
        </w:numPr>
        <w:spacing w:line="276" w:lineRule="auto"/>
        <w:ind w:left="0" w:firstLine="1134"/>
        <w:jc w:val="both"/>
        <w:rPr>
          <w:rFonts w:ascii="Book Antiqua" w:hAnsi="Book Antiqua"/>
        </w:rPr>
      </w:pPr>
      <w:r w:rsidRPr="00B36664">
        <w:rPr>
          <w:rFonts w:ascii="Book Antiqua" w:hAnsi="Book Antiqua"/>
        </w:rPr>
        <w:t>A PF</w:t>
      </w:r>
      <w:r w:rsidRPr="00B36664">
        <w:rPr>
          <w:rStyle w:val="Refdenotaderodap"/>
          <w:rFonts w:ascii="Book Antiqua" w:hAnsi="Book Antiqua"/>
        </w:rPr>
        <w:footnoteReference w:id="11"/>
      </w:r>
      <w:r w:rsidRPr="00B36664">
        <w:rPr>
          <w:rFonts w:ascii="Book Antiqua" w:hAnsi="Book Antiqua"/>
        </w:rPr>
        <w:t xml:space="preserve"> ativa a sua capacidade investigativa de forma intermitente: há instauração e conclusão de inquéritos, mas a ausência de rotinas estáveis, equipes e mecanismos permanentes de cooperação faz com que a capacidade técnico-operacional oscile conforme janelas de oportunidade, pressões externas e casos de alta visibilidade.</w:t>
      </w:r>
    </w:p>
    <w:p w14:paraId="72284F24" w14:textId="77777777" w:rsidR="003D00D8" w:rsidRPr="00B36664" w:rsidRDefault="003D00D8" w:rsidP="003D00D8">
      <w:pPr>
        <w:pStyle w:val="PargrafodaLista"/>
        <w:numPr>
          <w:ilvl w:val="0"/>
          <w:numId w:val="7"/>
        </w:numPr>
        <w:spacing w:line="276" w:lineRule="auto"/>
        <w:ind w:left="0" w:firstLine="1134"/>
        <w:jc w:val="both"/>
        <w:rPr>
          <w:rFonts w:ascii="Book Antiqua" w:hAnsi="Book Antiqua"/>
        </w:rPr>
      </w:pPr>
      <w:r w:rsidRPr="00B36664">
        <w:rPr>
          <w:rFonts w:ascii="Book Antiqua" w:hAnsi="Book Antiqua"/>
        </w:rPr>
        <w:t>A capacidade decisória do MPF</w:t>
      </w:r>
      <w:r w:rsidRPr="00B36664">
        <w:rPr>
          <w:rStyle w:val="Refdenotaderodap"/>
          <w:rFonts w:ascii="Book Antiqua" w:hAnsi="Book Antiqua"/>
        </w:rPr>
        <w:footnoteReference w:id="12"/>
      </w:r>
      <w:r w:rsidRPr="00B36664">
        <w:rPr>
          <w:rFonts w:ascii="Book Antiqua" w:hAnsi="Book Antiqua"/>
        </w:rPr>
        <w:t xml:space="preserve">, embora formalmente ampla, permanece opaca e pouco ativada em relação ao </w:t>
      </w:r>
      <w:proofErr w:type="spellStart"/>
      <w:r w:rsidRPr="00DF71D4">
        <w:rPr>
          <w:rFonts w:ascii="Book Antiqua" w:hAnsi="Book Antiqua"/>
          <w:i/>
          <w:iCs/>
        </w:rPr>
        <w:t>insider</w:t>
      </w:r>
      <w:proofErr w:type="spellEnd"/>
      <w:r w:rsidRPr="00DF71D4">
        <w:rPr>
          <w:rFonts w:ascii="Book Antiqua" w:hAnsi="Book Antiqua"/>
          <w:i/>
          <w:iCs/>
        </w:rPr>
        <w:t xml:space="preserve"> trading</w:t>
      </w:r>
      <w:r w:rsidRPr="00B36664">
        <w:rPr>
          <w:rFonts w:ascii="Book Antiqua" w:hAnsi="Book Antiqua"/>
        </w:rPr>
        <w:t xml:space="preserve"> devido à baixa prioridade institucional do tema, à falta de incentivos internos, à inexistência de fluxos de </w:t>
      </w:r>
      <w:r w:rsidRPr="00B36664">
        <w:rPr>
          <w:rFonts w:ascii="Book Antiqua" w:hAnsi="Book Antiqua"/>
          <w:i/>
          <w:iCs/>
        </w:rPr>
        <w:t>feedback</w:t>
      </w:r>
      <w:r w:rsidRPr="00B36664">
        <w:rPr>
          <w:rFonts w:ascii="Book Antiqua" w:hAnsi="Book Antiqua"/>
        </w:rPr>
        <w:t xml:space="preserve"> e à ausência de mecanismos de </w:t>
      </w:r>
      <w:proofErr w:type="spellStart"/>
      <w:r w:rsidRPr="00B36664">
        <w:rPr>
          <w:rFonts w:ascii="Book Antiqua" w:hAnsi="Book Antiqua"/>
          <w:i/>
          <w:iCs/>
        </w:rPr>
        <w:t>accountability</w:t>
      </w:r>
      <w:proofErr w:type="spellEnd"/>
      <w:r w:rsidRPr="00B36664">
        <w:rPr>
          <w:rFonts w:ascii="Book Antiqua" w:hAnsi="Book Antiqua"/>
        </w:rPr>
        <w:t xml:space="preserve"> sobre o destino das comunicações recebidas.</w:t>
      </w:r>
    </w:p>
    <w:p w14:paraId="0F7116A3" w14:textId="77777777" w:rsidR="003D00D8" w:rsidRPr="00B36664" w:rsidRDefault="003D00D8" w:rsidP="003D00D8">
      <w:pPr>
        <w:spacing w:line="276" w:lineRule="auto"/>
        <w:ind w:firstLine="1134"/>
        <w:jc w:val="both"/>
        <w:rPr>
          <w:rFonts w:ascii="Book Antiqua" w:hAnsi="Book Antiqua"/>
        </w:rPr>
      </w:pPr>
      <w:r w:rsidRPr="00B36664">
        <w:rPr>
          <w:rFonts w:ascii="Book Antiqua" w:hAnsi="Book Antiqua"/>
        </w:rPr>
        <w:t>Na literatura e na prática institucional emergem diagnósticos reiterados sobre as falhas do sistema. Há, de um lado, avaliações que apontam fragilidade na detecção e no monitoramento</w:t>
      </w:r>
      <w:r w:rsidRPr="00B36664">
        <w:rPr>
          <w:rStyle w:val="Refdenotaderodap"/>
          <w:rFonts w:ascii="Book Antiqua" w:hAnsi="Book Antiqua"/>
        </w:rPr>
        <w:footnoteReference w:id="13"/>
      </w:r>
      <w:r w:rsidRPr="00B36664">
        <w:rPr>
          <w:rFonts w:ascii="Book Antiqua" w:hAnsi="Book Antiqua"/>
        </w:rPr>
        <w:t xml:space="preserve">; de outro, críticas à dificuldade de transformar indícios </w:t>
      </w:r>
      <w:r w:rsidRPr="00B36664">
        <w:rPr>
          <w:rFonts w:ascii="Book Antiqua" w:hAnsi="Book Antiqua"/>
        </w:rPr>
        <w:lastRenderedPageBreak/>
        <w:t>administrativos em prova penal</w:t>
      </w:r>
      <w:r w:rsidRPr="00B36664">
        <w:rPr>
          <w:rStyle w:val="Refdenotaderodap"/>
          <w:rFonts w:ascii="Book Antiqua" w:hAnsi="Book Antiqua"/>
        </w:rPr>
        <w:footnoteReference w:id="14"/>
      </w:r>
      <w:r w:rsidRPr="00B36664">
        <w:rPr>
          <w:rFonts w:ascii="Book Antiqua" w:hAnsi="Book Antiqua"/>
        </w:rPr>
        <w:t>; e, ainda, análises que indicam falta de priorização do tema pelo MPF</w:t>
      </w:r>
      <w:r w:rsidRPr="00B36664">
        <w:rPr>
          <w:rStyle w:val="Refdenotaderodap"/>
          <w:rFonts w:ascii="Book Antiqua" w:hAnsi="Book Antiqua"/>
        </w:rPr>
        <w:footnoteReference w:id="15"/>
      </w:r>
      <w:r w:rsidRPr="00B36664">
        <w:rPr>
          <w:rFonts w:ascii="Book Antiqua" w:hAnsi="Book Antiqua"/>
        </w:rPr>
        <w:t xml:space="preserve">. </w:t>
      </w:r>
    </w:p>
    <w:p w14:paraId="007E16C1" w14:textId="77777777" w:rsidR="003D00D8" w:rsidRPr="00B36664" w:rsidRDefault="003D00D8" w:rsidP="003D00D8">
      <w:pPr>
        <w:spacing w:line="276" w:lineRule="auto"/>
        <w:ind w:firstLine="1134"/>
        <w:jc w:val="both"/>
        <w:rPr>
          <w:rFonts w:ascii="Book Antiqua" w:hAnsi="Book Antiqua"/>
        </w:rPr>
      </w:pPr>
      <w:r w:rsidRPr="00B36664">
        <w:rPr>
          <w:rFonts w:ascii="Book Antiqua" w:hAnsi="Book Antiqua"/>
        </w:rPr>
        <w:t xml:space="preserve"> Em comum, essas leituras sugerem que o problema não está em uma única organização, mas na costura institucional que deveria integrar as suas ações. Fala-se em “descontinuidade investigativa”, “dependência excessiva da CVM”, “arquivamentos sistemáticos”, “ausência de coordenação”, “fluxos unidirecionais”</w:t>
      </w:r>
      <w:r>
        <w:rPr>
          <w:rStyle w:val="Refdenotaderodap"/>
          <w:rFonts w:ascii="Book Antiqua" w:hAnsi="Book Antiqua"/>
        </w:rPr>
        <w:footnoteReference w:id="16"/>
      </w:r>
      <w:r w:rsidRPr="00B36664">
        <w:rPr>
          <w:rFonts w:ascii="Book Antiqua" w:hAnsi="Book Antiqua"/>
        </w:rPr>
        <w:t>,</w:t>
      </w:r>
      <w:r>
        <w:rPr>
          <w:rFonts w:ascii="Book Antiqua" w:hAnsi="Book Antiqua"/>
        </w:rPr>
        <w:t xml:space="preserve"> todas as expressões</w:t>
      </w:r>
      <w:r w:rsidRPr="00B36664">
        <w:rPr>
          <w:rFonts w:ascii="Book Antiqua" w:hAnsi="Book Antiqua"/>
        </w:rPr>
        <w:t xml:space="preserve"> que denunciam não apenas falhas técnicas, mas déficits de integração e ativação estatal.</w:t>
      </w:r>
    </w:p>
    <w:p w14:paraId="003B8BAF" w14:textId="77777777" w:rsidR="003D00D8" w:rsidRPr="00B36664" w:rsidRDefault="003D00D8" w:rsidP="003D00D8">
      <w:pPr>
        <w:spacing w:line="276" w:lineRule="auto"/>
        <w:ind w:firstLine="1134"/>
        <w:jc w:val="both"/>
        <w:rPr>
          <w:rFonts w:ascii="Book Antiqua" w:hAnsi="Book Antiqua"/>
        </w:rPr>
      </w:pPr>
      <w:r w:rsidRPr="00B36664">
        <w:rPr>
          <w:rFonts w:ascii="Book Antiqua" w:hAnsi="Book Antiqua"/>
        </w:rPr>
        <w:t xml:space="preserve">Assim, o problema que orienta a </w:t>
      </w:r>
      <w:r>
        <w:rPr>
          <w:rFonts w:ascii="Book Antiqua" w:hAnsi="Book Antiqua"/>
        </w:rPr>
        <w:t xml:space="preserve">pesquisa </w:t>
      </w:r>
      <w:r w:rsidRPr="00B36664">
        <w:rPr>
          <w:rFonts w:ascii="Book Antiqua" w:hAnsi="Book Antiqua"/>
        </w:rPr>
        <w:t xml:space="preserve">emerge do contraste persistente entre a sofisticação normativa do regime brasileiro de repressão ao </w:t>
      </w:r>
      <w:proofErr w:type="spellStart"/>
      <w:r w:rsidRPr="00B36664">
        <w:rPr>
          <w:rFonts w:ascii="Book Antiqua" w:hAnsi="Book Antiqua"/>
          <w:i/>
          <w:iCs/>
        </w:rPr>
        <w:t>insider</w:t>
      </w:r>
      <w:proofErr w:type="spellEnd"/>
      <w:r w:rsidRPr="00B36664">
        <w:rPr>
          <w:rFonts w:ascii="Book Antiqua" w:hAnsi="Book Antiqua"/>
          <w:i/>
          <w:iCs/>
        </w:rPr>
        <w:t xml:space="preserve"> trading</w:t>
      </w:r>
      <w:r w:rsidRPr="00B36664">
        <w:rPr>
          <w:rFonts w:ascii="Book Antiqua" w:hAnsi="Book Antiqua"/>
        </w:rPr>
        <w:t xml:space="preserve"> e a baixa capacidade do Estado de transformar essa arquitetura em ação penal consistente. </w:t>
      </w:r>
    </w:p>
    <w:p w14:paraId="076A7A71" w14:textId="77777777" w:rsidR="003D00D8" w:rsidRPr="003825B9" w:rsidRDefault="003D00D8" w:rsidP="003D00D8">
      <w:pPr>
        <w:spacing w:line="276" w:lineRule="auto"/>
        <w:ind w:firstLine="1134"/>
        <w:jc w:val="both"/>
        <w:rPr>
          <w:rFonts w:ascii="Book Antiqua" w:hAnsi="Book Antiqua"/>
        </w:rPr>
      </w:pPr>
      <w:r w:rsidRPr="003825B9">
        <w:rPr>
          <w:rFonts w:ascii="Book Antiqua" w:hAnsi="Book Antiqua"/>
        </w:rPr>
        <w:t xml:space="preserve">Nesse sentido, objetivo central </w:t>
      </w:r>
      <w:r>
        <w:rPr>
          <w:rFonts w:ascii="Book Antiqua" w:hAnsi="Book Antiqua"/>
        </w:rPr>
        <w:t xml:space="preserve">da pesquisa </w:t>
      </w:r>
      <w:r w:rsidRPr="003825B9">
        <w:rPr>
          <w:rFonts w:ascii="Book Antiqua" w:hAnsi="Book Antiqua"/>
        </w:rPr>
        <w:t>consiste em analisar como o arranjo de implementação que conecta CVM, Polícia Federal e Ministério Público Federal condiciona a transformação de insumos regulatórios em ação penal. Mais especificamente, busca-se compreender como as capacidades estatais — analíticas, investigativas e decisórias — se distribuem, são ativadas e deixam de se encontrar ao longo do circuito institucional.</w:t>
      </w:r>
    </w:p>
    <w:p w14:paraId="1AE7F311" w14:textId="77777777" w:rsidR="003D00D8" w:rsidRPr="003825B9" w:rsidRDefault="003D00D8" w:rsidP="003D00D8">
      <w:pPr>
        <w:spacing w:line="276" w:lineRule="auto"/>
        <w:ind w:firstLine="1134"/>
        <w:jc w:val="both"/>
        <w:rPr>
          <w:rFonts w:ascii="Book Antiqua" w:hAnsi="Book Antiqua"/>
        </w:rPr>
      </w:pPr>
      <w:r w:rsidRPr="003825B9">
        <w:rPr>
          <w:rFonts w:ascii="Book Antiqua" w:hAnsi="Book Antiqua"/>
        </w:rPr>
        <w:t xml:space="preserve">Ao deslocar o foco da norma para o funcionamento do Estado, a pesquisa pretende contribuir para a compreensão do </w:t>
      </w:r>
      <w:proofErr w:type="spellStart"/>
      <w:r w:rsidRPr="003825B9">
        <w:rPr>
          <w:rFonts w:ascii="Book Antiqua" w:hAnsi="Book Antiqua"/>
          <w:i/>
          <w:iCs/>
        </w:rPr>
        <w:t>enforcement</w:t>
      </w:r>
      <w:proofErr w:type="spellEnd"/>
      <w:r w:rsidRPr="003825B9">
        <w:rPr>
          <w:rFonts w:ascii="Book Antiqua" w:hAnsi="Book Antiqua"/>
        </w:rPr>
        <w:t xml:space="preserve"> penal não como um problema de desenho jurídico isolado, mas como um fenômeno que depende da organização concreta da ação estatal. É nesse nível — o do arranjo — que se torna possível compreender por que o sistema produz atividade, mas não continuidade; por que capacidades existem, mas não convergem; e por que o percurso entre detecção e denúncia se apresenta, ainda hoje, como um labirinto.</w:t>
      </w:r>
    </w:p>
    <w:p w14:paraId="4F648F1E" w14:textId="77777777" w:rsidR="003D00D8" w:rsidRPr="009E6D75" w:rsidRDefault="003D00D8" w:rsidP="003D00D8">
      <w:pPr>
        <w:jc w:val="both"/>
        <w:rPr>
          <w:rFonts w:ascii="Book Antiqua" w:hAnsi="Book Antiqua"/>
          <w:b/>
          <w:bCs/>
        </w:rPr>
      </w:pPr>
      <w:r w:rsidRPr="009E6D75">
        <w:rPr>
          <w:rFonts w:ascii="Book Antiqua" w:hAnsi="Book Antiqua"/>
          <w:b/>
          <w:bCs/>
        </w:rPr>
        <w:t>2. Método e estratégia de investigação</w:t>
      </w:r>
    </w:p>
    <w:p w14:paraId="5FD357B9" w14:textId="77777777" w:rsidR="003D00D8" w:rsidRPr="00E33ED1" w:rsidRDefault="003D00D8" w:rsidP="003D00D8">
      <w:pPr>
        <w:ind w:firstLine="851"/>
        <w:jc w:val="both"/>
        <w:rPr>
          <w:rFonts w:ascii="Book Antiqua" w:hAnsi="Book Antiqua"/>
        </w:rPr>
      </w:pPr>
      <w:r w:rsidRPr="00E33ED1">
        <w:rPr>
          <w:rFonts w:ascii="Book Antiqua" w:hAnsi="Book Antiqua"/>
        </w:rPr>
        <w:t>A pesquisa adota abordagem qualitativa de caráter indutivo-analítico, orientada à reconstrução do circuito institucional que conecta CVM, Polícia Federal e Ministério Público Federal.</w:t>
      </w:r>
    </w:p>
    <w:p w14:paraId="49D94EA4" w14:textId="77777777" w:rsidR="003D00D8" w:rsidRPr="00E33ED1" w:rsidRDefault="003D00D8" w:rsidP="003D00D8">
      <w:pPr>
        <w:ind w:firstLine="851"/>
        <w:jc w:val="both"/>
        <w:rPr>
          <w:rFonts w:ascii="Book Antiqua" w:hAnsi="Book Antiqua"/>
        </w:rPr>
      </w:pPr>
      <w:r w:rsidRPr="00E33ED1">
        <w:rPr>
          <w:rFonts w:ascii="Book Antiqua" w:hAnsi="Book Antiqua"/>
        </w:rPr>
        <w:lastRenderedPageBreak/>
        <w:t>O percurso metodológico parte da identificação dos objetivos formais da política e avança por meio do confronto com as agendas institucionais efetivamente praticadas. Em seguida, procede-se ao mapeamento das evidências de ação estatal, a partir da triangulação entre documentos institucionais, dados obtidos via Lei de Acesso à Informação e registros administrativos.</w:t>
      </w:r>
    </w:p>
    <w:p w14:paraId="30AABBC7" w14:textId="77777777" w:rsidR="003D00D8" w:rsidRDefault="003D00D8" w:rsidP="003D00D8">
      <w:pPr>
        <w:ind w:firstLine="851"/>
        <w:jc w:val="both"/>
        <w:rPr>
          <w:rFonts w:ascii="Book Antiqua" w:hAnsi="Book Antiqua"/>
        </w:rPr>
      </w:pPr>
      <w:r w:rsidRPr="00E33ED1">
        <w:rPr>
          <w:rFonts w:ascii="Book Antiqua" w:hAnsi="Book Antiqua"/>
        </w:rPr>
        <w:t>Esse movimento é aprofundado por um inventário dos estoques de capacidades, que busca identificar não apenas a existência de recursos e competências, mas a forma como esses elementos se distribuem entre as instituições. A análise se volta, então, à reconstrução do arranjo de implementação, examinando fluxos, rotinas e padrões de interação.</w:t>
      </w:r>
    </w:p>
    <w:p w14:paraId="20F27EBD" w14:textId="77777777" w:rsidR="003D00D8" w:rsidRPr="00B36664" w:rsidRDefault="003D00D8" w:rsidP="003D00D8">
      <w:pPr>
        <w:spacing w:line="276" w:lineRule="auto"/>
        <w:ind w:right="284" w:firstLine="1134"/>
        <w:jc w:val="both"/>
        <w:rPr>
          <w:rFonts w:ascii="Book Antiqua" w:hAnsi="Book Antiqua"/>
        </w:rPr>
      </w:pPr>
      <w:r w:rsidRPr="00B36664">
        <w:rPr>
          <w:rFonts w:ascii="Book Antiqua" w:hAnsi="Book Antiqua"/>
        </w:rPr>
        <w:t xml:space="preserve">Para isso, adota-se uma sequência de </w:t>
      </w:r>
      <w:r w:rsidRPr="0077189F">
        <w:rPr>
          <w:rFonts w:ascii="Book Antiqua" w:hAnsi="Book Antiqua"/>
          <w:i/>
          <w:iCs/>
        </w:rPr>
        <w:t>cinco</w:t>
      </w:r>
      <w:r w:rsidRPr="00B36664">
        <w:rPr>
          <w:rFonts w:ascii="Book Antiqua" w:hAnsi="Book Antiqua"/>
        </w:rPr>
        <w:t xml:space="preserve"> movimentos analíticos. Cada um deles organiza o capítulo institucional correspondente e garante a comparabilidade transversal entre CVM, PF e MPF.</w:t>
      </w:r>
    </w:p>
    <w:p w14:paraId="11F4CA0B" w14:textId="77777777" w:rsidR="003D00D8" w:rsidRPr="00B36664" w:rsidRDefault="003D00D8" w:rsidP="003D00D8">
      <w:pPr>
        <w:spacing w:line="276" w:lineRule="auto"/>
        <w:ind w:right="284" w:firstLine="1134"/>
        <w:jc w:val="both"/>
        <w:rPr>
          <w:rFonts w:ascii="Book Antiqua" w:hAnsi="Book Antiqua"/>
          <w:b/>
          <w:bCs/>
        </w:rPr>
      </w:pPr>
      <w:r>
        <w:rPr>
          <w:rFonts w:ascii="Book Antiqua" w:hAnsi="Book Antiqua"/>
          <w:b/>
          <w:bCs/>
        </w:rPr>
        <w:t>2.</w:t>
      </w:r>
      <w:r w:rsidRPr="00B36664">
        <w:rPr>
          <w:rFonts w:ascii="Book Antiqua" w:hAnsi="Book Antiqua"/>
          <w:b/>
          <w:bCs/>
        </w:rPr>
        <w:t>1. Identificação dos objetivos da política</w:t>
      </w:r>
    </w:p>
    <w:p w14:paraId="76F7B001" w14:textId="77777777" w:rsidR="003D00D8" w:rsidRPr="00B36664" w:rsidRDefault="003D00D8" w:rsidP="003D00D8">
      <w:pPr>
        <w:spacing w:line="276" w:lineRule="auto"/>
        <w:ind w:right="284" w:firstLine="1134"/>
        <w:jc w:val="both"/>
        <w:rPr>
          <w:rFonts w:ascii="Book Antiqua" w:hAnsi="Book Antiqua"/>
        </w:rPr>
      </w:pPr>
      <w:r w:rsidRPr="00B36664">
        <w:rPr>
          <w:rFonts w:ascii="Book Antiqua" w:hAnsi="Book Antiqua"/>
        </w:rPr>
        <w:t xml:space="preserve">O ponto de partida é definir o que o Estado, em tese, pretende realizar: reprimir penalmente o uso indevido de informação privilegiada como parte de uma política pública de integridade de mercado. Esse objetivo </w:t>
      </w:r>
      <w:r>
        <w:rPr>
          <w:rFonts w:ascii="Book Antiqua" w:hAnsi="Book Antiqua"/>
        </w:rPr>
        <w:t xml:space="preserve">– </w:t>
      </w:r>
      <w:r w:rsidRPr="00B36664">
        <w:rPr>
          <w:rFonts w:ascii="Book Antiqua" w:hAnsi="Book Antiqua"/>
        </w:rPr>
        <w:t xml:space="preserve">normativamente claro </w:t>
      </w:r>
      <w:r>
        <w:rPr>
          <w:rFonts w:ascii="Book Antiqua" w:hAnsi="Book Antiqua"/>
        </w:rPr>
        <w:t xml:space="preserve">– </w:t>
      </w:r>
      <w:r w:rsidRPr="00B36664">
        <w:rPr>
          <w:rFonts w:ascii="Book Antiqua" w:hAnsi="Book Antiqua"/>
        </w:rPr>
        <w:t>contrasta com o comportamento efetivo das instituições. A reconstrução do “objetivo da política” não é retórica; ela será cotejada com:</w:t>
      </w:r>
    </w:p>
    <w:p w14:paraId="1728166B" w14:textId="77777777" w:rsidR="003D00D8" w:rsidRPr="00B36664" w:rsidRDefault="003D00D8" w:rsidP="003D00D8">
      <w:pPr>
        <w:numPr>
          <w:ilvl w:val="0"/>
          <w:numId w:val="2"/>
        </w:numPr>
        <w:spacing w:line="276" w:lineRule="auto"/>
        <w:ind w:left="0" w:right="284" w:firstLine="1134"/>
        <w:jc w:val="both"/>
        <w:rPr>
          <w:rFonts w:ascii="Book Antiqua" w:hAnsi="Book Antiqua"/>
        </w:rPr>
      </w:pPr>
      <w:r w:rsidRPr="00B36664">
        <w:rPr>
          <w:rFonts w:ascii="Book Antiqua" w:hAnsi="Book Antiqua"/>
        </w:rPr>
        <w:t>a agenda regulatória da CVM (dados já analisados),</w:t>
      </w:r>
    </w:p>
    <w:p w14:paraId="77F0CAAE" w14:textId="77777777" w:rsidR="003D00D8" w:rsidRPr="00B36664" w:rsidRDefault="003D00D8" w:rsidP="003D00D8">
      <w:pPr>
        <w:numPr>
          <w:ilvl w:val="0"/>
          <w:numId w:val="2"/>
        </w:numPr>
        <w:spacing w:line="276" w:lineRule="auto"/>
        <w:ind w:left="0" w:right="284" w:firstLine="1134"/>
        <w:jc w:val="both"/>
        <w:rPr>
          <w:rFonts w:ascii="Book Antiqua" w:hAnsi="Book Antiqua"/>
        </w:rPr>
      </w:pPr>
      <w:r w:rsidRPr="00B36664">
        <w:rPr>
          <w:rFonts w:ascii="Book Antiqua" w:hAnsi="Book Antiqua"/>
        </w:rPr>
        <w:t>o lugar ocupado pelo tema nos relatórios estratégicos e operacionais do MPF,</w:t>
      </w:r>
      <w:r w:rsidRPr="004667A4">
        <w:rPr>
          <w:rFonts w:ascii="Book Antiqua" w:hAnsi="Book Antiqua"/>
        </w:rPr>
        <w:t xml:space="preserve"> </w:t>
      </w:r>
      <w:r w:rsidRPr="00B36664">
        <w:rPr>
          <w:rFonts w:ascii="Book Antiqua" w:hAnsi="Book Antiqua"/>
        </w:rPr>
        <w:t>(dados já analisados),</w:t>
      </w:r>
    </w:p>
    <w:p w14:paraId="6B9C5DCF" w14:textId="77777777" w:rsidR="003D00D8" w:rsidRPr="00B36664" w:rsidRDefault="003D00D8" w:rsidP="003D00D8">
      <w:pPr>
        <w:numPr>
          <w:ilvl w:val="0"/>
          <w:numId w:val="2"/>
        </w:numPr>
        <w:spacing w:line="276" w:lineRule="auto"/>
        <w:ind w:left="0" w:right="284" w:firstLine="1134"/>
        <w:jc w:val="both"/>
        <w:rPr>
          <w:rFonts w:ascii="Book Antiqua" w:hAnsi="Book Antiqua"/>
        </w:rPr>
      </w:pPr>
      <w:r w:rsidRPr="00B36664">
        <w:rPr>
          <w:rFonts w:ascii="Book Antiqua" w:hAnsi="Book Antiqua"/>
        </w:rPr>
        <w:t>as prioridades investigativas da PF e sua distribuição temática,</w:t>
      </w:r>
      <w:r w:rsidRPr="004667A4">
        <w:rPr>
          <w:rFonts w:ascii="Book Antiqua" w:hAnsi="Book Antiqua"/>
        </w:rPr>
        <w:t xml:space="preserve"> </w:t>
      </w:r>
      <w:r w:rsidRPr="00B36664">
        <w:rPr>
          <w:rFonts w:ascii="Book Antiqua" w:hAnsi="Book Antiqua"/>
        </w:rPr>
        <w:t>(dados já analisados),</w:t>
      </w:r>
    </w:p>
    <w:p w14:paraId="68C7BDEA" w14:textId="77777777" w:rsidR="003D00D8" w:rsidRPr="00B36664" w:rsidRDefault="003D00D8" w:rsidP="003D00D8">
      <w:pPr>
        <w:numPr>
          <w:ilvl w:val="0"/>
          <w:numId w:val="2"/>
        </w:numPr>
        <w:spacing w:line="276" w:lineRule="auto"/>
        <w:ind w:left="0" w:right="284" w:firstLine="1134"/>
        <w:jc w:val="both"/>
        <w:rPr>
          <w:rFonts w:ascii="Book Antiqua" w:hAnsi="Book Antiqua"/>
        </w:rPr>
      </w:pPr>
      <w:r w:rsidRPr="00B36664">
        <w:rPr>
          <w:rFonts w:ascii="Book Antiqua" w:hAnsi="Book Antiqua"/>
        </w:rPr>
        <w:t xml:space="preserve">e as percepções institucionais reconstruídas nas entrevistas (“o </w:t>
      </w:r>
      <w:proofErr w:type="spellStart"/>
      <w:r w:rsidRPr="00B36664">
        <w:rPr>
          <w:rFonts w:ascii="Book Antiqua" w:hAnsi="Book Antiqua"/>
        </w:rPr>
        <w:t>insider</w:t>
      </w:r>
      <w:proofErr w:type="spellEnd"/>
      <w:r w:rsidRPr="00B36664">
        <w:rPr>
          <w:rFonts w:ascii="Book Antiqua" w:hAnsi="Book Antiqua"/>
        </w:rPr>
        <w:t xml:space="preserve"> trading ocupa qual lugar no seu cotidiano?”, “o que move a abertura de um inquérito?”, “o que orienta o arquivamento?”).</w:t>
      </w:r>
      <w:r>
        <w:rPr>
          <w:rFonts w:ascii="Book Antiqua" w:hAnsi="Book Antiqua"/>
        </w:rPr>
        <w:t xml:space="preserve"> </w:t>
      </w:r>
    </w:p>
    <w:p w14:paraId="51CDB39E" w14:textId="77777777" w:rsidR="003D00D8" w:rsidRPr="00B36664" w:rsidRDefault="003D00D8" w:rsidP="003D00D8">
      <w:pPr>
        <w:spacing w:line="276" w:lineRule="auto"/>
        <w:ind w:right="284" w:firstLine="1134"/>
        <w:jc w:val="both"/>
        <w:rPr>
          <w:rFonts w:ascii="Book Antiqua" w:hAnsi="Book Antiqua"/>
        </w:rPr>
      </w:pPr>
      <w:r w:rsidRPr="00B36664">
        <w:rPr>
          <w:rFonts w:ascii="Book Antiqua" w:hAnsi="Book Antiqua"/>
        </w:rPr>
        <w:t>A identificação do objetivo, portanto, opera como “linha de base” para avaliar o desvio: se o objetivo é o mesmo para todos, por que os resultados são tão distintos?</w:t>
      </w:r>
    </w:p>
    <w:p w14:paraId="5B7086AB" w14:textId="77777777" w:rsidR="003D00D8" w:rsidRPr="00B36664" w:rsidRDefault="003D00D8" w:rsidP="003D00D8">
      <w:pPr>
        <w:spacing w:line="276" w:lineRule="auto"/>
        <w:ind w:right="284" w:firstLine="1134"/>
        <w:jc w:val="both"/>
        <w:rPr>
          <w:rFonts w:ascii="Book Antiqua" w:hAnsi="Book Antiqua"/>
          <w:b/>
          <w:bCs/>
        </w:rPr>
      </w:pPr>
      <w:r>
        <w:rPr>
          <w:rFonts w:ascii="Book Antiqua" w:hAnsi="Book Antiqua"/>
          <w:b/>
          <w:bCs/>
        </w:rPr>
        <w:t>2.</w:t>
      </w:r>
      <w:r w:rsidRPr="00B36664">
        <w:rPr>
          <w:rFonts w:ascii="Book Antiqua" w:hAnsi="Book Antiqua"/>
          <w:b/>
          <w:bCs/>
        </w:rPr>
        <w:t>2. Mapeamento das evidências de ação estatal</w:t>
      </w:r>
    </w:p>
    <w:p w14:paraId="06EB38E6" w14:textId="77777777" w:rsidR="003D00D8" w:rsidRPr="00B36664" w:rsidRDefault="003D00D8" w:rsidP="003D00D8">
      <w:pPr>
        <w:spacing w:line="276" w:lineRule="auto"/>
        <w:ind w:right="284" w:firstLine="1134"/>
        <w:jc w:val="both"/>
        <w:rPr>
          <w:rFonts w:ascii="Book Antiqua" w:hAnsi="Book Antiqua"/>
        </w:rPr>
      </w:pPr>
      <w:r w:rsidRPr="00B36664">
        <w:rPr>
          <w:rFonts w:ascii="Book Antiqua" w:hAnsi="Book Antiqua"/>
        </w:rPr>
        <w:t>Esse movimento reúne e triangula todas as expressões observáveis da atuação estatal:</w:t>
      </w:r>
    </w:p>
    <w:p w14:paraId="08F27CD1" w14:textId="77777777" w:rsidR="003D00D8" w:rsidRPr="00B36664" w:rsidRDefault="003D00D8" w:rsidP="003D00D8">
      <w:pPr>
        <w:numPr>
          <w:ilvl w:val="0"/>
          <w:numId w:val="3"/>
        </w:numPr>
        <w:spacing w:line="276" w:lineRule="auto"/>
        <w:ind w:left="0" w:right="284" w:firstLine="1134"/>
        <w:jc w:val="both"/>
        <w:rPr>
          <w:rFonts w:ascii="Book Antiqua" w:hAnsi="Book Antiqua"/>
        </w:rPr>
      </w:pPr>
      <w:r w:rsidRPr="00B36664">
        <w:rPr>
          <w:rFonts w:ascii="Book Antiqua" w:hAnsi="Book Antiqua"/>
          <w:b/>
          <w:bCs/>
        </w:rPr>
        <w:t>CVM</w:t>
      </w:r>
      <w:r w:rsidRPr="00B36664">
        <w:rPr>
          <w:rFonts w:ascii="Book Antiqua" w:hAnsi="Book Antiqua"/>
        </w:rPr>
        <w:t>: número, densidade e conteúdo das comunicações ao MPF; oscilações entre anos; casos não encaminhados; qualidade das peças (dados já analisados)</w:t>
      </w:r>
      <w:r>
        <w:rPr>
          <w:rFonts w:ascii="Book Antiqua" w:hAnsi="Book Antiqua"/>
        </w:rPr>
        <w:t>;</w:t>
      </w:r>
    </w:p>
    <w:p w14:paraId="59AB0650" w14:textId="77777777" w:rsidR="003D00D8" w:rsidRPr="00B36664" w:rsidRDefault="003D00D8" w:rsidP="003D00D8">
      <w:pPr>
        <w:numPr>
          <w:ilvl w:val="0"/>
          <w:numId w:val="3"/>
        </w:numPr>
        <w:spacing w:line="276" w:lineRule="auto"/>
        <w:ind w:left="0" w:right="284" w:firstLine="1134"/>
        <w:jc w:val="both"/>
        <w:rPr>
          <w:rFonts w:ascii="Book Antiqua" w:hAnsi="Book Antiqua"/>
        </w:rPr>
      </w:pPr>
      <w:r w:rsidRPr="00B36664">
        <w:rPr>
          <w:rFonts w:ascii="Book Antiqua" w:hAnsi="Book Antiqua"/>
          <w:b/>
          <w:bCs/>
        </w:rPr>
        <w:lastRenderedPageBreak/>
        <w:t>PF</w:t>
      </w:r>
      <w:r w:rsidRPr="00B36664">
        <w:rPr>
          <w:rFonts w:ascii="Book Antiqua" w:hAnsi="Book Antiqua"/>
        </w:rPr>
        <w:t>: inquéritos instaurados, relatados e arquivados; quem pede a abertura (CVM ou MPF); dados revelados pela LAI; existência de operações pontuais; distribuição territorial das investigações</w:t>
      </w:r>
      <w:r>
        <w:rPr>
          <w:rFonts w:ascii="Book Antiqua" w:hAnsi="Book Antiqua"/>
        </w:rPr>
        <w:t xml:space="preserve">; </w:t>
      </w:r>
      <w:r w:rsidRPr="00B36664">
        <w:rPr>
          <w:rFonts w:ascii="Book Antiqua" w:hAnsi="Book Antiqua"/>
        </w:rPr>
        <w:t xml:space="preserve">(dados </w:t>
      </w:r>
      <w:r>
        <w:rPr>
          <w:rFonts w:ascii="Book Antiqua" w:hAnsi="Book Antiqua"/>
        </w:rPr>
        <w:t>em análise</w:t>
      </w:r>
      <w:r w:rsidRPr="00B36664">
        <w:rPr>
          <w:rFonts w:ascii="Book Antiqua" w:hAnsi="Book Antiqua"/>
        </w:rPr>
        <w:t>)</w:t>
      </w:r>
      <w:r>
        <w:rPr>
          <w:rFonts w:ascii="Book Antiqua" w:hAnsi="Book Antiqua"/>
        </w:rPr>
        <w:t>;</w:t>
      </w:r>
    </w:p>
    <w:p w14:paraId="111E013C" w14:textId="77777777" w:rsidR="003D00D8" w:rsidRPr="00B36664" w:rsidRDefault="003D00D8" w:rsidP="003D00D8">
      <w:pPr>
        <w:numPr>
          <w:ilvl w:val="0"/>
          <w:numId w:val="3"/>
        </w:numPr>
        <w:spacing w:line="276" w:lineRule="auto"/>
        <w:ind w:left="0" w:right="284" w:firstLine="1134"/>
        <w:jc w:val="both"/>
        <w:rPr>
          <w:rFonts w:ascii="Book Antiqua" w:hAnsi="Book Antiqua"/>
        </w:rPr>
      </w:pPr>
      <w:r w:rsidRPr="00B36664">
        <w:rPr>
          <w:rFonts w:ascii="Book Antiqua" w:hAnsi="Book Antiqua"/>
          <w:b/>
          <w:bCs/>
        </w:rPr>
        <w:t>MPF</w:t>
      </w:r>
      <w:r w:rsidRPr="00B36664">
        <w:rPr>
          <w:rFonts w:ascii="Book Antiqua" w:hAnsi="Book Antiqua"/>
        </w:rPr>
        <w:t xml:space="preserve">: denúncias, arquivamentos, comunicados da 2ª CCR, ausência de regulação interna, ausência de força-tarefa, baixa especialização, quase inexistência do tema em concursos, capacitações, </w:t>
      </w:r>
      <w:proofErr w:type="gramStart"/>
      <w:r w:rsidRPr="00B36664">
        <w:rPr>
          <w:rFonts w:ascii="Book Antiqua" w:hAnsi="Book Antiqua"/>
        </w:rPr>
        <w:t>eventos, ou núcleos</w:t>
      </w:r>
      <w:proofErr w:type="gramEnd"/>
      <w:r>
        <w:rPr>
          <w:rFonts w:ascii="Book Antiqua" w:hAnsi="Book Antiqua"/>
        </w:rPr>
        <w:t xml:space="preserve"> </w:t>
      </w:r>
      <w:r w:rsidRPr="00B36664">
        <w:rPr>
          <w:rFonts w:ascii="Book Antiqua" w:hAnsi="Book Antiqua"/>
        </w:rPr>
        <w:t>(dados já analisados)</w:t>
      </w:r>
      <w:r>
        <w:rPr>
          <w:rFonts w:ascii="Book Antiqua" w:hAnsi="Book Antiqua"/>
        </w:rPr>
        <w:t>;</w:t>
      </w:r>
    </w:p>
    <w:p w14:paraId="472209ED" w14:textId="77777777" w:rsidR="003D00D8" w:rsidRPr="007A580A" w:rsidRDefault="003D00D8" w:rsidP="003D00D8">
      <w:pPr>
        <w:spacing w:line="276" w:lineRule="auto"/>
        <w:ind w:right="284" w:firstLine="1134"/>
        <w:jc w:val="both"/>
        <w:rPr>
          <w:rFonts w:ascii="Book Antiqua" w:hAnsi="Book Antiqua"/>
        </w:rPr>
      </w:pPr>
      <w:r w:rsidRPr="007A580A">
        <w:rPr>
          <w:rFonts w:ascii="Book Antiqua" w:hAnsi="Book Antiqua"/>
        </w:rPr>
        <w:t>Esse mapeamento – que já está parcialmente realizado – não opera apenas como inventário: ele mostra padrões de opacidade, hiatos, descontinuidades e pontos mortos do desenho institucional. As entrevistas irão iluminar o que os documentos não revelam</w:t>
      </w:r>
      <w:r>
        <w:rPr>
          <w:rFonts w:ascii="Book Antiqua" w:hAnsi="Book Antiqua"/>
        </w:rPr>
        <w:t>, principalmente na zona cinzenta do MPF</w:t>
      </w:r>
      <w:r w:rsidRPr="007A580A">
        <w:rPr>
          <w:rFonts w:ascii="Book Antiqua" w:hAnsi="Book Antiqua"/>
        </w:rPr>
        <w:t xml:space="preserve">: </w:t>
      </w:r>
      <w:proofErr w:type="gramStart"/>
      <w:r w:rsidRPr="005B0DD1">
        <w:rPr>
          <w:rFonts w:ascii="Book Antiqua" w:hAnsi="Book Antiqua"/>
        </w:rPr>
        <w:t>por qu</w:t>
      </w:r>
      <w:r>
        <w:rPr>
          <w:rFonts w:ascii="Book Antiqua" w:hAnsi="Book Antiqua"/>
        </w:rPr>
        <w:t>e</w:t>
      </w:r>
      <w:proofErr w:type="gramEnd"/>
      <w:r w:rsidRPr="005B0DD1">
        <w:rPr>
          <w:rFonts w:ascii="Book Antiqua" w:hAnsi="Book Antiqua"/>
        </w:rPr>
        <w:t xml:space="preserve"> </w:t>
      </w:r>
      <w:r w:rsidRPr="007A580A">
        <w:rPr>
          <w:rFonts w:ascii="Book Antiqua" w:hAnsi="Book Antiqua"/>
        </w:rPr>
        <w:t xml:space="preserve">certos casos </w:t>
      </w:r>
      <w:r>
        <w:rPr>
          <w:rFonts w:ascii="Book Antiqua" w:hAnsi="Book Antiqua"/>
        </w:rPr>
        <w:t>“</w:t>
      </w:r>
      <w:r w:rsidRPr="007A580A">
        <w:rPr>
          <w:rFonts w:ascii="Book Antiqua" w:hAnsi="Book Antiqua"/>
        </w:rPr>
        <w:t>sobem</w:t>
      </w:r>
      <w:r>
        <w:rPr>
          <w:rFonts w:ascii="Book Antiqua" w:hAnsi="Book Antiqua"/>
        </w:rPr>
        <w:t>”</w:t>
      </w:r>
      <w:r w:rsidRPr="007A580A">
        <w:rPr>
          <w:rFonts w:ascii="Book Antiqua" w:hAnsi="Book Antiqua"/>
        </w:rPr>
        <w:t>, outros não, quem decide, com base em quais critérios, e como cada órgão “lê” o caso.</w:t>
      </w:r>
    </w:p>
    <w:p w14:paraId="7FE3AC99" w14:textId="77777777" w:rsidR="003D00D8" w:rsidRPr="00B36664" w:rsidRDefault="003D00D8" w:rsidP="003D00D8">
      <w:pPr>
        <w:spacing w:line="276" w:lineRule="auto"/>
        <w:ind w:right="284" w:firstLine="1134"/>
        <w:jc w:val="both"/>
        <w:rPr>
          <w:rFonts w:ascii="Book Antiqua" w:hAnsi="Book Antiqua"/>
          <w:b/>
          <w:bCs/>
        </w:rPr>
      </w:pPr>
      <w:r>
        <w:rPr>
          <w:rFonts w:ascii="Book Antiqua" w:hAnsi="Book Antiqua"/>
          <w:b/>
          <w:bCs/>
        </w:rPr>
        <w:t>2.</w:t>
      </w:r>
      <w:r w:rsidRPr="00B36664">
        <w:rPr>
          <w:rFonts w:ascii="Book Antiqua" w:hAnsi="Book Antiqua"/>
          <w:b/>
          <w:bCs/>
        </w:rPr>
        <w:t>3. Inventário dos estoques de capacidades</w:t>
      </w:r>
    </w:p>
    <w:p w14:paraId="5C61722D" w14:textId="77777777" w:rsidR="003D00D8" w:rsidRPr="00B36664" w:rsidRDefault="003D00D8" w:rsidP="003D00D8">
      <w:pPr>
        <w:spacing w:line="276" w:lineRule="auto"/>
        <w:ind w:right="284" w:firstLine="1134"/>
        <w:jc w:val="both"/>
        <w:rPr>
          <w:rFonts w:ascii="Book Antiqua" w:hAnsi="Book Antiqua"/>
        </w:rPr>
      </w:pPr>
      <w:r w:rsidRPr="00B36664">
        <w:rPr>
          <w:rFonts w:ascii="Book Antiqua" w:hAnsi="Book Antiqua"/>
        </w:rPr>
        <w:t>Aqui, o foco desloca-se das ações para os recursos e competências disponíveis. O inventário será alimentado por:</w:t>
      </w:r>
    </w:p>
    <w:p w14:paraId="21660749" w14:textId="77777777" w:rsidR="003D00D8" w:rsidRPr="00B36664" w:rsidRDefault="003D00D8" w:rsidP="003D00D8">
      <w:pPr>
        <w:numPr>
          <w:ilvl w:val="0"/>
          <w:numId w:val="4"/>
        </w:numPr>
        <w:spacing w:line="276" w:lineRule="auto"/>
        <w:ind w:left="0" w:right="284" w:firstLine="1134"/>
        <w:jc w:val="both"/>
        <w:rPr>
          <w:rFonts w:ascii="Book Antiqua" w:hAnsi="Book Antiqua"/>
        </w:rPr>
      </w:pPr>
      <w:r w:rsidRPr="00B36664">
        <w:rPr>
          <w:rFonts w:ascii="Book Antiqua" w:hAnsi="Book Antiqua"/>
          <w:b/>
          <w:bCs/>
        </w:rPr>
        <w:t>Documentos públicos (LAI)</w:t>
      </w:r>
      <w:r w:rsidRPr="00B36664">
        <w:rPr>
          <w:rFonts w:ascii="Book Antiqua" w:hAnsi="Book Antiqua"/>
        </w:rPr>
        <w:t>: estruturas, organogramas, fluxos formais, núcleos, ofícios, lotações, distribuição territorial, especialização declarada ou inexistente.</w:t>
      </w:r>
    </w:p>
    <w:p w14:paraId="62323450" w14:textId="77777777" w:rsidR="003D00D8" w:rsidRDefault="003D00D8" w:rsidP="003D00D8">
      <w:pPr>
        <w:numPr>
          <w:ilvl w:val="0"/>
          <w:numId w:val="4"/>
        </w:numPr>
        <w:spacing w:line="276" w:lineRule="auto"/>
        <w:ind w:left="0" w:right="284" w:firstLine="1134"/>
        <w:jc w:val="both"/>
        <w:rPr>
          <w:rFonts w:ascii="Book Antiqua" w:hAnsi="Book Antiqua"/>
        </w:rPr>
      </w:pPr>
      <w:r w:rsidRPr="00B36664">
        <w:rPr>
          <w:rFonts w:ascii="Book Antiqua" w:hAnsi="Book Antiqua"/>
          <w:b/>
          <w:bCs/>
        </w:rPr>
        <w:t>Capítulos</w:t>
      </w:r>
      <w:r>
        <w:rPr>
          <w:rFonts w:ascii="Book Antiqua" w:hAnsi="Book Antiqua"/>
          <w:b/>
          <w:bCs/>
        </w:rPr>
        <w:t xml:space="preserve"> </w:t>
      </w:r>
      <w:r w:rsidRPr="00B36664">
        <w:rPr>
          <w:rFonts w:ascii="Book Antiqua" w:hAnsi="Book Antiqua"/>
          <w:b/>
          <w:bCs/>
        </w:rPr>
        <w:t>empíricos</w:t>
      </w:r>
      <w:r w:rsidRPr="00B36664">
        <w:rPr>
          <w:rFonts w:ascii="Book Antiqua" w:hAnsi="Book Antiqua"/>
        </w:rPr>
        <w:t>:</w:t>
      </w:r>
    </w:p>
    <w:p w14:paraId="3B0DD521" w14:textId="77777777" w:rsidR="003D00D8" w:rsidRDefault="003D00D8" w:rsidP="003D00D8">
      <w:pPr>
        <w:spacing w:line="276" w:lineRule="auto"/>
        <w:ind w:right="284" w:firstLine="1134"/>
        <w:jc w:val="both"/>
        <w:rPr>
          <w:rFonts w:ascii="Book Antiqua" w:hAnsi="Book Antiqua"/>
        </w:rPr>
      </w:pPr>
      <w:r>
        <w:rPr>
          <w:rFonts w:ascii="Book Antiqua" w:hAnsi="Book Antiqua"/>
        </w:rPr>
        <w:t xml:space="preserve">– </w:t>
      </w:r>
      <w:r w:rsidRPr="00B36664">
        <w:rPr>
          <w:rFonts w:ascii="Book Antiqua" w:hAnsi="Book Antiqua"/>
        </w:rPr>
        <w:t>CVM: expertise técnic</w:t>
      </w:r>
      <w:r>
        <w:rPr>
          <w:rFonts w:ascii="Book Antiqua" w:hAnsi="Book Antiqua"/>
        </w:rPr>
        <w:t>a</w:t>
      </w:r>
      <w:r w:rsidRPr="00B36664">
        <w:rPr>
          <w:rFonts w:ascii="Book Antiqua" w:hAnsi="Book Antiqua"/>
        </w:rPr>
        <w:t>, rotinas sancionatórias, experiência acumulada, capacidade analítica.</w:t>
      </w:r>
    </w:p>
    <w:p w14:paraId="1CB61454" w14:textId="77777777" w:rsidR="003D00D8" w:rsidRDefault="003D00D8" w:rsidP="003D00D8">
      <w:pPr>
        <w:spacing w:line="276" w:lineRule="auto"/>
        <w:ind w:right="284" w:firstLine="1134"/>
        <w:jc w:val="both"/>
        <w:rPr>
          <w:rFonts w:ascii="Book Antiqua" w:hAnsi="Book Antiqua"/>
        </w:rPr>
      </w:pPr>
      <w:r>
        <w:rPr>
          <w:rFonts w:ascii="Book Antiqua" w:hAnsi="Book Antiqua"/>
        </w:rPr>
        <w:t xml:space="preserve">– </w:t>
      </w:r>
      <w:r w:rsidRPr="00B36664">
        <w:rPr>
          <w:rFonts w:ascii="Book Antiqua" w:hAnsi="Book Antiqua"/>
        </w:rPr>
        <w:t>PF: ferramentas investigativas, acesso a dados, cooperação com CVM, dependência da iniciativa do MPF.</w:t>
      </w:r>
    </w:p>
    <w:p w14:paraId="10369CFB" w14:textId="77777777" w:rsidR="003D00D8" w:rsidRPr="00B36664" w:rsidRDefault="003D00D8" w:rsidP="003D00D8">
      <w:pPr>
        <w:spacing w:line="276" w:lineRule="auto"/>
        <w:ind w:right="284" w:firstLine="1134"/>
        <w:jc w:val="both"/>
        <w:rPr>
          <w:rFonts w:ascii="Book Antiqua" w:hAnsi="Book Antiqua"/>
        </w:rPr>
      </w:pPr>
      <w:r>
        <w:rPr>
          <w:rFonts w:ascii="Book Antiqua" w:hAnsi="Book Antiqua"/>
        </w:rPr>
        <w:t xml:space="preserve">– </w:t>
      </w:r>
      <w:r w:rsidRPr="00B36664">
        <w:rPr>
          <w:rFonts w:ascii="Book Antiqua" w:hAnsi="Book Antiqua"/>
        </w:rPr>
        <w:t>MPF: prerrogativa acusatória, mas baixa capacitação temática, ausência de núcleos especializados e de força-tarefa, priorização massiva da corrupção.</w:t>
      </w:r>
    </w:p>
    <w:p w14:paraId="1A310115" w14:textId="77777777" w:rsidR="003D00D8" w:rsidRPr="00B36664" w:rsidRDefault="003D00D8" w:rsidP="003D00D8">
      <w:pPr>
        <w:numPr>
          <w:ilvl w:val="0"/>
          <w:numId w:val="4"/>
        </w:numPr>
        <w:spacing w:line="276" w:lineRule="auto"/>
        <w:ind w:left="0" w:right="284" w:firstLine="1134"/>
        <w:jc w:val="both"/>
        <w:rPr>
          <w:rFonts w:ascii="Book Antiqua" w:hAnsi="Book Antiqua"/>
        </w:rPr>
      </w:pPr>
      <w:r w:rsidRPr="00B36664">
        <w:rPr>
          <w:rFonts w:ascii="Book Antiqua" w:hAnsi="Book Antiqua"/>
          <w:b/>
          <w:bCs/>
        </w:rPr>
        <w:t>Entrevistas</w:t>
      </w:r>
      <w:r w:rsidRPr="00B36664">
        <w:rPr>
          <w:rFonts w:ascii="Book Antiqua" w:hAnsi="Book Antiqua"/>
        </w:rPr>
        <w:t>: percepção interna das capacidades (“temos expertise?”, “o tema é considerado complexo?”, “conseguimos priorizar?”).</w:t>
      </w:r>
    </w:p>
    <w:p w14:paraId="6503496F" w14:textId="77777777" w:rsidR="003D00D8" w:rsidRPr="00FD6FE7" w:rsidRDefault="003D00D8" w:rsidP="003D00D8">
      <w:pPr>
        <w:spacing w:line="276" w:lineRule="auto"/>
        <w:ind w:right="284" w:firstLine="1134"/>
        <w:jc w:val="both"/>
        <w:rPr>
          <w:rFonts w:ascii="Book Antiqua" w:hAnsi="Book Antiqua"/>
        </w:rPr>
      </w:pPr>
      <w:r w:rsidRPr="00FD6FE7">
        <w:rPr>
          <w:rFonts w:ascii="Book Antiqua" w:hAnsi="Book Antiqua"/>
        </w:rPr>
        <w:t>O objetivo não é apenas listar capacidades – é identificar quais existem, quais são latentes e quais são inexistentes. A hipótese sugerida pelos capítulos é que os estoques existem de forma assimétrica: concentrados na CVM, dispersos na PF, virtualmente negligenciados no MPF.</w:t>
      </w:r>
    </w:p>
    <w:p w14:paraId="4A251A1D" w14:textId="77777777" w:rsidR="003D00D8" w:rsidRPr="00B36664" w:rsidRDefault="003D00D8" w:rsidP="003D00D8">
      <w:pPr>
        <w:spacing w:line="276" w:lineRule="auto"/>
        <w:ind w:right="284" w:firstLine="1134"/>
        <w:jc w:val="both"/>
        <w:rPr>
          <w:rFonts w:ascii="Book Antiqua" w:hAnsi="Book Antiqua"/>
          <w:b/>
          <w:bCs/>
        </w:rPr>
      </w:pPr>
      <w:r>
        <w:rPr>
          <w:rFonts w:ascii="Book Antiqua" w:hAnsi="Book Antiqua"/>
          <w:b/>
          <w:bCs/>
        </w:rPr>
        <w:t>2.</w:t>
      </w:r>
      <w:r w:rsidRPr="00B36664">
        <w:rPr>
          <w:rFonts w:ascii="Book Antiqua" w:hAnsi="Book Antiqua"/>
          <w:b/>
          <w:bCs/>
        </w:rPr>
        <w:t>4. Reconstrução do arranjo de implementação</w:t>
      </w:r>
    </w:p>
    <w:p w14:paraId="0C67AEDE" w14:textId="77777777" w:rsidR="003D00D8" w:rsidRPr="00B36664" w:rsidRDefault="003D00D8" w:rsidP="003D00D8">
      <w:pPr>
        <w:spacing w:line="276" w:lineRule="auto"/>
        <w:ind w:right="284" w:firstLine="1134"/>
        <w:jc w:val="both"/>
        <w:rPr>
          <w:rFonts w:ascii="Book Antiqua" w:hAnsi="Book Antiqua"/>
        </w:rPr>
      </w:pPr>
      <w:r w:rsidRPr="00B36664">
        <w:rPr>
          <w:rFonts w:ascii="Book Antiqua" w:hAnsi="Book Antiqua"/>
        </w:rPr>
        <w:t xml:space="preserve">Esse movimento examina como a engrenagem institucional opera </w:t>
      </w:r>
      <w:r>
        <w:rPr>
          <w:rFonts w:ascii="Book Antiqua" w:hAnsi="Book Antiqua"/>
        </w:rPr>
        <w:t xml:space="preserve">– </w:t>
      </w:r>
      <w:r w:rsidRPr="00B36664">
        <w:rPr>
          <w:rFonts w:ascii="Book Antiqua" w:hAnsi="Book Antiqua"/>
        </w:rPr>
        <w:t xml:space="preserve">ou falha em operar </w:t>
      </w:r>
      <w:r>
        <w:rPr>
          <w:rFonts w:ascii="Book Antiqua" w:hAnsi="Book Antiqua"/>
        </w:rPr>
        <w:t xml:space="preserve">– </w:t>
      </w:r>
      <w:r w:rsidRPr="00B36664">
        <w:rPr>
          <w:rFonts w:ascii="Book Antiqua" w:hAnsi="Book Antiqua"/>
        </w:rPr>
        <w:t xml:space="preserve">o circuito do </w:t>
      </w:r>
      <w:proofErr w:type="spellStart"/>
      <w:r w:rsidRPr="00033FDB">
        <w:rPr>
          <w:rFonts w:ascii="Book Antiqua" w:hAnsi="Book Antiqua"/>
          <w:i/>
          <w:iCs/>
        </w:rPr>
        <w:t>insider</w:t>
      </w:r>
      <w:proofErr w:type="spellEnd"/>
      <w:r w:rsidRPr="00033FDB">
        <w:rPr>
          <w:rFonts w:ascii="Book Antiqua" w:hAnsi="Book Antiqua"/>
          <w:i/>
          <w:iCs/>
        </w:rPr>
        <w:t xml:space="preserve"> trading</w:t>
      </w:r>
      <w:r w:rsidRPr="00B36664">
        <w:rPr>
          <w:rFonts w:ascii="Book Antiqua" w:hAnsi="Book Antiqua"/>
        </w:rPr>
        <w:t>. Aqui entram:</w:t>
      </w:r>
    </w:p>
    <w:p w14:paraId="00AC3672" w14:textId="77777777" w:rsidR="003D00D8" w:rsidRPr="00B36664" w:rsidRDefault="003D00D8" w:rsidP="003D00D8">
      <w:pPr>
        <w:numPr>
          <w:ilvl w:val="0"/>
          <w:numId w:val="5"/>
        </w:numPr>
        <w:spacing w:line="276" w:lineRule="auto"/>
        <w:ind w:left="0" w:right="284" w:firstLine="1134"/>
        <w:jc w:val="both"/>
        <w:rPr>
          <w:rFonts w:ascii="Book Antiqua" w:hAnsi="Book Antiqua"/>
        </w:rPr>
      </w:pPr>
      <w:r w:rsidRPr="00B36664">
        <w:rPr>
          <w:rFonts w:ascii="Book Antiqua" w:hAnsi="Book Antiqua"/>
          <w:b/>
          <w:bCs/>
        </w:rPr>
        <w:t>Fluxos formais</w:t>
      </w:r>
      <w:r w:rsidRPr="00B36664">
        <w:rPr>
          <w:rFonts w:ascii="Book Antiqua" w:hAnsi="Book Antiqua"/>
        </w:rPr>
        <w:t xml:space="preserve"> (CVM → MPF → PF ou PF → MPF).</w:t>
      </w:r>
    </w:p>
    <w:p w14:paraId="69B164F0" w14:textId="77777777" w:rsidR="003D00D8" w:rsidRPr="00B36664" w:rsidRDefault="003D00D8" w:rsidP="003D00D8">
      <w:pPr>
        <w:numPr>
          <w:ilvl w:val="0"/>
          <w:numId w:val="5"/>
        </w:numPr>
        <w:spacing w:line="276" w:lineRule="auto"/>
        <w:ind w:left="0" w:right="284" w:firstLine="1134"/>
        <w:jc w:val="both"/>
        <w:rPr>
          <w:rFonts w:ascii="Book Antiqua" w:hAnsi="Book Antiqua"/>
        </w:rPr>
      </w:pPr>
      <w:r w:rsidRPr="00B36664">
        <w:rPr>
          <w:rFonts w:ascii="Book Antiqua" w:hAnsi="Book Antiqua"/>
          <w:b/>
          <w:bCs/>
        </w:rPr>
        <w:t>Rotinas documentadas</w:t>
      </w:r>
      <w:r w:rsidRPr="00B36664">
        <w:rPr>
          <w:rFonts w:ascii="Book Antiqua" w:hAnsi="Book Antiqua"/>
        </w:rPr>
        <w:t xml:space="preserve"> (ou sua ausência).</w:t>
      </w:r>
    </w:p>
    <w:p w14:paraId="557A4DDD" w14:textId="77777777" w:rsidR="003D00D8" w:rsidRDefault="003D00D8" w:rsidP="003D00D8">
      <w:pPr>
        <w:numPr>
          <w:ilvl w:val="0"/>
          <w:numId w:val="5"/>
        </w:numPr>
        <w:spacing w:line="276" w:lineRule="auto"/>
        <w:ind w:left="0" w:right="284" w:firstLine="1134"/>
        <w:jc w:val="both"/>
        <w:rPr>
          <w:rFonts w:ascii="Book Antiqua" w:hAnsi="Book Antiqua"/>
        </w:rPr>
      </w:pPr>
      <w:r w:rsidRPr="00B36664">
        <w:rPr>
          <w:rFonts w:ascii="Book Antiqua" w:hAnsi="Book Antiqua"/>
          <w:b/>
          <w:bCs/>
        </w:rPr>
        <w:lastRenderedPageBreak/>
        <w:t>Mecanismos técnico-administrativos (ORGA, COOR, MONI)</w:t>
      </w:r>
      <w:r w:rsidRPr="00B36664">
        <w:rPr>
          <w:rFonts w:ascii="Book Antiqua" w:hAnsi="Book Antiqua"/>
        </w:rPr>
        <w:t>:</w:t>
      </w:r>
      <w:r w:rsidRPr="00B36664">
        <w:rPr>
          <w:rFonts w:ascii="Book Antiqua" w:hAnsi="Book Antiqua"/>
        </w:rPr>
        <w:br/>
      </w:r>
      <w:r>
        <w:rPr>
          <w:rFonts w:ascii="Book Antiqua" w:hAnsi="Book Antiqua"/>
        </w:rPr>
        <w:t xml:space="preserve">– </w:t>
      </w:r>
      <w:r w:rsidRPr="00B36664">
        <w:rPr>
          <w:rFonts w:ascii="Book Antiqua" w:hAnsi="Book Antiqua"/>
        </w:rPr>
        <w:t>ORGA: regras, instruções normativas, agenda regulatória, listas de prioridades, manuais investigativos.</w:t>
      </w:r>
    </w:p>
    <w:p w14:paraId="5009F432" w14:textId="77777777" w:rsidR="003D00D8" w:rsidRPr="00EA6441" w:rsidRDefault="003D00D8" w:rsidP="003D00D8">
      <w:pPr>
        <w:spacing w:line="276" w:lineRule="auto"/>
        <w:ind w:right="284"/>
        <w:jc w:val="both"/>
        <w:rPr>
          <w:rFonts w:ascii="Book Antiqua" w:hAnsi="Book Antiqua"/>
        </w:rPr>
      </w:pPr>
      <w:r w:rsidRPr="00EA6441">
        <w:rPr>
          <w:rFonts w:ascii="Book Antiqua" w:hAnsi="Book Antiqua"/>
        </w:rPr>
        <w:t>– COOR: cooperação entre CVM, PF e MPF; compartilhamento de dados; retorno institucional.</w:t>
      </w:r>
      <w:r w:rsidRPr="00EA6441">
        <w:rPr>
          <w:rFonts w:ascii="Book Antiqua" w:hAnsi="Book Antiqua"/>
        </w:rPr>
        <w:br/>
        <w:t>– MONI: monitoramento de desfechos, controle interno, comunicados.</w:t>
      </w:r>
    </w:p>
    <w:p w14:paraId="28EA04FF" w14:textId="77777777" w:rsidR="003D00D8" w:rsidRPr="00B36664" w:rsidRDefault="003D00D8" w:rsidP="003D00D8">
      <w:pPr>
        <w:numPr>
          <w:ilvl w:val="0"/>
          <w:numId w:val="5"/>
        </w:numPr>
        <w:spacing w:line="276" w:lineRule="auto"/>
        <w:ind w:left="0" w:right="284" w:firstLine="1134"/>
        <w:jc w:val="both"/>
        <w:rPr>
          <w:rFonts w:ascii="Book Antiqua" w:hAnsi="Book Antiqua"/>
        </w:rPr>
      </w:pPr>
      <w:r w:rsidRPr="00B36664">
        <w:rPr>
          <w:rFonts w:ascii="Book Antiqua" w:hAnsi="Book Antiqua"/>
          <w:b/>
          <w:bCs/>
        </w:rPr>
        <w:t>Mecanismos político-relacionais (APOLI, PART, CONT)</w:t>
      </w:r>
      <w:r w:rsidRPr="00B36664">
        <w:rPr>
          <w:rFonts w:ascii="Book Antiqua" w:hAnsi="Book Antiqua"/>
        </w:rPr>
        <w:t>:</w:t>
      </w:r>
      <w:r w:rsidRPr="00B36664">
        <w:rPr>
          <w:rFonts w:ascii="Book Antiqua" w:hAnsi="Book Antiqua"/>
        </w:rPr>
        <w:br/>
      </w:r>
      <w:r>
        <w:rPr>
          <w:rFonts w:ascii="Book Antiqua" w:hAnsi="Book Antiqua"/>
        </w:rPr>
        <w:t xml:space="preserve">– </w:t>
      </w:r>
      <w:r w:rsidRPr="00B36664">
        <w:rPr>
          <w:rFonts w:ascii="Book Antiqua" w:hAnsi="Book Antiqua"/>
        </w:rPr>
        <w:t>APOLI: agendas institucionais (combate à corrupção, forças-tarefas), disputas internas de prioridades, incentivos de carreira.</w:t>
      </w:r>
      <w:r w:rsidRPr="00B36664">
        <w:rPr>
          <w:rFonts w:ascii="Book Antiqua" w:hAnsi="Book Antiqua"/>
        </w:rPr>
        <w:br/>
      </w:r>
      <w:r>
        <w:rPr>
          <w:rFonts w:ascii="Book Antiqua" w:hAnsi="Book Antiqua"/>
        </w:rPr>
        <w:t xml:space="preserve">– </w:t>
      </w:r>
      <w:r w:rsidRPr="00B36664">
        <w:rPr>
          <w:rFonts w:ascii="Book Antiqua" w:hAnsi="Book Antiqua"/>
        </w:rPr>
        <w:t>PART: alianças informais, relações com a imprensa, construção de reputação institucional.</w:t>
      </w:r>
      <w:r w:rsidRPr="00B36664">
        <w:rPr>
          <w:rFonts w:ascii="Book Antiqua" w:hAnsi="Book Antiqua"/>
        </w:rPr>
        <w:br/>
      </w:r>
      <w:r>
        <w:rPr>
          <w:rFonts w:ascii="Book Antiqua" w:hAnsi="Book Antiqua"/>
        </w:rPr>
        <w:t xml:space="preserve">– </w:t>
      </w:r>
      <w:r w:rsidRPr="00B36664">
        <w:rPr>
          <w:rFonts w:ascii="Book Antiqua" w:hAnsi="Book Antiqua"/>
        </w:rPr>
        <w:t xml:space="preserve">CONT: </w:t>
      </w:r>
      <w:proofErr w:type="spellStart"/>
      <w:r w:rsidRPr="00EA6441">
        <w:rPr>
          <w:rFonts w:ascii="Book Antiqua" w:hAnsi="Book Antiqua"/>
          <w:i/>
          <w:iCs/>
        </w:rPr>
        <w:t>accountability</w:t>
      </w:r>
      <w:proofErr w:type="spellEnd"/>
      <w:r w:rsidRPr="00B36664">
        <w:rPr>
          <w:rFonts w:ascii="Book Antiqua" w:hAnsi="Book Antiqua"/>
        </w:rPr>
        <w:t xml:space="preserve"> (quase ausente no MPF), controles externos (CVM), assimetria entre as instituições.</w:t>
      </w:r>
    </w:p>
    <w:p w14:paraId="34CE7484" w14:textId="77777777" w:rsidR="003D00D8" w:rsidRDefault="003D00D8" w:rsidP="003D00D8">
      <w:pPr>
        <w:spacing w:line="276" w:lineRule="auto"/>
        <w:ind w:right="284" w:firstLine="1134"/>
        <w:jc w:val="both"/>
        <w:rPr>
          <w:rFonts w:ascii="Book Antiqua" w:hAnsi="Book Antiqua"/>
        </w:rPr>
      </w:pPr>
      <w:r w:rsidRPr="00033FDB">
        <w:rPr>
          <w:rFonts w:ascii="Book Antiqua" w:hAnsi="Book Antiqua"/>
        </w:rPr>
        <w:t>Os capítulos já revelam um padrão robusto: não há arranjo integrado. Há três instituições que operam com objetivos distintos, temporalidades distintas e incentivos distintos. As entrevistas aprofundarão como esse arranjo é percebido internamente.</w:t>
      </w:r>
    </w:p>
    <w:p w14:paraId="6F58C989" w14:textId="77777777" w:rsidR="003D00D8" w:rsidRPr="0045426E" w:rsidRDefault="003D00D8" w:rsidP="003D00D8">
      <w:pPr>
        <w:spacing w:line="276" w:lineRule="auto"/>
        <w:ind w:right="284" w:firstLine="1134"/>
        <w:jc w:val="both"/>
        <w:rPr>
          <w:rFonts w:ascii="Book Antiqua" w:hAnsi="Book Antiqua"/>
        </w:rPr>
      </w:pPr>
      <w:r>
        <w:rPr>
          <w:rFonts w:ascii="Book Antiqua" w:hAnsi="Book Antiqua"/>
        </w:rPr>
        <w:t>2.</w:t>
      </w:r>
      <w:r w:rsidRPr="00B36664">
        <w:rPr>
          <w:rFonts w:ascii="Book Antiqua" w:hAnsi="Book Antiqua"/>
          <w:b/>
          <w:bCs/>
        </w:rPr>
        <w:t>5. Explicação dos resultados observados</w:t>
      </w:r>
      <w:r>
        <w:rPr>
          <w:rFonts w:ascii="Book Antiqua" w:hAnsi="Book Antiqua"/>
          <w:b/>
          <w:bCs/>
        </w:rPr>
        <w:t xml:space="preserve"> e anexos. </w:t>
      </w:r>
    </w:p>
    <w:p w14:paraId="3C3887F4" w14:textId="77777777" w:rsidR="003D00D8" w:rsidRPr="000137E4" w:rsidRDefault="003D00D8" w:rsidP="003D00D8">
      <w:pPr>
        <w:spacing w:line="276" w:lineRule="auto"/>
        <w:ind w:right="284" w:firstLine="1134"/>
        <w:jc w:val="both"/>
        <w:rPr>
          <w:rFonts w:ascii="Book Antiqua" w:hAnsi="Book Antiqua"/>
        </w:rPr>
      </w:pPr>
      <w:r w:rsidRPr="00D6365C">
        <w:rPr>
          <w:rFonts w:ascii="Book Antiqua" w:hAnsi="Book Antiqua"/>
        </w:rPr>
        <w:t>O objetivo final do modelo é explicar</w:t>
      </w:r>
      <w:r w:rsidRPr="000137E4">
        <w:rPr>
          <w:rFonts w:ascii="Book Antiqua" w:hAnsi="Book Antiqua"/>
        </w:rPr>
        <w:t>,</w:t>
      </w:r>
      <w:r w:rsidRPr="00D6365C">
        <w:rPr>
          <w:rFonts w:ascii="Book Antiqua" w:hAnsi="Book Antiqua"/>
        </w:rPr>
        <w:t xml:space="preserve"> e não apenas descrever</w:t>
      </w:r>
      <w:r w:rsidRPr="000137E4">
        <w:rPr>
          <w:rFonts w:ascii="Book Antiqua" w:hAnsi="Book Antiqua"/>
        </w:rPr>
        <w:t xml:space="preserve">, por que um caso de </w:t>
      </w:r>
      <w:proofErr w:type="spellStart"/>
      <w:r w:rsidRPr="000137E4">
        <w:rPr>
          <w:rFonts w:ascii="Book Antiqua" w:hAnsi="Book Antiqua"/>
          <w:i/>
          <w:iCs/>
        </w:rPr>
        <w:t>insider</w:t>
      </w:r>
      <w:proofErr w:type="spellEnd"/>
      <w:r w:rsidRPr="000137E4">
        <w:rPr>
          <w:rFonts w:ascii="Book Antiqua" w:hAnsi="Book Antiqua"/>
          <w:i/>
          <w:iCs/>
        </w:rPr>
        <w:t xml:space="preserve"> trading</w:t>
      </w:r>
      <w:r w:rsidRPr="000137E4">
        <w:rPr>
          <w:rFonts w:ascii="Book Antiqua" w:hAnsi="Book Antiqua"/>
        </w:rPr>
        <w:t xml:space="preserve"> chega, ou não, à esfera penal no Brasil, </w:t>
      </w:r>
      <w:r w:rsidRPr="00D6365C">
        <w:rPr>
          <w:rFonts w:ascii="Book Antiqua" w:hAnsi="Book Antiqua"/>
        </w:rPr>
        <w:t>mesmo havendo detecção administrativa e capacidade</w:t>
      </w:r>
      <w:r>
        <w:rPr>
          <w:rFonts w:ascii="Book Antiqua" w:hAnsi="Book Antiqua"/>
        </w:rPr>
        <w:t>s</w:t>
      </w:r>
      <w:r w:rsidRPr="00D6365C">
        <w:rPr>
          <w:rFonts w:ascii="Book Antiqua" w:hAnsi="Book Antiqua"/>
        </w:rPr>
        <w:t xml:space="preserve"> técnica</w:t>
      </w:r>
      <w:r>
        <w:rPr>
          <w:rFonts w:ascii="Book Antiqua" w:hAnsi="Book Antiqua"/>
        </w:rPr>
        <w:t>s</w:t>
      </w:r>
      <w:r w:rsidRPr="00D6365C">
        <w:rPr>
          <w:rFonts w:ascii="Book Antiqua" w:hAnsi="Book Antiqua"/>
        </w:rPr>
        <w:t xml:space="preserve"> distribuída</w:t>
      </w:r>
      <w:r>
        <w:rPr>
          <w:rFonts w:ascii="Book Antiqua" w:hAnsi="Book Antiqua"/>
        </w:rPr>
        <w:t>s</w:t>
      </w:r>
      <w:r w:rsidRPr="00D6365C">
        <w:rPr>
          <w:rFonts w:ascii="Book Antiqua" w:hAnsi="Book Antiqua"/>
        </w:rPr>
        <w:t xml:space="preserve"> ao longo do circuito institucional. </w:t>
      </w:r>
    </w:p>
    <w:p w14:paraId="5FC466CB" w14:textId="77777777" w:rsidR="003D00D8" w:rsidRDefault="003D00D8" w:rsidP="003D00D8">
      <w:pPr>
        <w:spacing w:line="276" w:lineRule="auto"/>
        <w:ind w:right="284" w:firstLine="1134"/>
        <w:jc w:val="both"/>
        <w:rPr>
          <w:rFonts w:ascii="Book Antiqua" w:hAnsi="Book Antiqua"/>
        </w:rPr>
      </w:pPr>
      <w:r w:rsidRPr="00D6365C">
        <w:rPr>
          <w:rFonts w:ascii="Book Antiqua" w:hAnsi="Book Antiqua"/>
        </w:rPr>
        <w:t>A discrepância entre comunicações, inquéritos e denúncias é tratada como sintoma, não como conclusão: o que importa é compreender os mecanismos que produzem essa conversão limitada.</w:t>
      </w:r>
    </w:p>
    <w:p w14:paraId="0CA85AB5" w14:textId="77777777" w:rsidR="003D00D8" w:rsidRDefault="003D00D8" w:rsidP="003D00D8">
      <w:pPr>
        <w:spacing w:line="276" w:lineRule="auto"/>
        <w:ind w:right="284" w:firstLine="1134"/>
        <w:jc w:val="both"/>
        <w:rPr>
          <w:rFonts w:ascii="Book Antiqua" w:hAnsi="Book Antiqua"/>
        </w:rPr>
      </w:pPr>
      <w:r w:rsidRPr="00D6365C">
        <w:rPr>
          <w:rFonts w:ascii="Book Antiqua" w:hAnsi="Book Antiqua"/>
        </w:rPr>
        <w:t>Para tanto, é necessário reconstituir</w:t>
      </w:r>
      <w:r>
        <w:rPr>
          <w:rFonts w:ascii="Book Antiqua" w:hAnsi="Book Antiqua"/>
        </w:rPr>
        <w:t>:</w:t>
      </w:r>
    </w:p>
    <w:p w14:paraId="31AC86E1" w14:textId="77777777" w:rsidR="003D00D8" w:rsidRPr="00353EB7" w:rsidRDefault="003D00D8" w:rsidP="003D00D8">
      <w:pPr>
        <w:pStyle w:val="PargrafodaLista"/>
        <w:numPr>
          <w:ilvl w:val="0"/>
          <w:numId w:val="6"/>
        </w:numPr>
        <w:spacing w:line="276" w:lineRule="auto"/>
        <w:ind w:right="284"/>
        <w:jc w:val="both"/>
        <w:rPr>
          <w:rFonts w:ascii="Book Antiqua" w:hAnsi="Book Antiqua"/>
        </w:rPr>
      </w:pPr>
      <w:r w:rsidRPr="00353EB7">
        <w:rPr>
          <w:rFonts w:ascii="Book Antiqua" w:hAnsi="Book Antiqua"/>
        </w:rPr>
        <w:t>onde o circuito institucional se rompe;</w:t>
      </w:r>
    </w:p>
    <w:p w14:paraId="42BF3743" w14:textId="77777777" w:rsidR="003D00D8" w:rsidRPr="00353EB7" w:rsidRDefault="003D00D8" w:rsidP="003D00D8">
      <w:pPr>
        <w:pStyle w:val="PargrafodaLista"/>
        <w:numPr>
          <w:ilvl w:val="0"/>
          <w:numId w:val="6"/>
        </w:numPr>
        <w:spacing w:line="276" w:lineRule="auto"/>
        <w:ind w:right="284"/>
        <w:jc w:val="both"/>
        <w:rPr>
          <w:rFonts w:ascii="Book Antiqua" w:hAnsi="Book Antiqua"/>
        </w:rPr>
      </w:pPr>
      <w:r w:rsidRPr="00353EB7">
        <w:rPr>
          <w:rFonts w:ascii="Book Antiqua" w:hAnsi="Book Antiqua"/>
        </w:rPr>
        <w:t>quais capacidades permanecem inativas ou acionadas apenas parcialmente;</w:t>
      </w:r>
      <w:r w:rsidRPr="00353EB7">
        <w:rPr>
          <w:rFonts w:ascii="Book Antiqua" w:hAnsi="Book Antiqua"/>
        </w:rPr>
        <w:br/>
        <w:t>que incentivos moldam a priorização, o arquivamento e a circulação dos casos;</w:t>
      </w:r>
      <w:r w:rsidRPr="00353EB7">
        <w:rPr>
          <w:rFonts w:ascii="Book Antiqua" w:hAnsi="Book Antiqua"/>
        </w:rPr>
        <w:br/>
        <w:t xml:space="preserve"> como decisões negativas – não investigar, não instaurar, não denunciar – operam, na prática, como política pública de </w:t>
      </w:r>
      <w:proofErr w:type="spellStart"/>
      <w:r w:rsidRPr="00353EB7">
        <w:rPr>
          <w:rFonts w:ascii="Book Antiqua" w:hAnsi="Book Antiqua"/>
          <w:i/>
          <w:iCs/>
        </w:rPr>
        <w:t>enforcement</w:t>
      </w:r>
      <w:proofErr w:type="spellEnd"/>
      <w:r w:rsidRPr="00353EB7">
        <w:rPr>
          <w:rFonts w:ascii="Book Antiqua" w:hAnsi="Book Antiqua"/>
        </w:rPr>
        <w:t>.</w:t>
      </w:r>
    </w:p>
    <w:p w14:paraId="3CB7D0CB" w14:textId="77777777" w:rsidR="003D00D8" w:rsidRPr="00D6365C" w:rsidRDefault="003D00D8" w:rsidP="003D00D8">
      <w:pPr>
        <w:spacing w:line="276" w:lineRule="auto"/>
        <w:ind w:right="284" w:firstLine="1134"/>
        <w:jc w:val="both"/>
        <w:rPr>
          <w:rFonts w:ascii="Book Antiqua" w:hAnsi="Book Antiqua"/>
        </w:rPr>
      </w:pPr>
      <w:r w:rsidRPr="00D6365C">
        <w:rPr>
          <w:rFonts w:ascii="Book Antiqua" w:hAnsi="Book Antiqua"/>
        </w:rPr>
        <w:t xml:space="preserve">A partir dessa reconstrução, os achados preliminares convergem para </w:t>
      </w:r>
      <w:r w:rsidRPr="001605A6">
        <w:rPr>
          <w:rFonts w:ascii="Book Antiqua" w:hAnsi="Book Antiqua"/>
          <w:i/>
          <w:iCs/>
        </w:rPr>
        <w:t>três</w:t>
      </w:r>
      <w:r w:rsidRPr="00D6365C">
        <w:rPr>
          <w:rFonts w:ascii="Book Antiqua" w:hAnsi="Book Antiqua"/>
        </w:rPr>
        <w:t xml:space="preserve"> eixos explicativos:</w:t>
      </w:r>
    </w:p>
    <w:p w14:paraId="72D1D236" w14:textId="77777777" w:rsidR="003D00D8" w:rsidRPr="00D6365C" w:rsidRDefault="003D00D8" w:rsidP="003D00D8">
      <w:pPr>
        <w:spacing w:line="276" w:lineRule="auto"/>
        <w:ind w:right="284" w:firstLine="1134"/>
        <w:jc w:val="both"/>
        <w:rPr>
          <w:rFonts w:ascii="Book Antiqua" w:hAnsi="Book Antiqua"/>
        </w:rPr>
      </w:pPr>
      <w:r w:rsidRPr="00D6365C">
        <w:rPr>
          <w:rFonts w:ascii="Book Antiqua" w:hAnsi="Book Antiqua"/>
          <w:b/>
          <w:bCs/>
        </w:rPr>
        <w:t>CVM</w:t>
      </w:r>
      <w:r w:rsidRPr="00D6365C">
        <w:rPr>
          <w:rFonts w:ascii="Book Antiqua" w:hAnsi="Book Antiqua"/>
        </w:rPr>
        <w:t xml:space="preserve"> – falhas de priorização normativa, baixa visibilidade regulatória do tema e densidade desigual das comunicações encaminhadas ao MPF (hipótese).</w:t>
      </w:r>
    </w:p>
    <w:p w14:paraId="767A52FB" w14:textId="77777777" w:rsidR="003D00D8" w:rsidRPr="00D6365C" w:rsidRDefault="003D00D8" w:rsidP="003D00D8">
      <w:pPr>
        <w:spacing w:line="276" w:lineRule="auto"/>
        <w:ind w:right="284" w:firstLine="1134"/>
        <w:jc w:val="both"/>
        <w:rPr>
          <w:rFonts w:ascii="Book Antiqua" w:hAnsi="Book Antiqua"/>
        </w:rPr>
      </w:pPr>
      <w:r w:rsidRPr="00D6365C">
        <w:rPr>
          <w:rFonts w:ascii="Book Antiqua" w:hAnsi="Book Antiqua"/>
          <w:b/>
          <w:bCs/>
        </w:rPr>
        <w:t>PF</w:t>
      </w:r>
      <w:r w:rsidRPr="00D6365C">
        <w:rPr>
          <w:rFonts w:ascii="Book Antiqua" w:hAnsi="Book Antiqua"/>
        </w:rPr>
        <w:t xml:space="preserve"> – </w:t>
      </w:r>
      <w:proofErr w:type="gramStart"/>
      <w:r w:rsidRPr="00D6365C">
        <w:rPr>
          <w:rFonts w:ascii="Book Antiqua" w:hAnsi="Book Antiqua"/>
        </w:rPr>
        <w:t>baixo</w:t>
      </w:r>
      <w:proofErr w:type="gramEnd"/>
      <w:r w:rsidRPr="00D6365C">
        <w:rPr>
          <w:rFonts w:ascii="Book Antiqua" w:hAnsi="Book Antiqua"/>
        </w:rPr>
        <w:t xml:space="preserve"> investimento em rotinas especializadas, dependência do encaminhamento e da priorização do MPF, atuação predominantemente reativa e episódica (hipótese).</w:t>
      </w:r>
    </w:p>
    <w:p w14:paraId="4DCE60A4" w14:textId="77777777" w:rsidR="003D00D8" w:rsidRPr="00D6365C" w:rsidRDefault="003D00D8" w:rsidP="003D00D8">
      <w:pPr>
        <w:spacing w:line="276" w:lineRule="auto"/>
        <w:ind w:right="284" w:firstLine="1134"/>
        <w:jc w:val="both"/>
        <w:rPr>
          <w:rFonts w:ascii="Book Antiqua" w:hAnsi="Book Antiqua"/>
        </w:rPr>
      </w:pPr>
      <w:r w:rsidRPr="00D6365C">
        <w:rPr>
          <w:rFonts w:ascii="Book Antiqua" w:hAnsi="Book Antiqua"/>
          <w:b/>
          <w:bCs/>
        </w:rPr>
        <w:lastRenderedPageBreak/>
        <w:t>MPF</w:t>
      </w:r>
      <w:r w:rsidRPr="00D6365C">
        <w:rPr>
          <w:rFonts w:ascii="Book Antiqua" w:hAnsi="Book Antiqua"/>
        </w:rPr>
        <w:t xml:space="preserve"> – incentivos institucionais desalinhados, opacidade decisória sobre arquivamentos, ausência de especialização temática e captura das agendas pelo combate à corrupção, que desloca o </w:t>
      </w:r>
      <w:proofErr w:type="spellStart"/>
      <w:r w:rsidRPr="008D46A4">
        <w:rPr>
          <w:rFonts w:ascii="Book Antiqua" w:hAnsi="Book Antiqua"/>
          <w:i/>
          <w:iCs/>
        </w:rPr>
        <w:t>insider</w:t>
      </w:r>
      <w:proofErr w:type="spellEnd"/>
      <w:r w:rsidRPr="008D46A4">
        <w:rPr>
          <w:rFonts w:ascii="Book Antiqua" w:hAnsi="Book Antiqua"/>
          <w:i/>
          <w:iCs/>
        </w:rPr>
        <w:t xml:space="preserve"> trading</w:t>
      </w:r>
      <w:r w:rsidRPr="00D6365C">
        <w:rPr>
          <w:rFonts w:ascii="Book Antiqua" w:hAnsi="Book Antiqua"/>
        </w:rPr>
        <w:t xml:space="preserve"> para posições periféricas (hipótese + achados empíricos consolidados).</w:t>
      </w:r>
    </w:p>
    <w:p w14:paraId="015E5E5B" w14:textId="77777777" w:rsidR="003D00D8" w:rsidRPr="00AA42A4" w:rsidRDefault="003D00D8" w:rsidP="003D00D8">
      <w:pPr>
        <w:spacing w:line="276" w:lineRule="auto"/>
        <w:ind w:right="284" w:firstLine="1134"/>
        <w:jc w:val="both"/>
        <w:rPr>
          <w:rFonts w:ascii="Book Antiqua" w:hAnsi="Book Antiqua"/>
        </w:rPr>
      </w:pPr>
      <w:r w:rsidRPr="00AA42A4">
        <w:rPr>
          <w:rFonts w:ascii="Book Antiqua" w:hAnsi="Book Antiqua"/>
        </w:rPr>
        <w:t xml:space="preserve">A etapa explicativa será indutivo-analítica: a partir dos dados e entrevistas, a tese reconstrói empiricamente a lógica de funcionamento do arranjo. Para isso, utiliza-se um </w:t>
      </w:r>
      <w:proofErr w:type="spellStart"/>
      <w:r w:rsidRPr="00AA42A4">
        <w:rPr>
          <w:rFonts w:ascii="Book Antiqua" w:hAnsi="Book Antiqua"/>
          <w:i/>
          <w:iCs/>
        </w:rPr>
        <w:t>template</w:t>
      </w:r>
      <w:proofErr w:type="spellEnd"/>
      <w:r w:rsidRPr="00AA42A4">
        <w:rPr>
          <w:rFonts w:ascii="Book Antiqua" w:hAnsi="Book Antiqua"/>
        </w:rPr>
        <w:t xml:space="preserve"> analítico único, aplicado separadamente a CVM, PF e MPF, o que garante comparabilidade transversal e permite observar o fluxo CVM → PF → MPF como um circuito integrado, e não como três instituições isoladas.</w:t>
      </w:r>
    </w:p>
    <w:p w14:paraId="1C567651" w14:textId="77777777" w:rsidR="003D00D8" w:rsidRPr="00AA42A4" w:rsidRDefault="003D00D8" w:rsidP="003D00D8">
      <w:pPr>
        <w:spacing w:line="276" w:lineRule="auto"/>
        <w:ind w:right="284" w:firstLine="1134"/>
        <w:jc w:val="both"/>
        <w:rPr>
          <w:rFonts w:ascii="Book Antiqua" w:hAnsi="Book Antiqua"/>
        </w:rPr>
      </w:pPr>
      <w:r w:rsidRPr="00AA42A4">
        <w:rPr>
          <w:rFonts w:ascii="Book Antiqua" w:hAnsi="Book Antiqua"/>
        </w:rPr>
        <w:t xml:space="preserve">O </w:t>
      </w:r>
      <w:proofErr w:type="spellStart"/>
      <w:r w:rsidRPr="00AA42A4">
        <w:rPr>
          <w:rFonts w:ascii="Book Antiqua" w:hAnsi="Book Antiqua"/>
        </w:rPr>
        <w:t>template</w:t>
      </w:r>
      <w:proofErr w:type="spellEnd"/>
      <w:r w:rsidRPr="00AA42A4">
        <w:rPr>
          <w:rFonts w:ascii="Book Antiqua" w:hAnsi="Book Antiqua"/>
        </w:rPr>
        <w:t xml:space="preserve"> organiza a análise nas duas dimensões clássicas da capacidade estatal</w:t>
      </w:r>
      <w:r>
        <w:rPr>
          <w:rFonts w:ascii="Book Antiqua" w:hAnsi="Book Antiqua"/>
        </w:rPr>
        <w:t xml:space="preserve">, </w:t>
      </w:r>
      <w:r w:rsidRPr="00AA42A4">
        <w:rPr>
          <w:rFonts w:ascii="Book Antiqua" w:hAnsi="Book Antiqua"/>
        </w:rPr>
        <w:t>técnico-administrativa e político-relacional</w:t>
      </w:r>
      <w:r>
        <w:rPr>
          <w:rFonts w:ascii="Book Antiqua" w:hAnsi="Book Antiqua"/>
        </w:rPr>
        <w:t xml:space="preserve">, </w:t>
      </w:r>
      <w:r w:rsidRPr="00AA42A4">
        <w:rPr>
          <w:rFonts w:ascii="Book Antiqua" w:hAnsi="Book Antiqua"/>
        </w:rPr>
        <w:t xml:space="preserve">desdobradas em seis atributos-mecanismos: ORGA, COOR, MONI (técnico-administrativos) e APOLI, PART, CONT (político-relacionais). Cada atributo é tratado como mecanismo cuja robustez, ausência ou fragilidade condiciona a ativação das capacidades e, portanto, o desempenho do </w:t>
      </w:r>
      <w:proofErr w:type="spellStart"/>
      <w:r w:rsidRPr="00AA42A4">
        <w:rPr>
          <w:rFonts w:ascii="Book Antiqua" w:hAnsi="Book Antiqua"/>
          <w:i/>
          <w:iCs/>
        </w:rPr>
        <w:t>enforcement</w:t>
      </w:r>
      <w:proofErr w:type="spellEnd"/>
      <w:r w:rsidRPr="00AA42A4">
        <w:rPr>
          <w:rFonts w:ascii="Book Antiqua" w:hAnsi="Book Antiqua"/>
        </w:rPr>
        <w:t>.</w:t>
      </w:r>
    </w:p>
    <w:p w14:paraId="3C05D02D" w14:textId="77777777" w:rsidR="003D00D8" w:rsidRDefault="003D00D8" w:rsidP="003D00D8">
      <w:pPr>
        <w:spacing w:line="276" w:lineRule="auto"/>
        <w:ind w:right="284" w:firstLine="1134"/>
        <w:jc w:val="both"/>
        <w:rPr>
          <w:rFonts w:ascii="Book Antiqua" w:hAnsi="Book Antiqua"/>
        </w:rPr>
      </w:pPr>
      <w:r w:rsidRPr="00AA42A4">
        <w:rPr>
          <w:rFonts w:ascii="Book Antiqua" w:hAnsi="Book Antiqua"/>
        </w:rPr>
        <w:t xml:space="preserve">Além dos mecanismos, o </w:t>
      </w:r>
      <w:proofErr w:type="spellStart"/>
      <w:r w:rsidRPr="00AA42A4">
        <w:rPr>
          <w:rFonts w:ascii="Book Antiqua" w:hAnsi="Book Antiqua"/>
          <w:i/>
          <w:iCs/>
        </w:rPr>
        <w:t>template</w:t>
      </w:r>
      <w:proofErr w:type="spellEnd"/>
      <w:r w:rsidRPr="00AA42A4">
        <w:rPr>
          <w:rFonts w:ascii="Book Antiqua" w:hAnsi="Book Antiqua"/>
        </w:rPr>
        <w:t xml:space="preserve"> incorpora duas variáveis de resultado:</w:t>
      </w:r>
      <w:r w:rsidRPr="00AA42A4">
        <w:rPr>
          <w:rFonts w:ascii="Book Antiqua" w:hAnsi="Book Antiqua"/>
        </w:rPr>
        <w:br/>
        <w:t>(1) a entrega de produtos (</w:t>
      </w:r>
      <w:r w:rsidRPr="00AA42A4">
        <w:rPr>
          <w:rFonts w:ascii="Book Antiqua" w:hAnsi="Book Antiqua"/>
          <w:i/>
          <w:iCs/>
        </w:rPr>
        <w:t>outputs</w:t>
      </w:r>
      <w:r w:rsidRPr="00AA42A4">
        <w:rPr>
          <w:rFonts w:ascii="Book Antiqua" w:hAnsi="Book Antiqua"/>
        </w:rPr>
        <w:t>) ao longo do circuito institucional;</w:t>
      </w:r>
      <w:r w:rsidRPr="00AA42A4">
        <w:rPr>
          <w:rFonts w:ascii="Book Antiqua" w:hAnsi="Book Antiqua"/>
        </w:rPr>
        <w:br/>
        <w:t>(2) a inovação e responsividade, isto é, a capacidade do arranjo de ajustar rotinas, incorporar instrumentos e produzir aprendizado institucional.</w:t>
      </w:r>
    </w:p>
    <w:p w14:paraId="46103004" w14:textId="77777777" w:rsidR="003D00D8" w:rsidRDefault="003D00D8" w:rsidP="003D00D8">
      <w:pPr>
        <w:spacing w:line="276" w:lineRule="auto"/>
        <w:ind w:right="284" w:firstLine="1134"/>
        <w:jc w:val="both"/>
        <w:rPr>
          <w:rFonts w:ascii="Book Antiqua" w:hAnsi="Book Antiqua"/>
        </w:rPr>
      </w:pPr>
      <w:r w:rsidRPr="00A74379">
        <w:rPr>
          <w:rFonts w:ascii="Book Antiqua" w:hAnsi="Book Antiqua"/>
        </w:rPr>
        <w:t>Com isso, cada órgão é analisado em três movimentos:</w:t>
      </w:r>
      <w:r w:rsidRPr="00A74379">
        <w:rPr>
          <w:rFonts w:ascii="Book Antiqua" w:hAnsi="Book Antiqua"/>
        </w:rPr>
        <w:br/>
      </w:r>
      <w:r>
        <w:rPr>
          <w:rFonts w:ascii="Book Antiqua" w:hAnsi="Book Antiqua"/>
        </w:rPr>
        <w:t xml:space="preserve">a) </w:t>
      </w:r>
      <w:r w:rsidRPr="00A74379">
        <w:rPr>
          <w:rFonts w:ascii="Book Antiqua" w:hAnsi="Book Antiqua"/>
        </w:rPr>
        <w:t>estoques de capacidad</w:t>
      </w:r>
      <w:r>
        <w:rPr>
          <w:rFonts w:ascii="Book Antiqua" w:hAnsi="Book Antiqua"/>
        </w:rPr>
        <w:t xml:space="preserve">e; b) </w:t>
      </w:r>
      <w:r w:rsidRPr="00A74379">
        <w:rPr>
          <w:rFonts w:ascii="Book Antiqua" w:hAnsi="Book Antiqua"/>
        </w:rPr>
        <w:t xml:space="preserve">ativação (ou latência) desses </w:t>
      </w:r>
      <w:r>
        <w:rPr>
          <w:rFonts w:ascii="Book Antiqua" w:hAnsi="Book Antiqua"/>
        </w:rPr>
        <w:t>estoques, na prática, e c)</w:t>
      </w:r>
      <w:r w:rsidRPr="00A74379">
        <w:rPr>
          <w:rFonts w:ascii="Book Antiqua" w:hAnsi="Book Antiqua"/>
        </w:rPr>
        <w:t xml:space="preserve"> resultados observáveis.</w:t>
      </w:r>
    </w:p>
    <w:p w14:paraId="760EED8E" w14:textId="77777777" w:rsidR="003D00D8" w:rsidRPr="00A713D8" w:rsidRDefault="003D00D8" w:rsidP="003D00D8">
      <w:pPr>
        <w:spacing w:line="276" w:lineRule="auto"/>
        <w:ind w:right="284" w:firstLine="1134"/>
        <w:jc w:val="both"/>
        <w:rPr>
          <w:rFonts w:ascii="Book Antiqua" w:hAnsi="Book Antiqua"/>
        </w:rPr>
      </w:pPr>
      <w:r w:rsidRPr="00AA42A4">
        <w:rPr>
          <w:rFonts w:ascii="Book Antiqua" w:hAnsi="Book Antiqua"/>
        </w:rPr>
        <w:t>Esse procedimento permite reconstruir o grau de ativação em cada etapa do circuito e localizar empiricamente pontos de ruptura, fricção ou assimetria que explicam a baixa conversão da detecção administrativa em resultados penais</w:t>
      </w:r>
      <w:r>
        <w:rPr>
          <w:rFonts w:ascii="Book Antiqua" w:hAnsi="Book Antiqua"/>
        </w:rPr>
        <w:t xml:space="preserve">, </w:t>
      </w:r>
      <w:r w:rsidRPr="00A713D8">
        <w:rPr>
          <w:rFonts w:ascii="Book Antiqua" w:hAnsi="Book Antiqua"/>
        </w:rPr>
        <w:t>que contém o modelo integrado de análise de estoques, ativação e resultados no circuito CVM–PF–MPF.</w:t>
      </w:r>
      <w:r>
        <w:rPr>
          <w:rFonts w:ascii="Book Antiqua" w:hAnsi="Book Antiqua"/>
          <w:b/>
          <w:bCs/>
        </w:rPr>
        <w:t xml:space="preserve"> </w:t>
      </w:r>
    </w:p>
    <w:p w14:paraId="35BC5434" w14:textId="77777777" w:rsidR="003D00D8" w:rsidRPr="009E6D75" w:rsidRDefault="003D00D8" w:rsidP="003D00D8">
      <w:pPr>
        <w:jc w:val="both"/>
        <w:rPr>
          <w:rFonts w:ascii="Book Antiqua" w:hAnsi="Book Antiqua"/>
          <w:b/>
          <w:bCs/>
        </w:rPr>
      </w:pPr>
      <w:r w:rsidRPr="009E6D75">
        <w:rPr>
          <w:rFonts w:ascii="Book Antiqua" w:hAnsi="Book Antiqua"/>
          <w:b/>
          <w:bCs/>
        </w:rPr>
        <w:t>3. Fundamentação teórica</w:t>
      </w:r>
    </w:p>
    <w:p w14:paraId="14F70CDC" w14:textId="77777777" w:rsidR="003D00D8" w:rsidRPr="00B36664" w:rsidRDefault="003D00D8" w:rsidP="003D00D8">
      <w:pPr>
        <w:spacing w:line="276" w:lineRule="auto"/>
        <w:ind w:right="284" w:firstLine="1134"/>
        <w:jc w:val="both"/>
        <w:rPr>
          <w:rFonts w:ascii="Book Antiqua" w:hAnsi="Book Antiqua"/>
        </w:rPr>
      </w:pPr>
      <w:r w:rsidRPr="00B36664">
        <w:rPr>
          <w:rFonts w:ascii="Book Antiqua" w:hAnsi="Book Antiqua"/>
        </w:rPr>
        <w:t xml:space="preserve">O </w:t>
      </w:r>
      <w:proofErr w:type="spellStart"/>
      <w:r w:rsidRPr="009C5D8A">
        <w:rPr>
          <w:rFonts w:ascii="Book Antiqua" w:hAnsi="Book Antiqua"/>
          <w:i/>
          <w:iCs/>
        </w:rPr>
        <w:t>insider</w:t>
      </w:r>
      <w:proofErr w:type="spellEnd"/>
      <w:r w:rsidRPr="009C5D8A">
        <w:rPr>
          <w:rFonts w:ascii="Book Antiqua" w:hAnsi="Book Antiqua"/>
          <w:i/>
          <w:iCs/>
        </w:rPr>
        <w:t xml:space="preserve"> trading</w:t>
      </w:r>
      <w:r w:rsidRPr="00B36664">
        <w:rPr>
          <w:rFonts w:ascii="Book Antiqua" w:hAnsi="Book Antiqua"/>
        </w:rPr>
        <w:t xml:space="preserve"> não é apenas uma figura penal prevista em lei. Ele constitui uma política pública regulatória, desenhada para proteger a integridade do mercado, reduzir assimetrias informacionais e sustentar a confiança dos agentes econômicos.</w:t>
      </w:r>
    </w:p>
    <w:p w14:paraId="64B50FB6" w14:textId="77777777" w:rsidR="003D00D8" w:rsidRDefault="003D00D8" w:rsidP="003D00D8">
      <w:pPr>
        <w:spacing w:line="276" w:lineRule="auto"/>
        <w:ind w:right="284" w:firstLine="1134"/>
        <w:jc w:val="both"/>
        <w:rPr>
          <w:rFonts w:ascii="Book Antiqua" w:hAnsi="Book Antiqua"/>
        </w:rPr>
      </w:pPr>
      <w:r w:rsidRPr="00B36664">
        <w:rPr>
          <w:rFonts w:ascii="Book Antiqua" w:hAnsi="Book Antiqua"/>
        </w:rPr>
        <w:t xml:space="preserve"> Como toda política pública multissetorial</w:t>
      </w:r>
      <w:r>
        <w:rPr>
          <w:rFonts w:ascii="Book Antiqua" w:hAnsi="Book Antiqua"/>
        </w:rPr>
        <w:t>, a sua</w:t>
      </w:r>
      <w:r w:rsidRPr="00B36664">
        <w:rPr>
          <w:rFonts w:ascii="Book Antiqua" w:hAnsi="Book Antiqua"/>
        </w:rPr>
        <w:t xml:space="preserve"> efetividade depende da atuação articulada e sequencial de múltiplos órgãos </w:t>
      </w:r>
      <w:r>
        <w:rPr>
          <w:rFonts w:ascii="Book Antiqua" w:hAnsi="Book Antiqua"/>
        </w:rPr>
        <w:t xml:space="preserve">– </w:t>
      </w:r>
      <w:r w:rsidRPr="00B36664">
        <w:rPr>
          <w:rFonts w:ascii="Book Antiqua" w:hAnsi="Book Antiqua"/>
        </w:rPr>
        <w:t xml:space="preserve">no caso, CVM, Polícia Federal e Ministério Público Federal </w:t>
      </w:r>
      <w:r>
        <w:rPr>
          <w:rFonts w:ascii="Book Antiqua" w:hAnsi="Book Antiqua"/>
        </w:rPr>
        <w:t xml:space="preserve">– </w:t>
      </w:r>
      <w:r w:rsidRPr="00B36664">
        <w:rPr>
          <w:rFonts w:ascii="Book Antiqua" w:hAnsi="Book Antiqua"/>
        </w:rPr>
        <w:t xml:space="preserve">que ocupam posições distintas dentro de um circuito decisório interdependente. </w:t>
      </w:r>
    </w:p>
    <w:p w14:paraId="1128B760" w14:textId="77777777" w:rsidR="003D00D8" w:rsidRPr="00B36664" w:rsidRDefault="003D00D8" w:rsidP="003D00D8">
      <w:pPr>
        <w:spacing w:line="276" w:lineRule="auto"/>
        <w:ind w:right="284" w:firstLine="1134"/>
        <w:jc w:val="both"/>
        <w:rPr>
          <w:rFonts w:ascii="Book Antiqua" w:hAnsi="Book Antiqua"/>
        </w:rPr>
      </w:pPr>
      <w:r w:rsidRPr="00B36664">
        <w:rPr>
          <w:rFonts w:ascii="Book Antiqua" w:hAnsi="Book Antiqua"/>
        </w:rPr>
        <w:t xml:space="preserve">Essa natureza transversal exige um marco analítico capaz de explicar não apenas o que cada órgão faz isoladamente, mas sobretudo </w:t>
      </w:r>
      <w:r>
        <w:rPr>
          <w:rFonts w:ascii="Book Antiqua" w:hAnsi="Book Antiqua"/>
        </w:rPr>
        <w:t>como as suas</w:t>
      </w:r>
      <w:r w:rsidRPr="00B36664">
        <w:rPr>
          <w:rFonts w:ascii="Book Antiqua" w:hAnsi="Book Antiqua"/>
        </w:rPr>
        <w:t xml:space="preserve"> ações se conectam, se condicionam ou </w:t>
      </w:r>
      <w:r>
        <w:rPr>
          <w:rFonts w:ascii="Book Antiqua" w:hAnsi="Book Antiqua"/>
        </w:rPr>
        <w:t>interrompem-se</w:t>
      </w:r>
      <w:r w:rsidRPr="00B36664">
        <w:rPr>
          <w:rFonts w:ascii="Book Antiqua" w:hAnsi="Book Antiqua"/>
        </w:rPr>
        <w:t xml:space="preserve"> ao longo do fluxo de implementação.</w:t>
      </w:r>
    </w:p>
    <w:p w14:paraId="620F93D2" w14:textId="77777777" w:rsidR="003D00D8" w:rsidRPr="00B36664" w:rsidRDefault="003D00D8" w:rsidP="003D00D8">
      <w:pPr>
        <w:spacing w:line="276" w:lineRule="auto"/>
        <w:ind w:right="284" w:firstLine="1134"/>
        <w:jc w:val="both"/>
        <w:rPr>
          <w:rFonts w:ascii="Book Antiqua" w:hAnsi="Book Antiqua"/>
        </w:rPr>
      </w:pPr>
      <w:r w:rsidRPr="00B36664">
        <w:rPr>
          <w:rFonts w:ascii="Book Antiqua" w:hAnsi="Book Antiqua"/>
        </w:rPr>
        <w:lastRenderedPageBreak/>
        <w:t xml:space="preserve">É nesse ponto que os conceitos de capacidade estatal, arranjos de implementação e ativação de capacidades </w:t>
      </w:r>
      <w:r>
        <w:rPr>
          <w:rFonts w:ascii="Book Antiqua" w:hAnsi="Book Antiqua"/>
        </w:rPr>
        <w:t>tornam-se</w:t>
      </w:r>
      <w:r w:rsidRPr="00B36664">
        <w:rPr>
          <w:rFonts w:ascii="Book Antiqua" w:hAnsi="Book Antiqua"/>
        </w:rPr>
        <w:t xml:space="preserve"> cruciais. A abordagem dos arranjos como “capacidades em ação” possui caráter heurístico e oferece justamente a perspectiva analítica necessária para compreender como políticas públicas são conduzidas em ambientes político-institucionais complexos</w:t>
      </w:r>
      <w:r>
        <w:rPr>
          <w:rStyle w:val="Refdenotaderodap"/>
          <w:rFonts w:ascii="Book Antiqua" w:hAnsi="Book Antiqua"/>
        </w:rPr>
        <w:footnoteReference w:id="17"/>
      </w:r>
      <w:r w:rsidRPr="00B36664">
        <w:rPr>
          <w:rFonts w:ascii="Book Antiqua" w:hAnsi="Book Antiqua"/>
        </w:rPr>
        <w:t xml:space="preserve">. </w:t>
      </w:r>
    </w:p>
    <w:p w14:paraId="0AA6D71A" w14:textId="77777777" w:rsidR="003D00D8" w:rsidRPr="00D80E38" w:rsidRDefault="003D00D8" w:rsidP="003D00D8">
      <w:pPr>
        <w:spacing w:line="276" w:lineRule="auto"/>
        <w:ind w:right="284" w:firstLine="1134"/>
        <w:jc w:val="both"/>
        <w:rPr>
          <w:rFonts w:ascii="Book Antiqua" w:hAnsi="Book Antiqua"/>
        </w:rPr>
      </w:pPr>
      <w:r w:rsidRPr="00B36664">
        <w:rPr>
          <w:rFonts w:ascii="Book Antiqua" w:hAnsi="Book Antiqua"/>
        </w:rPr>
        <w:t xml:space="preserve">Em vez de tratar a capacidade estatal como uma dotação estática de recursos ou expertise, esse enfoque permite observar como recursos, competências e instrumentos são mobilizados </w:t>
      </w:r>
      <w:r>
        <w:rPr>
          <w:rFonts w:ascii="Book Antiqua" w:hAnsi="Book Antiqua"/>
        </w:rPr>
        <w:t xml:space="preserve">– </w:t>
      </w:r>
      <w:r w:rsidRPr="00B36664">
        <w:rPr>
          <w:rFonts w:ascii="Book Antiqua" w:hAnsi="Book Antiqua"/>
        </w:rPr>
        <w:t xml:space="preserve">ou permanecem latentes </w:t>
      </w:r>
      <w:r>
        <w:rPr>
          <w:rFonts w:ascii="Book Antiqua" w:hAnsi="Book Antiqua"/>
        </w:rPr>
        <w:t xml:space="preserve">– </w:t>
      </w:r>
      <w:r w:rsidRPr="00B36664">
        <w:rPr>
          <w:rFonts w:ascii="Book Antiqua" w:hAnsi="Book Antiqua"/>
        </w:rPr>
        <w:t xml:space="preserve">dependendo da </w:t>
      </w:r>
      <w:r w:rsidRPr="00D80E38">
        <w:rPr>
          <w:rFonts w:ascii="Book Antiqua" w:hAnsi="Book Antiqua"/>
        </w:rPr>
        <w:t>configuração relacional do arranjo.</w:t>
      </w:r>
    </w:p>
    <w:p w14:paraId="3D96C4EE" w14:textId="77777777" w:rsidR="003D00D8" w:rsidRDefault="003D00D8" w:rsidP="003D00D8">
      <w:pPr>
        <w:spacing w:line="276" w:lineRule="auto"/>
        <w:ind w:right="284" w:firstLine="1134"/>
        <w:jc w:val="both"/>
        <w:rPr>
          <w:rFonts w:ascii="Book Antiqua" w:hAnsi="Book Antiqua"/>
        </w:rPr>
      </w:pPr>
      <w:r w:rsidRPr="00D80E38">
        <w:rPr>
          <w:rFonts w:ascii="Book Antiqua" w:hAnsi="Book Antiqua"/>
        </w:rPr>
        <w:t xml:space="preserve">Aplicada ao </w:t>
      </w:r>
      <w:proofErr w:type="spellStart"/>
      <w:r w:rsidRPr="00D80E38">
        <w:rPr>
          <w:rFonts w:ascii="Book Antiqua" w:hAnsi="Book Antiqua"/>
          <w:i/>
          <w:iCs/>
        </w:rPr>
        <w:t>insider</w:t>
      </w:r>
      <w:proofErr w:type="spellEnd"/>
      <w:r w:rsidRPr="00D80E38">
        <w:rPr>
          <w:rFonts w:ascii="Book Antiqua" w:hAnsi="Book Antiqua"/>
          <w:i/>
          <w:iCs/>
        </w:rPr>
        <w:t xml:space="preserve"> trading</w:t>
      </w:r>
      <w:r w:rsidRPr="00D80E38">
        <w:rPr>
          <w:rFonts w:ascii="Book Antiqua" w:hAnsi="Book Antiqua"/>
        </w:rPr>
        <w:t xml:space="preserve">, essa abordagem desloca a análise da ausência de capacidade para o modo como o arranjo organiza (ou falha em organizar) fluxos, rotinas, coordenação e incentivos. </w:t>
      </w:r>
    </w:p>
    <w:p w14:paraId="5C0DB90C" w14:textId="77777777" w:rsidR="003D00D8" w:rsidRPr="00D80E38" w:rsidRDefault="003D00D8" w:rsidP="003D00D8">
      <w:pPr>
        <w:spacing w:line="276" w:lineRule="auto"/>
        <w:ind w:right="284" w:firstLine="1134"/>
        <w:jc w:val="both"/>
        <w:rPr>
          <w:rFonts w:ascii="Book Antiqua" w:hAnsi="Book Antiqua"/>
        </w:rPr>
      </w:pPr>
      <w:r w:rsidRPr="00D80E38">
        <w:rPr>
          <w:rFonts w:ascii="Book Antiqua" w:hAnsi="Book Antiqua"/>
        </w:rPr>
        <w:t xml:space="preserve">Em outras palavras, o problema central não é que CVM, PF </w:t>
      </w:r>
      <w:r>
        <w:rPr>
          <w:rFonts w:ascii="Book Antiqua" w:hAnsi="Book Antiqua"/>
        </w:rPr>
        <w:t>ou MPF careçam de qualificação técnica, ou</w:t>
      </w:r>
      <w:r w:rsidRPr="00D80E38">
        <w:rPr>
          <w:rFonts w:ascii="Book Antiqua" w:hAnsi="Book Antiqua"/>
        </w:rPr>
        <w:t xml:space="preserve"> prerrogativas institucionais, mas que o arranjo que deveria conectá-los não produz os mecanismos de ativação necessários</w:t>
      </w:r>
      <w:r>
        <w:rPr>
          <w:rFonts w:ascii="Book Antiqua" w:hAnsi="Book Antiqua"/>
        </w:rPr>
        <w:t xml:space="preserve"> </w:t>
      </w:r>
      <w:r w:rsidRPr="00D80E38">
        <w:rPr>
          <w:rFonts w:ascii="Book Antiqua" w:hAnsi="Book Antiqua"/>
        </w:rPr>
        <w:t>para transformar capacidades existentes em ação coordenada. É esse descompasso entre capacidades em estoque e capacidades em ação que estrutura o problema empírico investigado</w:t>
      </w:r>
      <w:r w:rsidRPr="00D80E38">
        <w:rPr>
          <w:rStyle w:val="Refdenotaderodap"/>
          <w:rFonts w:ascii="Book Antiqua" w:hAnsi="Book Antiqua"/>
        </w:rPr>
        <w:footnoteReference w:id="18"/>
      </w:r>
      <w:r w:rsidRPr="00D80E38">
        <w:rPr>
          <w:rFonts w:ascii="Book Antiqua" w:hAnsi="Book Antiqua"/>
        </w:rPr>
        <w:t>.</w:t>
      </w:r>
    </w:p>
    <w:p w14:paraId="1580F25B" w14:textId="77777777" w:rsidR="003D00D8" w:rsidRPr="00B36664" w:rsidRDefault="003D00D8" w:rsidP="003D00D8">
      <w:pPr>
        <w:spacing w:line="276" w:lineRule="auto"/>
        <w:ind w:right="284" w:firstLine="1134"/>
        <w:jc w:val="both"/>
        <w:rPr>
          <w:rFonts w:ascii="Book Antiqua" w:hAnsi="Book Antiqua"/>
        </w:rPr>
      </w:pPr>
      <w:r w:rsidRPr="00B36664">
        <w:rPr>
          <w:rFonts w:ascii="Book Antiqua" w:hAnsi="Book Antiqua"/>
        </w:rPr>
        <w:t xml:space="preserve">Essa abordagem é especialmente útil por três razões analíticas. </w:t>
      </w:r>
    </w:p>
    <w:p w14:paraId="0EDE3D3E" w14:textId="77777777" w:rsidR="003D00D8" w:rsidRPr="00B36664" w:rsidRDefault="003D00D8" w:rsidP="003D00D8">
      <w:pPr>
        <w:spacing w:line="276" w:lineRule="auto"/>
        <w:ind w:right="284" w:firstLine="1134"/>
        <w:jc w:val="both"/>
        <w:rPr>
          <w:rFonts w:ascii="Book Antiqua" w:hAnsi="Book Antiqua"/>
        </w:rPr>
      </w:pPr>
      <w:r w:rsidRPr="00D80E38">
        <w:rPr>
          <w:rFonts w:ascii="Book Antiqua" w:hAnsi="Book Antiqua"/>
          <w:i/>
          <w:iCs/>
        </w:rPr>
        <w:t>Primeiro</w:t>
      </w:r>
      <w:r w:rsidRPr="00B36664">
        <w:rPr>
          <w:rFonts w:ascii="Book Antiqua" w:hAnsi="Book Antiqua"/>
        </w:rPr>
        <w:t xml:space="preserve">, ela integra dimensões técnico-administrativas e político-relacionais, permitindo observar simultaneamente o domínio técnico das burocracias </w:t>
      </w:r>
      <w:r>
        <w:rPr>
          <w:rFonts w:ascii="Book Antiqua" w:hAnsi="Book Antiqua"/>
        </w:rPr>
        <w:t>e a sua</w:t>
      </w:r>
      <w:r w:rsidRPr="00B36664">
        <w:rPr>
          <w:rFonts w:ascii="Book Antiqua" w:hAnsi="Book Antiqua"/>
        </w:rPr>
        <w:t xml:space="preserve"> inserção em arenas decisórias mais amplas, condição indispensável para compreender resultados em democracias complexas</w:t>
      </w:r>
      <w:r w:rsidRPr="00B36664">
        <w:rPr>
          <w:rStyle w:val="Refdenotaderodap"/>
          <w:rFonts w:ascii="Book Antiqua" w:hAnsi="Book Antiqua"/>
        </w:rPr>
        <w:footnoteReference w:id="19"/>
      </w:r>
      <w:r w:rsidRPr="00B36664">
        <w:rPr>
          <w:rFonts w:ascii="Book Antiqua" w:hAnsi="Book Antiqua"/>
        </w:rPr>
        <w:t>.</w:t>
      </w:r>
    </w:p>
    <w:p w14:paraId="7EE01F21" w14:textId="77777777" w:rsidR="003D00D8" w:rsidRPr="00B36664" w:rsidRDefault="003D00D8" w:rsidP="003D00D8">
      <w:pPr>
        <w:spacing w:line="276" w:lineRule="auto"/>
        <w:ind w:right="284" w:firstLine="1134"/>
        <w:jc w:val="both"/>
        <w:rPr>
          <w:rFonts w:ascii="Book Antiqua" w:hAnsi="Book Antiqua"/>
        </w:rPr>
      </w:pPr>
      <w:r w:rsidRPr="00B36664">
        <w:rPr>
          <w:rFonts w:ascii="Book Antiqua" w:hAnsi="Book Antiqua"/>
        </w:rPr>
        <w:lastRenderedPageBreak/>
        <w:t xml:space="preserve"> </w:t>
      </w:r>
      <w:r w:rsidRPr="00843ACF">
        <w:rPr>
          <w:rFonts w:ascii="Book Antiqua" w:hAnsi="Book Antiqua"/>
          <w:i/>
          <w:iCs/>
        </w:rPr>
        <w:t>Segundo</w:t>
      </w:r>
      <w:r w:rsidRPr="00B36664">
        <w:rPr>
          <w:rFonts w:ascii="Book Antiqua" w:hAnsi="Book Antiqua"/>
        </w:rPr>
        <w:t xml:space="preserve">, trabalha com critérios objetivos de aferição de capacidade, o que torna a investigação metodologicamente robusta e comparável entre órgãos e ao longo do tempo. </w:t>
      </w:r>
    </w:p>
    <w:p w14:paraId="77172A3F" w14:textId="77777777" w:rsidR="003D00D8" w:rsidRPr="00B36664" w:rsidRDefault="003D00D8" w:rsidP="003D00D8">
      <w:pPr>
        <w:spacing w:line="276" w:lineRule="auto"/>
        <w:ind w:right="284" w:firstLine="1134"/>
        <w:jc w:val="both"/>
        <w:rPr>
          <w:rFonts w:ascii="Book Antiqua" w:hAnsi="Book Antiqua"/>
        </w:rPr>
      </w:pPr>
      <w:r w:rsidRPr="00843ACF">
        <w:rPr>
          <w:rFonts w:ascii="Book Antiqua" w:hAnsi="Book Antiqua"/>
          <w:i/>
          <w:iCs/>
        </w:rPr>
        <w:t>Terceiro</w:t>
      </w:r>
      <w:r w:rsidRPr="00B36664">
        <w:rPr>
          <w:rFonts w:ascii="Book Antiqua" w:hAnsi="Book Antiqua"/>
        </w:rPr>
        <w:t>, é uma perspectiva empiricamente orientada e comparativa, apta a identificar como diferentes arranjos produzem diferentes padrões de coordenação, ativação e resultados, evitando generalizações abstratas e explicações descontextualizadas.</w:t>
      </w:r>
    </w:p>
    <w:p w14:paraId="4EBCBD6E" w14:textId="77777777" w:rsidR="003D00D8" w:rsidRPr="00B36664" w:rsidRDefault="003D00D8" w:rsidP="003D00D8">
      <w:pPr>
        <w:spacing w:line="276" w:lineRule="auto"/>
        <w:ind w:right="284" w:firstLine="1134"/>
        <w:jc w:val="both"/>
        <w:rPr>
          <w:rFonts w:ascii="Book Antiqua" w:hAnsi="Book Antiqua"/>
        </w:rPr>
      </w:pPr>
      <w:r w:rsidRPr="00B36664">
        <w:rPr>
          <w:rFonts w:ascii="Book Antiqua" w:hAnsi="Book Antiqua"/>
        </w:rPr>
        <w:t xml:space="preserve">É essa combinação </w:t>
      </w:r>
      <w:r>
        <w:rPr>
          <w:rFonts w:ascii="Book Antiqua" w:hAnsi="Book Antiqua"/>
        </w:rPr>
        <w:t xml:space="preserve">– </w:t>
      </w:r>
      <w:r w:rsidRPr="00B36664">
        <w:rPr>
          <w:rFonts w:ascii="Book Antiqua" w:hAnsi="Book Antiqua"/>
        </w:rPr>
        <w:t xml:space="preserve">integração multidimensional, mensuração clara e orientação empírica </w:t>
      </w:r>
      <w:r>
        <w:rPr>
          <w:rFonts w:ascii="Book Antiqua" w:hAnsi="Book Antiqua"/>
        </w:rPr>
        <w:t xml:space="preserve">– </w:t>
      </w:r>
      <w:r w:rsidRPr="00B36664">
        <w:rPr>
          <w:rFonts w:ascii="Book Antiqua" w:hAnsi="Book Antiqua"/>
        </w:rPr>
        <w:t xml:space="preserve">que permite avançar da discussão conceitual para a análise do </w:t>
      </w:r>
      <w:proofErr w:type="spellStart"/>
      <w:r w:rsidRPr="00843ACF">
        <w:rPr>
          <w:rFonts w:ascii="Book Antiqua" w:hAnsi="Book Antiqua"/>
          <w:i/>
          <w:iCs/>
        </w:rPr>
        <w:t>insider</w:t>
      </w:r>
      <w:proofErr w:type="spellEnd"/>
      <w:r w:rsidRPr="00843ACF">
        <w:rPr>
          <w:rFonts w:ascii="Book Antiqua" w:hAnsi="Book Antiqua"/>
          <w:i/>
          <w:iCs/>
        </w:rPr>
        <w:t xml:space="preserve"> trading</w:t>
      </w:r>
      <w:r w:rsidRPr="00B36664">
        <w:rPr>
          <w:rFonts w:ascii="Book Antiqua" w:hAnsi="Book Antiqua"/>
        </w:rPr>
        <w:t xml:space="preserve"> como política pública regulatória. </w:t>
      </w:r>
    </w:p>
    <w:p w14:paraId="39BBF942" w14:textId="77777777" w:rsidR="003D00D8" w:rsidRPr="00B36664" w:rsidRDefault="003D00D8" w:rsidP="003D00D8">
      <w:pPr>
        <w:spacing w:line="276" w:lineRule="auto"/>
        <w:ind w:right="284" w:firstLine="1134"/>
        <w:jc w:val="both"/>
        <w:rPr>
          <w:rFonts w:ascii="Book Antiqua" w:hAnsi="Book Antiqua"/>
        </w:rPr>
      </w:pPr>
      <w:r w:rsidRPr="00B36664">
        <w:rPr>
          <w:rFonts w:ascii="Book Antiqua" w:hAnsi="Book Antiqua"/>
        </w:rPr>
        <w:t>A questão central aqui não é apenas a existência de capacidades em CVM, PF ou MPF, mas como o arranjo que as conecta organiza fluxos, atribuições e instrumentos, criando condições para transformar capacidades em ação ou, ao contrário</w:t>
      </w:r>
      <w:r>
        <w:rPr>
          <w:rFonts w:ascii="Book Antiqua" w:hAnsi="Book Antiqua"/>
        </w:rPr>
        <w:t xml:space="preserve">, </w:t>
      </w:r>
      <w:r w:rsidRPr="0074493D">
        <w:rPr>
          <w:rFonts w:ascii="Book Antiqua" w:hAnsi="Book Antiqua"/>
        </w:rPr>
        <w:t>mantendo-as em estado latente.</w:t>
      </w:r>
    </w:p>
    <w:p w14:paraId="7B5619B6" w14:textId="77777777" w:rsidR="003D00D8" w:rsidRPr="00A850B5" w:rsidRDefault="003D00D8" w:rsidP="003D00D8">
      <w:pPr>
        <w:spacing w:line="276" w:lineRule="auto"/>
        <w:ind w:right="284" w:firstLine="1134"/>
        <w:jc w:val="both"/>
        <w:rPr>
          <w:rFonts w:ascii="Book Antiqua" w:hAnsi="Book Antiqua"/>
        </w:rPr>
      </w:pPr>
      <w:r w:rsidRPr="00A850B5">
        <w:rPr>
          <w:rFonts w:ascii="Book Antiqua" w:hAnsi="Book Antiqua"/>
        </w:rPr>
        <w:t xml:space="preserve">É por isso que compreender o </w:t>
      </w:r>
      <w:proofErr w:type="spellStart"/>
      <w:r w:rsidRPr="00730410">
        <w:rPr>
          <w:rFonts w:ascii="Book Antiqua" w:hAnsi="Book Antiqua"/>
          <w:i/>
          <w:iCs/>
        </w:rPr>
        <w:t>enforcement</w:t>
      </w:r>
      <w:proofErr w:type="spellEnd"/>
      <w:r w:rsidRPr="00A850B5">
        <w:rPr>
          <w:rFonts w:ascii="Book Antiqua" w:hAnsi="Book Antiqua"/>
        </w:rPr>
        <w:t xml:space="preserve"> penal do </w:t>
      </w:r>
      <w:proofErr w:type="spellStart"/>
      <w:r w:rsidRPr="00730410">
        <w:rPr>
          <w:rFonts w:ascii="Book Antiqua" w:hAnsi="Book Antiqua"/>
          <w:i/>
          <w:iCs/>
        </w:rPr>
        <w:t>insider</w:t>
      </w:r>
      <w:proofErr w:type="spellEnd"/>
      <w:r w:rsidRPr="00730410">
        <w:rPr>
          <w:rFonts w:ascii="Book Antiqua" w:hAnsi="Book Antiqua"/>
          <w:i/>
          <w:iCs/>
        </w:rPr>
        <w:t xml:space="preserve"> trading</w:t>
      </w:r>
      <w:r w:rsidRPr="00A850B5">
        <w:rPr>
          <w:rFonts w:ascii="Book Antiqua" w:hAnsi="Book Antiqua"/>
        </w:rPr>
        <w:t xml:space="preserve"> exige analisar o arranjo como mecanismo causal que estrutura a ativação – ou a inibição – das capacidades estatais ao longo do circuito institucional.</w:t>
      </w:r>
    </w:p>
    <w:p w14:paraId="312558EC" w14:textId="77777777" w:rsidR="003D00D8" w:rsidRPr="00CD4B16" w:rsidRDefault="003D00D8" w:rsidP="003D00D8">
      <w:pPr>
        <w:spacing w:line="276" w:lineRule="auto"/>
        <w:ind w:right="284" w:firstLine="1134"/>
        <w:jc w:val="both"/>
        <w:rPr>
          <w:rFonts w:ascii="Book Antiqua" w:hAnsi="Book Antiqua"/>
        </w:rPr>
      </w:pPr>
      <w:r w:rsidRPr="00CD4B16">
        <w:rPr>
          <w:rFonts w:ascii="Book Antiqua" w:hAnsi="Book Antiqua"/>
        </w:rPr>
        <w:t>Nesse marco, o conceito de capacidade estatal</w:t>
      </w:r>
      <w:r w:rsidRPr="00CD4B16">
        <w:rPr>
          <w:rStyle w:val="Refdenotaderodap"/>
          <w:rFonts w:ascii="Book Antiqua" w:hAnsi="Book Antiqua"/>
        </w:rPr>
        <w:footnoteReference w:id="20"/>
      </w:r>
      <w:r>
        <w:rPr>
          <w:rFonts w:ascii="Book Antiqua" w:hAnsi="Book Antiqua"/>
        </w:rPr>
        <w:t xml:space="preserve"> </w:t>
      </w:r>
      <w:r w:rsidRPr="00CD4B16">
        <w:rPr>
          <w:rFonts w:ascii="Book Antiqua" w:hAnsi="Book Antiqua"/>
        </w:rPr>
        <w:t xml:space="preserve">opera como ponto de partida. Ele ocupa lugar central nas Ciências Sociais, especialmente na literatura sobre formação do Estado e desenvolvimento econômico. </w:t>
      </w:r>
    </w:p>
    <w:p w14:paraId="00D12EAE" w14:textId="77777777" w:rsidR="003D00D8" w:rsidRPr="000A6465" w:rsidRDefault="003D00D8" w:rsidP="003D00D8">
      <w:pPr>
        <w:spacing w:line="276" w:lineRule="auto"/>
        <w:ind w:right="284" w:firstLine="1134"/>
        <w:jc w:val="both"/>
        <w:rPr>
          <w:rFonts w:ascii="Book Antiqua" w:hAnsi="Book Antiqua"/>
        </w:rPr>
      </w:pPr>
      <w:r w:rsidRPr="000A6465">
        <w:rPr>
          <w:rFonts w:ascii="Book Antiqua" w:hAnsi="Book Antiqua"/>
        </w:rPr>
        <w:t>Embora seja reconhecido como um “conceito essencialmente contestado”</w:t>
      </w:r>
      <w:r w:rsidRPr="000A6465">
        <w:rPr>
          <w:rStyle w:val="Refdenotaderodap"/>
          <w:rFonts w:ascii="Book Antiqua" w:hAnsi="Book Antiqua"/>
        </w:rPr>
        <w:footnoteReference w:id="21"/>
      </w:r>
      <w:r w:rsidRPr="000A6465">
        <w:rPr>
          <w:rFonts w:ascii="Book Antiqua" w:hAnsi="Book Antiqua"/>
        </w:rPr>
        <w:t xml:space="preserve"> há consenso </w:t>
      </w:r>
      <w:r>
        <w:rPr>
          <w:rFonts w:ascii="Book Antiqua" w:hAnsi="Book Antiqua"/>
        </w:rPr>
        <w:t>sobre o seu</w:t>
      </w:r>
      <w:r w:rsidRPr="000A6465">
        <w:rPr>
          <w:rFonts w:ascii="Book Antiqua" w:hAnsi="Book Antiqua"/>
        </w:rPr>
        <w:t xml:space="preserve"> núcleo: capacidade estatal refere-se às habilidades e competências do Estado para </w:t>
      </w:r>
      <w:r>
        <w:rPr>
          <w:rFonts w:ascii="Book Antiqua" w:hAnsi="Book Antiqua"/>
        </w:rPr>
        <w:t>definir os seus</w:t>
      </w:r>
      <w:r w:rsidRPr="000A6465">
        <w:rPr>
          <w:rFonts w:ascii="Book Antiqua" w:hAnsi="Book Antiqua"/>
        </w:rPr>
        <w:t xml:space="preserve"> objetivos e realizá-los</w:t>
      </w:r>
      <w:r w:rsidRPr="000A6465">
        <w:rPr>
          <w:rStyle w:val="Refdenotaderodap"/>
          <w:rFonts w:ascii="Book Antiqua" w:hAnsi="Book Antiqua"/>
        </w:rPr>
        <w:footnoteReference w:id="22"/>
      </w:r>
      <w:r w:rsidRPr="000A6465">
        <w:rPr>
          <w:rFonts w:ascii="Book Antiqua" w:hAnsi="Book Antiqua"/>
        </w:rPr>
        <w:t xml:space="preserve">. O conceito nasce justamente para afirmar o Estado como ator dotado de competências </w:t>
      </w:r>
      <w:r w:rsidRPr="000A6465">
        <w:rPr>
          <w:rFonts w:ascii="Book Antiqua" w:hAnsi="Book Antiqua"/>
        </w:rPr>
        <w:lastRenderedPageBreak/>
        <w:t>próprias, capaz de implementar políticas mesmo diante de resistência social ou condições adversas</w:t>
      </w:r>
      <w:r w:rsidRPr="000A6465">
        <w:rPr>
          <w:rStyle w:val="Refdenotaderodap"/>
          <w:rFonts w:ascii="Book Antiqua" w:hAnsi="Book Antiqua"/>
        </w:rPr>
        <w:footnoteReference w:id="23"/>
      </w:r>
      <w:r w:rsidRPr="000A6465">
        <w:rPr>
          <w:rFonts w:ascii="Book Antiqua" w:hAnsi="Book Antiqua"/>
        </w:rPr>
        <w:t xml:space="preserve">. </w:t>
      </w:r>
    </w:p>
    <w:p w14:paraId="73F86DA0" w14:textId="77777777" w:rsidR="003D00D8" w:rsidRPr="000A6465" w:rsidRDefault="003D00D8" w:rsidP="003D00D8">
      <w:pPr>
        <w:spacing w:line="276" w:lineRule="auto"/>
        <w:ind w:right="284" w:firstLine="1134"/>
        <w:jc w:val="both"/>
        <w:rPr>
          <w:rFonts w:ascii="Book Antiqua" w:hAnsi="Book Antiqua"/>
        </w:rPr>
      </w:pPr>
      <w:r>
        <w:rPr>
          <w:rFonts w:ascii="Book Antiqua" w:hAnsi="Book Antiqua"/>
        </w:rPr>
        <w:t>A sua</w:t>
      </w:r>
      <w:r w:rsidRPr="000A6465">
        <w:rPr>
          <w:rFonts w:ascii="Book Antiqua" w:hAnsi="Book Antiqua"/>
        </w:rPr>
        <w:t xml:space="preserve"> definição clássica se ancora na competência burocrática, isto é, na capacidade das burocracias de produzir ações coerentes com objetivos oficiais. Esse poder de produzir políticas depende da existência de funcionários qualificados e instrumentos adequados</w:t>
      </w:r>
      <w:r>
        <w:rPr>
          <w:rFonts w:ascii="Book Antiqua" w:hAnsi="Book Antiqua"/>
        </w:rPr>
        <w:t>. C</w:t>
      </w:r>
      <w:r w:rsidRPr="000A6465">
        <w:rPr>
          <w:rFonts w:ascii="Book Antiqua" w:hAnsi="Book Antiqua"/>
        </w:rPr>
        <w:t>onstituindo, em síntese, o poder de ação pública das burocracias estatais</w:t>
      </w:r>
      <w:r w:rsidRPr="000A6465">
        <w:rPr>
          <w:rStyle w:val="Refdenotaderodap"/>
          <w:rFonts w:ascii="Book Antiqua" w:hAnsi="Book Antiqua"/>
        </w:rPr>
        <w:footnoteReference w:id="24"/>
      </w:r>
      <w:r w:rsidRPr="000A6465">
        <w:rPr>
          <w:rFonts w:ascii="Book Antiqua" w:hAnsi="Book Antiqua"/>
        </w:rPr>
        <w:t>.</w:t>
      </w:r>
    </w:p>
    <w:p w14:paraId="1C92779C" w14:textId="77777777" w:rsidR="003D00D8" w:rsidRPr="007D14D1" w:rsidRDefault="003D00D8" w:rsidP="003D00D8">
      <w:pPr>
        <w:spacing w:line="276" w:lineRule="auto"/>
        <w:ind w:right="284" w:firstLine="1134"/>
        <w:jc w:val="both"/>
        <w:rPr>
          <w:rFonts w:ascii="Book Antiqua" w:hAnsi="Book Antiqua"/>
        </w:rPr>
      </w:pPr>
      <w:r w:rsidRPr="00B36664">
        <w:rPr>
          <w:rFonts w:ascii="Book Antiqua" w:hAnsi="Book Antiqua"/>
        </w:rPr>
        <w:t xml:space="preserve">Para analisar o desempenho estatal em políticas públicas e compreender a conciliação entre eficácia e legitimidade em regimes democráticos, a literatura desagrega a capacidade estatal em </w:t>
      </w:r>
      <w:r w:rsidRPr="007D14D1">
        <w:rPr>
          <w:rFonts w:ascii="Book Antiqua" w:hAnsi="Book Antiqua"/>
        </w:rPr>
        <w:t>duas dimensões centrais</w:t>
      </w:r>
      <w:r w:rsidRPr="007D14D1">
        <w:rPr>
          <w:rStyle w:val="Refdenotaderodap"/>
          <w:rFonts w:ascii="Book Antiqua" w:hAnsi="Book Antiqua"/>
        </w:rPr>
        <w:footnoteReference w:id="25"/>
      </w:r>
      <w:r w:rsidRPr="007D14D1">
        <w:rPr>
          <w:rFonts w:ascii="Book Antiqua" w:hAnsi="Book Antiqua"/>
        </w:rPr>
        <w:t>:</w:t>
      </w:r>
    </w:p>
    <w:p w14:paraId="3A034AA7" w14:textId="77777777" w:rsidR="003D00D8" w:rsidRPr="00080EE5" w:rsidRDefault="003D00D8" w:rsidP="003D00D8">
      <w:pPr>
        <w:pStyle w:val="PargrafodaLista"/>
        <w:numPr>
          <w:ilvl w:val="0"/>
          <w:numId w:val="8"/>
        </w:numPr>
        <w:spacing w:line="276" w:lineRule="auto"/>
        <w:ind w:left="0" w:right="284" w:firstLine="1134"/>
        <w:jc w:val="both"/>
        <w:rPr>
          <w:rFonts w:ascii="Book Antiqua" w:hAnsi="Book Antiqua"/>
        </w:rPr>
      </w:pPr>
      <w:r w:rsidRPr="00C9630C">
        <w:rPr>
          <w:rFonts w:ascii="Book Antiqua" w:hAnsi="Book Antiqua"/>
          <w:b/>
          <w:bCs/>
        </w:rPr>
        <w:t>Capacidade Técnico-Administrativa</w:t>
      </w:r>
      <w:r w:rsidRPr="00C9630C">
        <w:rPr>
          <w:rFonts w:ascii="Book Antiqua" w:hAnsi="Book Antiqua"/>
        </w:rPr>
        <w:t xml:space="preserve">, associada à eficiência e à eficácia da ação estatal, vinculada à tradição </w:t>
      </w:r>
      <w:r w:rsidRPr="007D14D1">
        <w:rPr>
          <w:rFonts w:ascii="Book Antiqua" w:hAnsi="Book Antiqua"/>
          <w:i/>
          <w:iCs/>
        </w:rPr>
        <w:t>weberiana</w:t>
      </w:r>
      <w:r w:rsidRPr="00C9630C">
        <w:rPr>
          <w:rFonts w:ascii="Book Antiqua" w:hAnsi="Book Antiqua"/>
        </w:rPr>
        <w:t>. Envolve burocracias profissionalizadas, recursos organizacionais, financeiros e tecnológicos que permitem conduzir ações de maneira coordenada.</w:t>
      </w:r>
      <w:r>
        <w:rPr>
          <w:rFonts w:ascii="Book Antiqua" w:hAnsi="Book Antiqua"/>
        </w:rPr>
        <w:t xml:space="preserve"> Os seus</w:t>
      </w:r>
      <w:r w:rsidRPr="00080EE5">
        <w:rPr>
          <w:rFonts w:ascii="Book Antiqua" w:hAnsi="Book Antiqua"/>
        </w:rPr>
        <w:t xml:space="preserve"> principais mecanismos observáveis incluem:</w:t>
      </w:r>
      <w:r w:rsidRPr="00080EE5">
        <w:rPr>
          <w:rFonts w:ascii="Book Antiqua" w:hAnsi="Book Antiqua"/>
        </w:rPr>
        <w:br/>
        <w:t xml:space="preserve">• </w:t>
      </w:r>
      <w:r w:rsidRPr="00080EE5">
        <w:rPr>
          <w:rFonts w:ascii="Book Antiqua" w:hAnsi="Book Antiqua"/>
          <w:b/>
          <w:bCs/>
        </w:rPr>
        <w:t>ORGA</w:t>
      </w:r>
      <w:r w:rsidRPr="00080EE5">
        <w:rPr>
          <w:rFonts w:ascii="Book Antiqua" w:hAnsi="Book Antiqua"/>
        </w:rPr>
        <w:t xml:space="preserve"> – organização burocrática especializada, isto é, estruturas institucionais capazes de lidar com tarefas complexas;</w:t>
      </w:r>
      <w:r w:rsidRPr="00080EE5">
        <w:rPr>
          <w:rFonts w:ascii="Book Antiqua" w:hAnsi="Book Antiqua"/>
        </w:rPr>
        <w:br/>
        <w:t xml:space="preserve">• </w:t>
      </w:r>
      <w:r w:rsidRPr="00080EE5">
        <w:rPr>
          <w:rFonts w:ascii="Book Antiqua" w:hAnsi="Book Antiqua"/>
          <w:b/>
          <w:bCs/>
        </w:rPr>
        <w:t>COOR</w:t>
      </w:r>
      <w:r w:rsidRPr="00080EE5">
        <w:rPr>
          <w:rFonts w:ascii="Book Antiqua" w:hAnsi="Book Antiqua"/>
        </w:rPr>
        <w:t xml:space="preserve"> – mecanismos formais de coordenação, que articulam fluxos, competências e comunicação entre órgãos;</w:t>
      </w:r>
      <w:r w:rsidRPr="00080EE5">
        <w:rPr>
          <w:rFonts w:ascii="Book Antiqua" w:hAnsi="Book Antiqua"/>
        </w:rPr>
        <w:br/>
        <w:t xml:space="preserve">• </w:t>
      </w:r>
      <w:r w:rsidRPr="00080EE5">
        <w:rPr>
          <w:rFonts w:ascii="Book Antiqua" w:hAnsi="Book Antiqua"/>
          <w:b/>
          <w:bCs/>
        </w:rPr>
        <w:t>MONI</w:t>
      </w:r>
      <w:r w:rsidRPr="00080EE5">
        <w:rPr>
          <w:rFonts w:ascii="Book Antiqua" w:hAnsi="Book Antiqua"/>
        </w:rPr>
        <w:t xml:space="preserve"> – instrumentos de monitoramento, que permitem acompanhar, ajustar e avaliar a execução das ações.</w:t>
      </w:r>
    </w:p>
    <w:p w14:paraId="2B53BE3D" w14:textId="77777777" w:rsidR="003D00D8" w:rsidRPr="00080EE5" w:rsidRDefault="003D00D8" w:rsidP="003D00D8">
      <w:pPr>
        <w:numPr>
          <w:ilvl w:val="0"/>
          <w:numId w:val="8"/>
        </w:numPr>
        <w:spacing w:line="276" w:lineRule="auto"/>
        <w:ind w:left="0" w:right="284" w:firstLine="1134"/>
        <w:jc w:val="both"/>
        <w:rPr>
          <w:rFonts w:ascii="Book Antiqua" w:hAnsi="Book Antiqua"/>
        </w:rPr>
      </w:pPr>
      <w:r w:rsidRPr="00B36664">
        <w:rPr>
          <w:rFonts w:ascii="Book Antiqua" w:hAnsi="Book Antiqua"/>
          <w:b/>
          <w:bCs/>
        </w:rPr>
        <w:t>Capacidade Político-Relacional</w:t>
      </w:r>
      <w:r w:rsidRPr="00B36664">
        <w:rPr>
          <w:rFonts w:ascii="Book Antiqua" w:hAnsi="Book Antiqua"/>
        </w:rPr>
        <w:t>, associada à legitimidade, aprendizagem e inovação, necessária para lidar com conflitos e interagir com múltiplos atores sociais, econômicos e políticos em contextos democráticos</w:t>
      </w:r>
      <w:r>
        <w:rPr>
          <w:rFonts w:ascii="Book Antiqua" w:hAnsi="Book Antiqua"/>
        </w:rPr>
        <w:t xml:space="preserve">.  </w:t>
      </w:r>
      <w:r w:rsidRPr="00B36664">
        <w:rPr>
          <w:rFonts w:ascii="Book Antiqua" w:hAnsi="Book Antiqua"/>
        </w:rPr>
        <w:t>Inclui habilidades de interlocução, negociação, prevenção da captura e ampliação da participação</w:t>
      </w:r>
      <w:r>
        <w:rPr>
          <w:rFonts w:ascii="Book Antiqua" w:hAnsi="Book Antiqua"/>
        </w:rPr>
        <w:t>. Os seus</w:t>
      </w:r>
      <w:r w:rsidRPr="00080EE5">
        <w:rPr>
          <w:rFonts w:ascii="Book Antiqua" w:hAnsi="Book Antiqua"/>
        </w:rPr>
        <w:t xml:space="preserve"> mecanismos observáveis incluem:</w:t>
      </w:r>
      <w:r w:rsidRPr="00080EE5">
        <w:rPr>
          <w:rFonts w:ascii="Book Antiqua" w:hAnsi="Book Antiqua"/>
        </w:rPr>
        <w:br/>
        <w:t xml:space="preserve">• </w:t>
      </w:r>
      <w:r w:rsidRPr="00080EE5">
        <w:rPr>
          <w:rFonts w:ascii="Book Antiqua" w:hAnsi="Book Antiqua"/>
          <w:b/>
          <w:bCs/>
        </w:rPr>
        <w:t>APOL</w:t>
      </w:r>
      <w:r>
        <w:rPr>
          <w:rFonts w:ascii="Book Antiqua" w:hAnsi="Book Antiqua"/>
          <w:b/>
          <w:bCs/>
        </w:rPr>
        <w:t>I</w:t>
      </w:r>
      <w:r w:rsidRPr="00080EE5">
        <w:rPr>
          <w:rFonts w:ascii="Book Antiqua" w:hAnsi="Book Antiqua"/>
        </w:rPr>
        <w:t xml:space="preserve"> – interações políticas institucionalizadas, que estruturam o diálogo com atores internos e externos ao Estado;</w:t>
      </w:r>
      <w:r w:rsidRPr="00080EE5">
        <w:rPr>
          <w:rFonts w:ascii="Book Antiqua" w:hAnsi="Book Antiqua"/>
        </w:rPr>
        <w:br/>
        <w:t xml:space="preserve">• </w:t>
      </w:r>
      <w:r w:rsidRPr="00080EE5">
        <w:rPr>
          <w:rFonts w:ascii="Book Antiqua" w:hAnsi="Book Antiqua"/>
          <w:b/>
          <w:bCs/>
        </w:rPr>
        <w:t>PART</w:t>
      </w:r>
      <w:r w:rsidRPr="00080EE5">
        <w:rPr>
          <w:rFonts w:ascii="Book Antiqua" w:hAnsi="Book Antiqua"/>
        </w:rPr>
        <w:t xml:space="preserve"> – mecanismos de participação, formais ou informais, que ampliam a responsividade e a deliberação;</w:t>
      </w:r>
      <w:r w:rsidRPr="00080EE5">
        <w:rPr>
          <w:rFonts w:ascii="Book Antiqua" w:hAnsi="Book Antiqua"/>
        </w:rPr>
        <w:br/>
        <w:t xml:space="preserve">• </w:t>
      </w:r>
      <w:r w:rsidRPr="00080EE5">
        <w:rPr>
          <w:rFonts w:ascii="Book Antiqua" w:hAnsi="Book Antiqua"/>
          <w:b/>
          <w:bCs/>
        </w:rPr>
        <w:t>CONT</w:t>
      </w:r>
      <w:r w:rsidRPr="00080EE5">
        <w:rPr>
          <w:rFonts w:ascii="Book Antiqua" w:hAnsi="Book Antiqua"/>
        </w:rPr>
        <w:t xml:space="preserve"> – instrumentos de controle, que asseguram responsabilização, transparência e limites ao exercício do poder.</w:t>
      </w:r>
    </w:p>
    <w:p w14:paraId="46B5EE45" w14:textId="77777777" w:rsidR="003D00D8" w:rsidRDefault="003D00D8" w:rsidP="003D00D8">
      <w:pPr>
        <w:pStyle w:val="SemEspaamento"/>
        <w:spacing w:line="276" w:lineRule="auto"/>
        <w:ind w:firstLine="1134"/>
        <w:rPr>
          <w:rFonts w:ascii="Book Antiqua" w:hAnsi="Book Antiqua"/>
        </w:rPr>
      </w:pPr>
      <w:r w:rsidRPr="00B36664">
        <w:rPr>
          <w:rFonts w:ascii="Book Antiqua" w:hAnsi="Book Antiqua"/>
        </w:rPr>
        <w:lastRenderedPageBreak/>
        <w:t xml:space="preserve">Esses mecanismos permitem examinar o </w:t>
      </w:r>
      <w:proofErr w:type="spellStart"/>
      <w:r w:rsidRPr="00AB2458">
        <w:rPr>
          <w:rFonts w:ascii="Book Antiqua" w:hAnsi="Book Antiqua"/>
          <w:i/>
          <w:iCs/>
        </w:rPr>
        <w:t>insider</w:t>
      </w:r>
      <w:proofErr w:type="spellEnd"/>
      <w:r w:rsidRPr="00AB2458">
        <w:rPr>
          <w:rFonts w:ascii="Book Antiqua" w:hAnsi="Book Antiqua"/>
          <w:i/>
          <w:iCs/>
        </w:rPr>
        <w:t xml:space="preserve"> trading</w:t>
      </w:r>
      <w:r w:rsidRPr="00B36664">
        <w:rPr>
          <w:rFonts w:ascii="Book Antiqua" w:hAnsi="Book Antiqua"/>
        </w:rPr>
        <w:t xml:space="preserve"> como política pública regulatória. A aplicação direta ao caso evidencia como cada dimensão se manifesta </w:t>
      </w:r>
      <w:r>
        <w:rPr>
          <w:rFonts w:ascii="Book Antiqua" w:hAnsi="Book Antiqua"/>
        </w:rPr>
        <w:t xml:space="preserve">– </w:t>
      </w:r>
      <w:r w:rsidRPr="00B36664">
        <w:rPr>
          <w:rFonts w:ascii="Book Antiqua" w:hAnsi="Book Antiqua"/>
        </w:rPr>
        <w:t xml:space="preserve">ou não </w:t>
      </w:r>
      <w:r>
        <w:rPr>
          <w:rFonts w:ascii="Book Antiqua" w:hAnsi="Book Antiqua"/>
        </w:rPr>
        <w:t xml:space="preserve">– </w:t>
      </w:r>
      <w:r w:rsidRPr="00B36664">
        <w:rPr>
          <w:rFonts w:ascii="Book Antiqua" w:hAnsi="Book Antiqua"/>
        </w:rPr>
        <w:t>no circuito CVM–PF–MPF:</w:t>
      </w:r>
    </w:p>
    <w:p w14:paraId="4C82AB2D" w14:textId="77777777" w:rsidR="003D00D8" w:rsidRPr="00B36664" w:rsidRDefault="003D00D8" w:rsidP="003D00D8">
      <w:pPr>
        <w:pStyle w:val="SemEspaamento"/>
        <w:spacing w:line="276" w:lineRule="auto"/>
        <w:ind w:firstLine="1134"/>
        <w:rPr>
          <w:rFonts w:ascii="Book Antiqua" w:hAnsi="Book Antiqua"/>
          <w:b/>
          <w:bCs/>
        </w:rPr>
      </w:pPr>
      <w:r w:rsidRPr="00B36664">
        <w:rPr>
          <w:rFonts w:ascii="Book Antiqua" w:hAnsi="Book Antiqua"/>
          <w:b/>
          <w:bCs/>
        </w:rPr>
        <w:t>Quadro</w:t>
      </w:r>
      <w:r>
        <w:rPr>
          <w:rFonts w:ascii="Book Antiqua" w:hAnsi="Book Antiqua"/>
          <w:b/>
          <w:bCs/>
        </w:rPr>
        <w:t xml:space="preserve"> 1: </w:t>
      </w:r>
      <w:r w:rsidRPr="00B36664">
        <w:rPr>
          <w:rFonts w:ascii="Book Antiqua" w:hAnsi="Book Antiqua"/>
          <w:b/>
          <w:bCs/>
        </w:rPr>
        <w:t xml:space="preserve">Atributos de capacidade </w:t>
      </w:r>
      <w:r>
        <w:rPr>
          <w:rFonts w:ascii="Book Antiqua" w:hAnsi="Book Antiqua"/>
          <w:b/>
          <w:bCs/>
        </w:rPr>
        <w:t>e a sua</w:t>
      </w:r>
      <w:r w:rsidRPr="00B36664">
        <w:rPr>
          <w:rFonts w:ascii="Book Antiqua" w:hAnsi="Book Antiqua"/>
          <w:b/>
          <w:bCs/>
        </w:rPr>
        <w:t xml:space="preserve"> manifestação no </w:t>
      </w:r>
      <w:proofErr w:type="spellStart"/>
      <w:r w:rsidRPr="00AB2458">
        <w:rPr>
          <w:rFonts w:ascii="Book Antiqua" w:hAnsi="Book Antiqua"/>
          <w:b/>
          <w:bCs/>
          <w:i/>
          <w:iCs/>
        </w:rPr>
        <w:t>enforcement</w:t>
      </w:r>
      <w:proofErr w:type="spellEnd"/>
      <w:r w:rsidRPr="00B36664">
        <w:rPr>
          <w:rFonts w:ascii="Book Antiqua" w:hAnsi="Book Antiqua"/>
          <w:b/>
          <w:bCs/>
        </w:rPr>
        <w:t xml:space="preserve"> penal do </w:t>
      </w:r>
      <w:proofErr w:type="spellStart"/>
      <w:r w:rsidRPr="00AB2458">
        <w:rPr>
          <w:rFonts w:ascii="Book Antiqua" w:hAnsi="Book Antiqua"/>
          <w:b/>
          <w:bCs/>
          <w:i/>
          <w:iCs/>
        </w:rPr>
        <w:t>insider</w:t>
      </w:r>
      <w:proofErr w:type="spellEnd"/>
      <w:r w:rsidRPr="00AB2458">
        <w:rPr>
          <w:rFonts w:ascii="Book Antiqua" w:hAnsi="Book Antiqua"/>
          <w:b/>
          <w:bCs/>
          <w:i/>
          <w:iCs/>
        </w:rPr>
        <w:t xml:space="preserve"> trading</w:t>
      </w:r>
      <w:r>
        <w:rPr>
          <w:rFonts w:ascii="Book Antiqua" w:hAnsi="Book Antiqua"/>
          <w:b/>
          <w:bCs/>
          <w:i/>
          <w:iCs/>
        </w:rPr>
        <w:t xml:space="preserve">. </w:t>
      </w:r>
    </w:p>
    <w:p w14:paraId="4BEDBC95" w14:textId="77777777" w:rsidR="003D00D8" w:rsidRPr="00B36664" w:rsidRDefault="003D00D8" w:rsidP="003D00D8">
      <w:pPr>
        <w:pStyle w:val="SemEspaamento"/>
        <w:spacing w:line="276" w:lineRule="auto"/>
        <w:ind w:firstLine="1134"/>
        <w:rPr>
          <w:rFonts w:ascii="Book Antiqua" w:hAnsi="Book Antiqua"/>
          <w:b/>
          <w:bCs/>
        </w:rPr>
      </w:pPr>
    </w:p>
    <w:tbl>
      <w:tblPr>
        <w:tblStyle w:val="TabeladeGrade4-nfase1"/>
        <w:tblW w:w="0" w:type="auto"/>
        <w:tblLook w:val="04A0" w:firstRow="1" w:lastRow="0" w:firstColumn="1" w:lastColumn="0" w:noHBand="0" w:noVBand="1"/>
      </w:tblPr>
      <w:tblGrid>
        <w:gridCol w:w="1656"/>
        <w:gridCol w:w="2263"/>
        <w:gridCol w:w="4575"/>
      </w:tblGrid>
      <w:tr w:rsidR="003D00D8" w:rsidRPr="00AB2458" w14:paraId="1D5A9F53" w14:textId="77777777" w:rsidTr="008F0A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6874CB" w14:textId="77777777" w:rsidR="003D00D8" w:rsidRPr="00AB2458" w:rsidRDefault="003D00D8" w:rsidP="008F0A1F">
            <w:pPr>
              <w:pStyle w:val="SemEspaamento"/>
              <w:spacing w:line="276" w:lineRule="auto"/>
              <w:rPr>
                <w:rFonts w:ascii="Book Antiqua" w:hAnsi="Book Antiqua"/>
                <w:sz w:val="20"/>
                <w:szCs w:val="20"/>
              </w:rPr>
            </w:pPr>
            <w:r w:rsidRPr="00AB2458">
              <w:rPr>
                <w:rFonts w:ascii="Book Antiqua" w:hAnsi="Book Antiqua"/>
                <w:sz w:val="20"/>
                <w:szCs w:val="20"/>
              </w:rPr>
              <w:t>Dimensão</w:t>
            </w:r>
          </w:p>
        </w:tc>
        <w:tc>
          <w:tcPr>
            <w:tcW w:w="0" w:type="auto"/>
            <w:hideMark/>
          </w:tcPr>
          <w:p w14:paraId="145599B1" w14:textId="77777777" w:rsidR="003D00D8" w:rsidRPr="00AB2458" w:rsidRDefault="003D00D8" w:rsidP="008F0A1F">
            <w:pPr>
              <w:pStyle w:val="SemEspaamento"/>
              <w:spacing w:line="276" w:lineRule="auto"/>
              <w:cnfStyle w:val="100000000000" w:firstRow="1" w:lastRow="0" w:firstColumn="0" w:lastColumn="0" w:oddVBand="0" w:evenVBand="0" w:oddHBand="0" w:evenHBand="0" w:firstRowFirstColumn="0" w:firstRowLastColumn="0" w:lastRowFirstColumn="0" w:lastRowLastColumn="0"/>
              <w:rPr>
                <w:rFonts w:ascii="Book Antiqua" w:hAnsi="Book Antiqua"/>
                <w:sz w:val="20"/>
                <w:szCs w:val="20"/>
              </w:rPr>
            </w:pPr>
            <w:r w:rsidRPr="00AB2458">
              <w:rPr>
                <w:rFonts w:ascii="Book Antiqua" w:hAnsi="Book Antiqua"/>
                <w:sz w:val="20"/>
                <w:szCs w:val="20"/>
              </w:rPr>
              <w:t>Atributo (mecanismo)</w:t>
            </w:r>
          </w:p>
        </w:tc>
        <w:tc>
          <w:tcPr>
            <w:tcW w:w="0" w:type="auto"/>
            <w:hideMark/>
          </w:tcPr>
          <w:p w14:paraId="32F5DE36" w14:textId="77777777" w:rsidR="003D00D8" w:rsidRPr="00AB2458" w:rsidRDefault="003D00D8" w:rsidP="008F0A1F">
            <w:pPr>
              <w:pStyle w:val="SemEspaamento"/>
              <w:spacing w:line="276" w:lineRule="auto"/>
              <w:cnfStyle w:val="100000000000" w:firstRow="1" w:lastRow="0" w:firstColumn="0" w:lastColumn="0" w:oddVBand="0" w:evenVBand="0" w:oddHBand="0" w:evenHBand="0" w:firstRowFirstColumn="0" w:firstRowLastColumn="0" w:lastRowFirstColumn="0" w:lastRowLastColumn="0"/>
              <w:rPr>
                <w:rFonts w:ascii="Book Antiqua" w:hAnsi="Book Antiqua"/>
                <w:sz w:val="20"/>
                <w:szCs w:val="20"/>
              </w:rPr>
            </w:pPr>
            <w:r w:rsidRPr="00AB2458">
              <w:rPr>
                <w:rFonts w:ascii="Book Antiqua" w:hAnsi="Book Antiqua"/>
                <w:sz w:val="20"/>
                <w:szCs w:val="20"/>
              </w:rPr>
              <w:t>Como aparece no caso (estoque e ação)</w:t>
            </w:r>
          </w:p>
        </w:tc>
      </w:tr>
      <w:tr w:rsidR="003D00D8" w:rsidRPr="00AB2458" w14:paraId="63525DF6" w14:textId="77777777" w:rsidTr="008F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9F0799" w14:textId="77777777" w:rsidR="003D00D8" w:rsidRPr="00AB2458" w:rsidRDefault="003D00D8" w:rsidP="008F0A1F">
            <w:pPr>
              <w:pStyle w:val="SemEspaamento"/>
              <w:spacing w:line="276" w:lineRule="auto"/>
              <w:rPr>
                <w:rFonts w:ascii="Book Antiqua" w:hAnsi="Book Antiqua"/>
                <w:sz w:val="20"/>
                <w:szCs w:val="20"/>
              </w:rPr>
            </w:pPr>
            <w:r w:rsidRPr="00AB2458">
              <w:rPr>
                <w:rFonts w:ascii="Book Antiqua" w:hAnsi="Book Antiqua"/>
                <w:sz w:val="20"/>
                <w:szCs w:val="20"/>
              </w:rPr>
              <w:t>Técnico-administrativa</w:t>
            </w:r>
          </w:p>
        </w:tc>
        <w:tc>
          <w:tcPr>
            <w:tcW w:w="0" w:type="auto"/>
            <w:hideMark/>
          </w:tcPr>
          <w:p w14:paraId="47F34742" w14:textId="77777777" w:rsidR="003D00D8" w:rsidRPr="00AB2458" w:rsidRDefault="003D00D8" w:rsidP="008F0A1F">
            <w:pPr>
              <w:pStyle w:val="SemEspaamento"/>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AB2458">
              <w:rPr>
                <w:rFonts w:ascii="Book Antiqua" w:hAnsi="Book Antiqua"/>
                <w:sz w:val="20"/>
                <w:szCs w:val="20"/>
              </w:rPr>
              <w:t>ORGA – Organização burocrática especializada</w:t>
            </w:r>
          </w:p>
        </w:tc>
        <w:tc>
          <w:tcPr>
            <w:tcW w:w="0" w:type="auto"/>
            <w:hideMark/>
          </w:tcPr>
          <w:p w14:paraId="5B017E2D" w14:textId="77777777" w:rsidR="003D00D8" w:rsidRPr="00AB2458" w:rsidRDefault="003D00D8" w:rsidP="008F0A1F">
            <w:pPr>
              <w:pStyle w:val="SemEspaamento"/>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AB2458">
              <w:rPr>
                <w:rFonts w:ascii="Book Antiqua" w:hAnsi="Book Antiqua"/>
                <w:sz w:val="20"/>
                <w:szCs w:val="20"/>
              </w:rPr>
              <w:t xml:space="preserve">Estoque: expertise altamente especializada na CVM (análise de mercado, monitoramento, sistemas internos), delegacias e núcleos da PF com competência para crimes financeiros, </w:t>
            </w:r>
            <w:proofErr w:type="gramStart"/>
            <w:r w:rsidRPr="00AB2458">
              <w:rPr>
                <w:rFonts w:ascii="Book Antiqua" w:hAnsi="Book Antiqua"/>
                <w:sz w:val="20"/>
                <w:szCs w:val="20"/>
              </w:rPr>
              <w:t>câmaras</w:t>
            </w:r>
            <w:proofErr w:type="gramEnd"/>
            <w:r w:rsidRPr="00AB2458">
              <w:rPr>
                <w:rFonts w:ascii="Book Antiqua" w:hAnsi="Book Antiqua"/>
                <w:sz w:val="20"/>
                <w:szCs w:val="20"/>
              </w:rPr>
              <w:t xml:space="preserve"> temáticas e </w:t>
            </w:r>
            <w:proofErr w:type="spellStart"/>
            <w:r w:rsidRPr="00AB2458">
              <w:rPr>
                <w:rFonts w:ascii="Book Antiqua" w:hAnsi="Book Antiqua"/>
                <w:sz w:val="20"/>
                <w:szCs w:val="20"/>
              </w:rPr>
              <w:t>GTs</w:t>
            </w:r>
            <w:proofErr w:type="spellEnd"/>
            <w:r w:rsidRPr="00AB2458">
              <w:rPr>
                <w:rFonts w:ascii="Book Antiqua" w:hAnsi="Book Antiqua"/>
                <w:sz w:val="20"/>
                <w:szCs w:val="20"/>
              </w:rPr>
              <w:t xml:space="preserve"> no MPF.</w:t>
            </w:r>
            <w:r w:rsidRPr="00AB2458">
              <w:rPr>
                <w:rFonts w:ascii="Book Antiqua" w:hAnsi="Book Antiqua"/>
                <w:sz w:val="20"/>
                <w:szCs w:val="20"/>
              </w:rPr>
              <w:br/>
              <w:t>Ação: ativação desigual. A CVM aciona sua expertise de forma regular; a PF atua de modo episódico (casos excepcionais → Insider11, Americanas); o MPF possui câmaras especializadas, mas não converte isso em prioridade decisória.</w:t>
            </w:r>
          </w:p>
        </w:tc>
      </w:tr>
      <w:tr w:rsidR="003D00D8" w:rsidRPr="00AB2458" w14:paraId="2495FDC8" w14:textId="77777777" w:rsidTr="008F0A1F">
        <w:tc>
          <w:tcPr>
            <w:cnfStyle w:val="001000000000" w:firstRow="0" w:lastRow="0" w:firstColumn="1" w:lastColumn="0" w:oddVBand="0" w:evenVBand="0" w:oddHBand="0" w:evenHBand="0" w:firstRowFirstColumn="0" w:firstRowLastColumn="0" w:lastRowFirstColumn="0" w:lastRowLastColumn="0"/>
            <w:tcW w:w="0" w:type="auto"/>
            <w:hideMark/>
          </w:tcPr>
          <w:p w14:paraId="69EB897F" w14:textId="77777777" w:rsidR="003D00D8" w:rsidRPr="00AB2458" w:rsidRDefault="003D00D8" w:rsidP="008F0A1F">
            <w:pPr>
              <w:pStyle w:val="SemEspaamento"/>
              <w:spacing w:line="276" w:lineRule="auto"/>
              <w:rPr>
                <w:rFonts w:ascii="Book Antiqua" w:hAnsi="Book Antiqua"/>
                <w:sz w:val="20"/>
                <w:szCs w:val="20"/>
              </w:rPr>
            </w:pPr>
          </w:p>
        </w:tc>
        <w:tc>
          <w:tcPr>
            <w:tcW w:w="0" w:type="auto"/>
            <w:hideMark/>
          </w:tcPr>
          <w:p w14:paraId="0C06B2E5" w14:textId="77777777" w:rsidR="003D00D8" w:rsidRPr="00AB2458" w:rsidRDefault="003D00D8" w:rsidP="008F0A1F">
            <w:pPr>
              <w:pStyle w:val="SemEspaamento"/>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AB2458">
              <w:rPr>
                <w:rFonts w:ascii="Book Antiqua" w:hAnsi="Book Antiqua"/>
                <w:sz w:val="20"/>
                <w:szCs w:val="20"/>
              </w:rPr>
              <w:t>COOR – Mecanismos de coordenação</w:t>
            </w:r>
          </w:p>
        </w:tc>
        <w:tc>
          <w:tcPr>
            <w:tcW w:w="0" w:type="auto"/>
            <w:hideMark/>
          </w:tcPr>
          <w:p w14:paraId="7809A1ED" w14:textId="77777777" w:rsidR="003D00D8" w:rsidRPr="00AB2458" w:rsidRDefault="003D00D8" w:rsidP="008F0A1F">
            <w:pPr>
              <w:pStyle w:val="SemEspaamento"/>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AB2458">
              <w:rPr>
                <w:rFonts w:ascii="Book Antiqua" w:hAnsi="Book Antiqua"/>
                <w:sz w:val="20"/>
                <w:szCs w:val="20"/>
              </w:rPr>
              <w:t>Estoque: convênio CVM–MPF (2008), fluxos formais de comunicação CVM→MPF, interfaces técnicas.</w:t>
            </w:r>
            <w:r w:rsidRPr="00AB2458">
              <w:rPr>
                <w:rFonts w:ascii="Book Antiqua" w:hAnsi="Book Antiqua"/>
                <w:sz w:val="20"/>
                <w:szCs w:val="20"/>
              </w:rPr>
              <w:br/>
              <w:t>Ação: coordenação não se estabiliza: inexistem rotinas CVM–PF, fluxos reais não espelham fluxos formais, não há reciprocidade MPF→CVM, e a coordenação só emerge sob gatilhos extraordinários (operações de grande repercussão).</w:t>
            </w:r>
          </w:p>
        </w:tc>
      </w:tr>
      <w:tr w:rsidR="003D00D8" w:rsidRPr="00AB2458" w14:paraId="29E9CF38" w14:textId="77777777" w:rsidTr="008F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359EB9" w14:textId="77777777" w:rsidR="003D00D8" w:rsidRPr="00AB2458" w:rsidRDefault="003D00D8" w:rsidP="008F0A1F">
            <w:pPr>
              <w:pStyle w:val="SemEspaamento"/>
              <w:spacing w:line="276" w:lineRule="auto"/>
              <w:rPr>
                <w:rFonts w:ascii="Book Antiqua" w:hAnsi="Book Antiqua"/>
                <w:sz w:val="20"/>
                <w:szCs w:val="20"/>
              </w:rPr>
            </w:pPr>
          </w:p>
        </w:tc>
        <w:tc>
          <w:tcPr>
            <w:tcW w:w="0" w:type="auto"/>
            <w:hideMark/>
          </w:tcPr>
          <w:p w14:paraId="0916FA79" w14:textId="77777777" w:rsidR="003D00D8" w:rsidRPr="00AB2458" w:rsidRDefault="003D00D8" w:rsidP="008F0A1F">
            <w:pPr>
              <w:pStyle w:val="SemEspaamento"/>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AB2458">
              <w:rPr>
                <w:rFonts w:ascii="Book Antiqua" w:hAnsi="Book Antiqua"/>
                <w:sz w:val="20"/>
                <w:szCs w:val="20"/>
              </w:rPr>
              <w:t>MONI – Monitoramento e sistemas de informação</w:t>
            </w:r>
          </w:p>
        </w:tc>
        <w:tc>
          <w:tcPr>
            <w:tcW w:w="0" w:type="auto"/>
            <w:hideMark/>
          </w:tcPr>
          <w:p w14:paraId="5193B093" w14:textId="77777777" w:rsidR="003D00D8" w:rsidRPr="00AB2458" w:rsidRDefault="003D00D8" w:rsidP="008F0A1F">
            <w:pPr>
              <w:pStyle w:val="SemEspaamento"/>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AB2458">
              <w:rPr>
                <w:rFonts w:ascii="Book Antiqua" w:hAnsi="Book Antiqua"/>
                <w:sz w:val="20"/>
                <w:szCs w:val="20"/>
              </w:rPr>
              <w:t>Estoque: sistemas internos robustos na CVM (INQ, SSI), registros procedimentais, acúmulo de dados técnicos.</w:t>
            </w:r>
            <w:r w:rsidRPr="00AB2458">
              <w:rPr>
                <w:rFonts w:ascii="Book Antiqua" w:hAnsi="Book Antiqua"/>
                <w:sz w:val="20"/>
                <w:szCs w:val="20"/>
              </w:rPr>
              <w:br/>
              <w:t>Ação: a CVM monitora, mas não há monitoramento integrado do circuito; o MPF não produz estatísticas consolidadas sobre denúncias, arquivamentos ou conversões; o circuito carece de indicadores comuns, o que impede aprendizado e reação institucional.</w:t>
            </w:r>
          </w:p>
        </w:tc>
      </w:tr>
      <w:tr w:rsidR="003D00D8" w:rsidRPr="00AB2458" w14:paraId="4F315D5A" w14:textId="77777777" w:rsidTr="008F0A1F">
        <w:tc>
          <w:tcPr>
            <w:cnfStyle w:val="001000000000" w:firstRow="0" w:lastRow="0" w:firstColumn="1" w:lastColumn="0" w:oddVBand="0" w:evenVBand="0" w:oddHBand="0" w:evenHBand="0" w:firstRowFirstColumn="0" w:firstRowLastColumn="0" w:lastRowFirstColumn="0" w:lastRowLastColumn="0"/>
            <w:tcW w:w="0" w:type="auto"/>
            <w:hideMark/>
          </w:tcPr>
          <w:p w14:paraId="09BF6CB1" w14:textId="77777777" w:rsidR="003D00D8" w:rsidRPr="00AB2458" w:rsidRDefault="003D00D8" w:rsidP="008F0A1F">
            <w:pPr>
              <w:pStyle w:val="SemEspaamento"/>
              <w:spacing w:line="276" w:lineRule="auto"/>
              <w:rPr>
                <w:rFonts w:ascii="Book Antiqua" w:hAnsi="Book Antiqua"/>
                <w:sz w:val="20"/>
                <w:szCs w:val="20"/>
              </w:rPr>
            </w:pPr>
            <w:r w:rsidRPr="00AB2458">
              <w:rPr>
                <w:rFonts w:ascii="Book Antiqua" w:hAnsi="Book Antiqua"/>
                <w:sz w:val="20"/>
                <w:szCs w:val="20"/>
              </w:rPr>
              <w:t>Político-relacional</w:t>
            </w:r>
          </w:p>
        </w:tc>
        <w:tc>
          <w:tcPr>
            <w:tcW w:w="0" w:type="auto"/>
            <w:hideMark/>
          </w:tcPr>
          <w:p w14:paraId="0FB97182" w14:textId="77777777" w:rsidR="003D00D8" w:rsidRPr="00AB2458" w:rsidRDefault="003D00D8" w:rsidP="008F0A1F">
            <w:pPr>
              <w:pStyle w:val="SemEspaamento"/>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AB2458">
              <w:rPr>
                <w:rFonts w:ascii="Book Antiqua" w:hAnsi="Book Antiqua"/>
                <w:sz w:val="20"/>
                <w:szCs w:val="20"/>
              </w:rPr>
              <w:t>APOL – Interações políticas institucionalizadas</w:t>
            </w:r>
          </w:p>
        </w:tc>
        <w:tc>
          <w:tcPr>
            <w:tcW w:w="0" w:type="auto"/>
            <w:hideMark/>
          </w:tcPr>
          <w:p w14:paraId="58444C56" w14:textId="77777777" w:rsidR="003D00D8" w:rsidRPr="00AB2458" w:rsidRDefault="003D00D8" w:rsidP="008F0A1F">
            <w:pPr>
              <w:pStyle w:val="SemEspaamento"/>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AB2458">
              <w:rPr>
                <w:rFonts w:ascii="Book Antiqua" w:hAnsi="Book Antiqua"/>
                <w:sz w:val="20"/>
                <w:szCs w:val="20"/>
              </w:rPr>
              <w:t xml:space="preserve">Estoque: autonomia funcional do MPF, </w:t>
            </w:r>
            <w:r>
              <w:rPr>
                <w:rFonts w:ascii="Book Antiqua" w:hAnsi="Book Antiqua"/>
                <w:sz w:val="20"/>
                <w:szCs w:val="20"/>
              </w:rPr>
              <w:t>regulação e aporte</w:t>
            </w:r>
            <w:r w:rsidRPr="00AB2458">
              <w:rPr>
                <w:rFonts w:ascii="Book Antiqua" w:hAnsi="Book Antiqua"/>
                <w:sz w:val="20"/>
                <w:szCs w:val="20"/>
              </w:rPr>
              <w:t xml:space="preserve"> técnic</w:t>
            </w:r>
            <w:r>
              <w:rPr>
                <w:rFonts w:ascii="Book Antiqua" w:hAnsi="Book Antiqua"/>
                <w:sz w:val="20"/>
                <w:szCs w:val="20"/>
              </w:rPr>
              <w:t xml:space="preserve">o </w:t>
            </w:r>
            <w:r w:rsidRPr="00AB2458">
              <w:rPr>
                <w:rFonts w:ascii="Book Antiqua" w:hAnsi="Book Antiqua"/>
                <w:sz w:val="20"/>
                <w:szCs w:val="20"/>
              </w:rPr>
              <w:t>da CVM, legitimidade da PF em investigação de crimes econômicos.</w:t>
            </w:r>
            <w:r w:rsidRPr="00AB2458">
              <w:rPr>
                <w:rFonts w:ascii="Book Antiqua" w:hAnsi="Book Antiqua"/>
                <w:sz w:val="20"/>
                <w:szCs w:val="20"/>
              </w:rPr>
              <w:br/>
              <w:t xml:space="preserve">Ação: baixa prioridade interna para </w:t>
            </w:r>
            <w:proofErr w:type="spellStart"/>
            <w:r w:rsidRPr="00175025">
              <w:rPr>
                <w:rFonts w:ascii="Book Antiqua" w:hAnsi="Book Antiqua"/>
                <w:i/>
                <w:iCs/>
                <w:sz w:val="20"/>
                <w:szCs w:val="20"/>
              </w:rPr>
              <w:t>insider</w:t>
            </w:r>
            <w:proofErr w:type="spellEnd"/>
            <w:r w:rsidRPr="00AB2458">
              <w:rPr>
                <w:rFonts w:ascii="Book Antiqua" w:hAnsi="Book Antiqua"/>
                <w:sz w:val="20"/>
                <w:szCs w:val="20"/>
              </w:rPr>
              <w:t xml:space="preserve"> trading; agendas institucionais desalinhadas; capacidade decisória do MPF concentra poder, mas é pouco permeada por </w:t>
            </w:r>
            <w:r w:rsidRPr="00175025">
              <w:rPr>
                <w:rFonts w:ascii="Book Antiqua" w:hAnsi="Book Antiqua"/>
                <w:i/>
                <w:iCs/>
                <w:sz w:val="20"/>
                <w:szCs w:val="20"/>
              </w:rPr>
              <w:t>feedback</w:t>
            </w:r>
            <w:r w:rsidRPr="00AB2458">
              <w:rPr>
                <w:rFonts w:ascii="Book Antiqua" w:hAnsi="Book Antiqua"/>
                <w:sz w:val="20"/>
                <w:szCs w:val="20"/>
              </w:rPr>
              <w:t xml:space="preserve"> de CVM/PF.</w:t>
            </w:r>
          </w:p>
        </w:tc>
      </w:tr>
      <w:tr w:rsidR="003D00D8" w:rsidRPr="00AB2458" w14:paraId="41656FE0" w14:textId="77777777" w:rsidTr="008F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D724EE" w14:textId="77777777" w:rsidR="003D00D8" w:rsidRPr="00AB2458" w:rsidRDefault="003D00D8" w:rsidP="008F0A1F">
            <w:pPr>
              <w:pStyle w:val="SemEspaamento"/>
              <w:spacing w:line="276" w:lineRule="auto"/>
              <w:rPr>
                <w:rFonts w:ascii="Book Antiqua" w:hAnsi="Book Antiqua"/>
                <w:sz w:val="20"/>
                <w:szCs w:val="20"/>
              </w:rPr>
            </w:pPr>
          </w:p>
        </w:tc>
        <w:tc>
          <w:tcPr>
            <w:tcW w:w="0" w:type="auto"/>
            <w:hideMark/>
          </w:tcPr>
          <w:p w14:paraId="5FB09321" w14:textId="77777777" w:rsidR="003D00D8" w:rsidRPr="00AB2458" w:rsidRDefault="003D00D8" w:rsidP="008F0A1F">
            <w:pPr>
              <w:pStyle w:val="SemEspaamento"/>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AB2458">
              <w:rPr>
                <w:rFonts w:ascii="Book Antiqua" w:hAnsi="Book Antiqua"/>
                <w:sz w:val="20"/>
                <w:szCs w:val="20"/>
              </w:rPr>
              <w:t>PART – Participação e interação societal</w:t>
            </w:r>
          </w:p>
        </w:tc>
        <w:tc>
          <w:tcPr>
            <w:tcW w:w="0" w:type="auto"/>
            <w:hideMark/>
          </w:tcPr>
          <w:p w14:paraId="14093C92" w14:textId="77777777" w:rsidR="003D00D8" w:rsidRPr="00AB2458" w:rsidRDefault="003D00D8" w:rsidP="008F0A1F">
            <w:pPr>
              <w:pStyle w:val="SemEspaamento"/>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AB2458">
              <w:rPr>
                <w:rFonts w:ascii="Book Antiqua" w:hAnsi="Book Antiqua"/>
                <w:sz w:val="20"/>
                <w:szCs w:val="20"/>
              </w:rPr>
              <w:t xml:space="preserve">Estoque: canais de recebimento de denúncias (CVM e MPF), interação com mercado, investidores e </w:t>
            </w:r>
            <w:proofErr w:type="spellStart"/>
            <w:r w:rsidRPr="00C46329">
              <w:rPr>
                <w:rFonts w:ascii="Book Antiqua" w:hAnsi="Book Antiqua"/>
                <w:i/>
                <w:iCs/>
                <w:sz w:val="20"/>
                <w:szCs w:val="20"/>
              </w:rPr>
              <w:t>whistleblowers</w:t>
            </w:r>
            <w:proofErr w:type="spellEnd"/>
            <w:r w:rsidRPr="00AB2458">
              <w:rPr>
                <w:rFonts w:ascii="Book Antiqua" w:hAnsi="Book Antiqua"/>
                <w:sz w:val="20"/>
                <w:szCs w:val="20"/>
              </w:rPr>
              <w:t>.</w:t>
            </w:r>
            <w:r w:rsidRPr="00AB2458">
              <w:rPr>
                <w:rFonts w:ascii="Book Antiqua" w:hAnsi="Book Antiqua"/>
                <w:sz w:val="20"/>
                <w:szCs w:val="20"/>
              </w:rPr>
              <w:br/>
              <w:t xml:space="preserve">Ação: participação opera de forma difusa e pouco estruturada; denúncias raramente geram </w:t>
            </w:r>
            <w:r w:rsidRPr="00AB2458">
              <w:rPr>
                <w:rFonts w:ascii="Book Antiqua" w:hAnsi="Book Antiqua"/>
                <w:sz w:val="20"/>
                <w:szCs w:val="20"/>
              </w:rPr>
              <w:lastRenderedPageBreak/>
              <w:t>coordenação; não há mecanismos para transformar inputs sociais em rotinas de persecução.</w:t>
            </w:r>
          </w:p>
        </w:tc>
      </w:tr>
      <w:tr w:rsidR="003D00D8" w:rsidRPr="00AB2458" w14:paraId="4F3F6CEC" w14:textId="77777777" w:rsidTr="008F0A1F">
        <w:tc>
          <w:tcPr>
            <w:cnfStyle w:val="001000000000" w:firstRow="0" w:lastRow="0" w:firstColumn="1" w:lastColumn="0" w:oddVBand="0" w:evenVBand="0" w:oddHBand="0" w:evenHBand="0" w:firstRowFirstColumn="0" w:firstRowLastColumn="0" w:lastRowFirstColumn="0" w:lastRowLastColumn="0"/>
            <w:tcW w:w="0" w:type="auto"/>
            <w:hideMark/>
          </w:tcPr>
          <w:p w14:paraId="6B81BF1C" w14:textId="77777777" w:rsidR="003D00D8" w:rsidRPr="00AB2458" w:rsidRDefault="003D00D8" w:rsidP="008F0A1F">
            <w:pPr>
              <w:pStyle w:val="SemEspaamento"/>
              <w:spacing w:line="276" w:lineRule="auto"/>
              <w:rPr>
                <w:rFonts w:ascii="Book Antiqua" w:hAnsi="Book Antiqua"/>
                <w:sz w:val="20"/>
                <w:szCs w:val="20"/>
              </w:rPr>
            </w:pPr>
          </w:p>
        </w:tc>
        <w:tc>
          <w:tcPr>
            <w:tcW w:w="0" w:type="auto"/>
            <w:hideMark/>
          </w:tcPr>
          <w:p w14:paraId="6B8D9419" w14:textId="77777777" w:rsidR="003D00D8" w:rsidRPr="00AB2458" w:rsidRDefault="003D00D8" w:rsidP="008F0A1F">
            <w:pPr>
              <w:pStyle w:val="SemEspaamento"/>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AB2458">
              <w:rPr>
                <w:rFonts w:ascii="Book Antiqua" w:hAnsi="Book Antiqua"/>
                <w:sz w:val="20"/>
                <w:szCs w:val="20"/>
              </w:rPr>
              <w:t xml:space="preserve">CONT – Controle e </w:t>
            </w:r>
            <w:proofErr w:type="spellStart"/>
            <w:r w:rsidRPr="00C0394C">
              <w:rPr>
                <w:rFonts w:ascii="Book Antiqua" w:hAnsi="Book Antiqua"/>
                <w:i/>
                <w:iCs/>
                <w:sz w:val="20"/>
                <w:szCs w:val="20"/>
              </w:rPr>
              <w:t>accountability</w:t>
            </w:r>
            <w:proofErr w:type="spellEnd"/>
          </w:p>
        </w:tc>
        <w:tc>
          <w:tcPr>
            <w:tcW w:w="0" w:type="auto"/>
            <w:hideMark/>
          </w:tcPr>
          <w:p w14:paraId="317777E5" w14:textId="77777777" w:rsidR="003D00D8" w:rsidRPr="00AB2458" w:rsidRDefault="003D00D8" w:rsidP="008F0A1F">
            <w:pPr>
              <w:pStyle w:val="SemEspaamento"/>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AB2458">
              <w:rPr>
                <w:rFonts w:ascii="Book Antiqua" w:hAnsi="Book Antiqua"/>
                <w:sz w:val="20"/>
                <w:szCs w:val="20"/>
              </w:rPr>
              <w:t>Estoque: atuação potencial de TCU, CNMP, corregedorias, imprensa e mecanismos de escrutínio público.</w:t>
            </w:r>
            <w:r w:rsidRPr="00AB2458">
              <w:rPr>
                <w:rFonts w:ascii="Book Antiqua" w:hAnsi="Book Antiqua"/>
                <w:sz w:val="20"/>
                <w:szCs w:val="20"/>
              </w:rPr>
              <w:br/>
              <w:t xml:space="preserve">Ação: baixa visibilidade do </w:t>
            </w:r>
            <w:proofErr w:type="spellStart"/>
            <w:r w:rsidRPr="00C0394C">
              <w:rPr>
                <w:rFonts w:ascii="Book Antiqua" w:hAnsi="Book Antiqua"/>
                <w:i/>
                <w:iCs/>
                <w:sz w:val="20"/>
                <w:szCs w:val="20"/>
              </w:rPr>
              <w:t>insider</w:t>
            </w:r>
            <w:proofErr w:type="spellEnd"/>
            <w:r w:rsidRPr="00C0394C">
              <w:rPr>
                <w:rFonts w:ascii="Book Antiqua" w:hAnsi="Book Antiqua"/>
                <w:i/>
                <w:iCs/>
                <w:sz w:val="20"/>
                <w:szCs w:val="20"/>
              </w:rPr>
              <w:t xml:space="preserve"> trading</w:t>
            </w:r>
            <w:r w:rsidRPr="00AB2458">
              <w:rPr>
                <w:rFonts w:ascii="Book Antiqua" w:hAnsi="Book Antiqua"/>
                <w:sz w:val="20"/>
                <w:szCs w:val="20"/>
              </w:rPr>
              <w:t xml:space="preserve"> gera pouca pressão externa; controle institucional é fragmentado; ausência de monitoramento público do MPF impede </w:t>
            </w:r>
            <w:proofErr w:type="spellStart"/>
            <w:r w:rsidRPr="00C0394C">
              <w:rPr>
                <w:rFonts w:ascii="Book Antiqua" w:hAnsi="Book Antiqua"/>
                <w:i/>
                <w:iCs/>
                <w:sz w:val="20"/>
                <w:szCs w:val="20"/>
              </w:rPr>
              <w:t>accountability</w:t>
            </w:r>
            <w:proofErr w:type="spellEnd"/>
            <w:r w:rsidRPr="00AB2458">
              <w:rPr>
                <w:rFonts w:ascii="Book Antiqua" w:hAnsi="Book Antiqua"/>
                <w:sz w:val="20"/>
                <w:szCs w:val="20"/>
              </w:rPr>
              <w:t xml:space="preserve"> sobre omissões decisórias.</w:t>
            </w:r>
          </w:p>
        </w:tc>
      </w:tr>
    </w:tbl>
    <w:p w14:paraId="4F4286AE" w14:textId="77777777" w:rsidR="003D00D8" w:rsidRPr="00C92669" w:rsidRDefault="003D00D8" w:rsidP="003D00D8">
      <w:pPr>
        <w:spacing w:before="240" w:line="276" w:lineRule="auto"/>
        <w:ind w:right="284" w:firstLine="1134"/>
        <w:jc w:val="both"/>
        <w:rPr>
          <w:rFonts w:ascii="Book Antiqua" w:hAnsi="Book Antiqua"/>
        </w:rPr>
      </w:pPr>
      <w:r w:rsidRPr="00C92669">
        <w:rPr>
          <w:rFonts w:ascii="Book Antiqua" w:hAnsi="Book Antiqua"/>
        </w:rPr>
        <w:t>Fonte: autoria própria, com dados da pesquisa</w:t>
      </w:r>
    </w:p>
    <w:p w14:paraId="46359F19" w14:textId="77777777" w:rsidR="003D00D8" w:rsidRPr="00705860" w:rsidRDefault="003D00D8" w:rsidP="003D00D8">
      <w:pPr>
        <w:spacing w:line="276" w:lineRule="auto"/>
        <w:ind w:right="284" w:firstLine="1134"/>
        <w:jc w:val="both"/>
        <w:rPr>
          <w:rFonts w:ascii="Book Antiqua" w:hAnsi="Book Antiqua"/>
        </w:rPr>
      </w:pPr>
      <w:r w:rsidRPr="00705860">
        <w:rPr>
          <w:rFonts w:ascii="Book Antiqua" w:hAnsi="Book Antiqua"/>
        </w:rPr>
        <w:t>O quadro evidencia que grande parte das competências identificadas permanece em estado latente, isto é, disponível no papel, mas não convertida em ação estatal coordenada. Esse descompasso aponta para um fenômeno central no enquadramento teórico adotado: não basta que existam capacidades – é preciso que elas sejam efetivamente mobilizadas.</w:t>
      </w:r>
    </w:p>
    <w:p w14:paraId="12254C6A" w14:textId="77777777" w:rsidR="003D00D8" w:rsidRDefault="003D00D8" w:rsidP="003D00D8">
      <w:pPr>
        <w:spacing w:line="276" w:lineRule="auto"/>
        <w:ind w:right="284" w:firstLine="1134"/>
        <w:jc w:val="both"/>
        <w:rPr>
          <w:rFonts w:ascii="Book Antiqua" w:hAnsi="Book Antiqua"/>
        </w:rPr>
      </w:pPr>
      <w:r w:rsidRPr="00705860">
        <w:rPr>
          <w:rFonts w:ascii="Book Antiqua" w:hAnsi="Book Antiqua"/>
        </w:rPr>
        <w:t xml:space="preserve"> O problema, portanto, não decorre de déficits técnicos isolados em cada órgão, mas da forma como o arranjo de implementação organiza – ou impede – a circulação de informações, a continuidade do fluxo e a convergência das capacidades individuais em resultados coletivos.</w:t>
      </w:r>
    </w:p>
    <w:p w14:paraId="3BF1392D" w14:textId="77777777" w:rsidR="003D00D8" w:rsidRPr="00EE6061" w:rsidRDefault="003D00D8" w:rsidP="003D00D8">
      <w:pPr>
        <w:spacing w:line="276" w:lineRule="auto"/>
        <w:ind w:right="284" w:firstLine="1134"/>
        <w:jc w:val="both"/>
        <w:rPr>
          <w:rFonts w:ascii="Book Antiqua" w:hAnsi="Book Antiqua"/>
        </w:rPr>
      </w:pPr>
      <w:r w:rsidRPr="00EE6061">
        <w:rPr>
          <w:rFonts w:ascii="Book Antiqua" w:hAnsi="Book Antiqua"/>
        </w:rPr>
        <w:t>É por isso que, na literatura, distingue-se entre capacidade em estoque (os recursos, expertise e prerrogativas que cada órgão possui) e capacidade em ação (a mobilização efetiva desses recursos no processo decisório e na implementação)</w:t>
      </w:r>
      <w:r w:rsidRPr="00EE6061">
        <w:rPr>
          <w:rStyle w:val="Refdenotaderodap"/>
          <w:rFonts w:ascii="Book Antiqua" w:hAnsi="Book Antiqua"/>
        </w:rPr>
        <w:footnoteReference w:id="26"/>
      </w:r>
      <w:r w:rsidRPr="00EE6061">
        <w:rPr>
          <w:rFonts w:ascii="Book Antiqua" w:hAnsi="Book Antiqua"/>
        </w:rPr>
        <w:t>.</w:t>
      </w:r>
    </w:p>
    <w:p w14:paraId="302B55CE" w14:textId="77777777" w:rsidR="003D00D8" w:rsidRPr="008002AF" w:rsidRDefault="003D00D8" w:rsidP="003D00D8">
      <w:pPr>
        <w:spacing w:line="276" w:lineRule="auto"/>
        <w:ind w:right="284" w:firstLine="1134"/>
        <w:jc w:val="both"/>
        <w:rPr>
          <w:rFonts w:ascii="Book Antiqua" w:hAnsi="Book Antiqua"/>
        </w:rPr>
      </w:pPr>
      <w:r w:rsidRPr="008002AF">
        <w:rPr>
          <w:rFonts w:ascii="Book Antiqua" w:hAnsi="Book Antiqua"/>
        </w:rPr>
        <w:lastRenderedPageBreak/>
        <w:t xml:space="preserve">No caso do </w:t>
      </w:r>
      <w:proofErr w:type="spellStart"/>
      <w:r w:rsidRPr="008002AF">
        <w:rPr>
          <w:rFonts w:ascii="Book Antiqua" w:hAnsi="Book Antiqua"/>
          <w:i/>
          <w:iCs/>
        </w:rPr>
        <w:t>enforcement</w:t>
      </w:r>
      <w:proofErr w:type="spellEnd"/>
      <w:r w:rsidRPr="008002AF">
        <w:rPr>
          <w:rFonts w:ascii="Book Antiqua" w:hAnsi="Book Antiqua"/>
        </w:rPr>
        <w:t xml:space="preserve"> penal do </w:t>
      </w:r>
      <w:proofErr w:type="spellStart"/>
      <w:r w:rsidRPr="008002AF">
        <w:rPr>
          <w:rFonts w:ascii="Book Antiqua" w:hAnsi="Book Antiqua"/>
          <w:i/>
          <w:iCs/>
        </w:rPr>
        <w:t>insider</w:t>
      </w:r>
      <w:proofErr w:type="spellEnd"/>
      <w:r w:rsidRPr="008002AF">
        <w:rPr>
          <w:rFonts w:ascii="Book Antiqua" w:hAnsi="Book Antiqua"/>
          <w:i/>
          <w:iCs/>
        </w:rPr>
        <w:t xml:space="preserve"> trading</w:t>
      </w:r>
      <w:r w:rsidRPr="008002AF">
        <w:rPr>
          <w:rFonts w:ascii="Book Antiqua" w:hAnsi="Book Antiqua"/>
        </w:rPr>
        <w:t xml:space="preserve">, essa distinção torna-se particularmente reveladora: os estoques existem, mas a ausência de rotinas integradas, a fragilidade dos canais de coordenação e a inexistência de mecanismos de </w:t>
      </w:r>
      <w:r w:rsidRPr="00403B4C">
        <w:rPr>
          <w:rFonts w:ascii="Book Antiqua" w:hAnsi="Book Antiqua"/>
          <w:i/>
          <w:iCs/>
        </w:rPr>
        <w:t>feedback</w:t>
      </w:r>
      <w:r w:rsidRPr="008002AF">
        <w:rPr>
          <w:rFonts w:ascii="Book Antiqua" w:hAnsi="Book Antiqua"/>
        </w:rPr>
        <w:t xml:space="preserve"> interinstitucional fazem com que a maior parte das capacidades permaneça </w:t>
      </w:r>
      <w:proofErr w:type="spellStart"/>
      <w:r w:rsidRPr="008002AF">
        <w:rPr>
          <w:rFonts w:ascii="Book Antiqua" w:hAnsi="Book Antiqua"/>
        </w:rPr>
        <w:t>subativada</w:t>
      </w:r>
      <w:proofErr w:type="spellEnd"/>
      <w:r w:rsidRPr="008002AF">
        <w:rPr>
          <w:rFonts w:ascii="Book Antiqua" w:hAnsi="Book Antiqua"/>
        </w:rPr>
        <w:t>, ou seja, não transformada em ação estatal efetiva.</w:t>
      </w:r>
    </w:p>
    <w:p w14:paraId="09878D3E" w14:textId="77777777" w:rsidR="003D00D8" w:rsidRDefault="003D00D8" w:rsidP="003D00D8">
      <w:pPr>
        <w:spacing w:line="276" w:lineRule="auto"/>
        <w:ind w:right="284" w:firstLine="1134"/>
        <w:jc w:val="both"/>
        <w:rPr>
          <w:rFonts w:ascii="Book Antiqua" w:hAnsi="Book Antiqua"/>
        </w:rPr>
      </w:pPr>
      <w:r w:rsidRPr="008002AF">
        <w:rPr>
          <w:rFonts w:ascii="Book Antiqua" w:hAnsi="Book Antiqua"/>
        </w:rPr>
        <w:t xml:space="preserve">Essa constatação conduz ao conceito analítico seguinte – ativação de capacidades —, que permite explicar como a configuração do arranjo institucional pode viabilizar, bloquear ou distender a passagem do estoque para a ação, produzindo padrões sistemáticos de continuidade ou ruptura ao longo do circuito </w:t>
      </w:r>
      <w:r w:rsidRPr="00BE67D6">
        <w:rPr>
          <w:rFonts w:ascii="Book Antiqua" w:hAnsi="Book Antiqua"/>
        </w:rPr>
        <w:t>CVM → PF → MPF.</w:t>
      </w:r>
    </w:p>
    <w:p w14:paraId="304228FD" w14:textId="77777777" w:rsidR="003D00D8" w:rsidRPr="00BE67D6" w:rsidRDefault="003D00D8" w:rsidP="003D00D8">
      <w:pPr>
        <w:spacing w:line="276" w:lineRule="auto"/>
        <w:ind w:right="284"/>
        <w:jc w:val="both"/>
        <w:rPr>
          <w:rFonts w:ascii="Book Antiqua" w:hAnsi="Book Antiqua"/>
          <w:b/>
          <w:bCs/>
        </w:rPr>
      </w:pPr>
      <w:r w:rsidRPr="00C92669">
        <w:rPr>
          <w:rFonts w:ascii="Book Antiqua" w:hAnsi="Book Antiqua"/>
          <w:b/>
          <w:bCs/>
        </w:rPr>
        <w:t>2.1. Ativação de capacidades.</w:t>
      </w:r>
      <w:r w:rsidRPr="00BE67D6">
        <w:rPr>
          <w:rFonts w:ascii="Book Antiqua" w:hAnsi="Book Antiqua"/>
          <w:b/>
          <w:bCs/>
        </w:rPr>
        <w:t xml:space="preserve"> </w:t>
      </w:r>
    </w:p>
    <w:p w14:paraId="752B44DA" w14:textId="77777777" w:rsidR="003D00D8" w:rsidRPr="00BE67D6" w:rsidRDefault="003D00D8" w:rsidP="003D00D8">
      <w:pPr>
        <w:spacing w:line="276" w:lineRule="auto"/>
        <w:ind w:right="284" w:firstLine="1134"/>
        <w:jc w:val="both"/>
        <w:rPr>
          <w:rFonts w:ascii="Book Antiqua" w:hAnsi="Book Antiqua"/>
        </w:rPr>
      </w:pPr>
      <w:r w:rsidRPr="00BE67D6">
        <w:rPr>
          <w:rFonts w:ascii="Book Antiqua" w:hAnsi="Book Antiqua"/>
        </w:rPr>
        <w:t xml:space="preserve">O conceito de ativação é o componente que introduz dinamismo à análise de capacidades: ele descreve o processo pelo qual recursos e competências existentes – o estoque – são mobilizados e convertidos em ação pública concreta. A noção é decisiva porque desloca a análise do que o Estado </w:t>
      </w:r>
      <w:r w:rsidRPr="00BE67D6">
        <w:rPr>
          <w:rFonts w:ascii="Book Antiqua" w:hAnsi="Book Antiqua"/>
          <w:i/>
          <w:iCs/>
        </w:rPr>
        <w:t>possui</w:t>
      </w:r>
      <w:r w:rsidRPr="00BE67D6">
        <w:rPr>
          <w:rFonts w:ascii="Book Antiqua" w:hAnsi="Book Antiqua"/>
        </w:rPr>
        <w:t xml:space="preserve"> para aquilo que ele </w:t>
      </w:r>
      <w:r w:rsidRPr="00BE67D6">
        <w:rPr>
          <w:rFonts w:ascii="Book Antiqua" w:hAnsi="Book Antiqua"/>
          <w:i/>
          <w:iCs/>
        </w:rPr>
        <w:t>consegue fazer</w:t>
      </w:r>
      <w:r w:rsidRPr="00BE67D6">
        <w:rPr>
          <w:rFonts w:ascii="Book Antiqua" w:hAnsi="Book Antiqua"/>
        </w:rPr>
        <w:t xml:space="preserve">. </w:t>
      </w:r>
    </w:p>
    <w:p w14:paraId="17FD6253" w14:textId="77777777" w:rsidR="003D00D8" w:rsidRPr="00BE67D6" w:rsidRDefault="003D00D8" w:rsidP="003D00D8">
      <w:pPr>
        <w:spacing w:line="276" w:lineRule="auto"/>
        <w:ind w:right="284" w:firstLine="1134"/>
        <w:jc w:val="both"/>
        <w:rPr>
          <w:rFonts w:ascii="Book Antiqua" w:hAnsi="Book Antiqua"/>
        </w:rPr>
      </w:pPr>
      <w:r w:rsidRPr="00BE67D6">
        <w:rPr>
          <w:rFonts w:ascii="Book Antiqua" w:hAnsi="Book Antiqua"/>
        </w:rPr>
        <w:t>A ativação funciona, portanto, como o elo explicativo que transforma dotações existentes em práticas organizadas de implementação, convertendo potencial em ação</w:t>
      </w:r>
      <w:r w:rsidRPr="00BE67D6">
        <w:rPr>
          <w:rStyle w:val="Refdenotaderodap"/>
          <w:rFonts w:ascii="Book Antiqua" w:hAnsi="Book Antiqua"/>
        </w:rPr>
        <w:footnoteReference w:id="27"/>
      </w:r>
      <w:r w:rsidRPr="00BE67D6">
        <w:rPr>
          <w:rFonts w:ascii="Book Antiqua" w:hAnsi="Book Antiqua"/>
        </w:rPr>
        <w:t xml:space="preserve">. </w:t>
      </w:r>
    </w:p>
    <w:p w14:paraId="6EB1B8D5" w14:textId="77777777" w:rsidR="003D00D8" w:rsidRPr="00BE67D6" w:rsidRDefault="003D00D8" w:rsidP="003D00D8">
      <w:pPr>
        <w:spacing w:line="276" w:lineRule="auto"/>
        <w:ind w:right="284" w:firstLine="1134"/>
        <w:jc w:val="both"/>
        <w:rPr>
          <w:rFonts w:ascii="Book Antiqua" w:hAnsi="Book Antiqua"/>
        </w:rPr>
      </w:pPr>
      <w:r w:rsidRPr="00BE67D6">
        <w:rPr>
          <w:rFonts w:ascii="Book Antiqua" w:hAnsi="Book Antiqua"/>
        </w:rPr>
        <w:t xml:space="preserve">A distinção é crucial porque capacidades, enquanto fenômenos latentes, não produzem efeitos por inércia: são condições necessárias, mas insuficientes para o desempenho estatal. </w:t>
      </w:r>
      <w:r>
        <w:rPr>
          <w:rFonts w:ascii="Book Antiqua" w:hAnsi="Book Antiqua"/>
        </w:rPr>
        <w:t>A sua</w:t>
      </w:r>
      <w:r w:rsidRPr="00BE67D6">
        <w:rPr>
          <w:rFonts w:ascii="Book Antiqua" w:hAnsi="Book Antiqua"/>
        </w:rPr>
        <w:t xml:space="preserve"> operação depende de acionamento político e organizacional, isto é, de processos que transformam dotações estáticas em práticas </w:t>
      </w:r>
      <w:r w:rsidRPr="00BE67D6">
        <w:rPr>
          <w:rFonts w:ascii="Book Antiqua" w:hAnsi="Book Antiqua"/>
        </w:rPr>
        <w:lastRenderedPageBreak/>
        <w:t>coordenadas de implementação. Assim, a ativação funciona como o elo causal que explica a passagem do potencial à ação</w:t>
      </w:r>
      <w:r w:rsidRPr="00BE67D6">
        <w:rPr>
          <w:rStyle w:val="Refdenotaderodap"/>
          <w:rFonts w:ascii="Book Antiqua" w:hAnsi="Book Antiqua"/>
        </w:rPr>
        <w:footnoteReference w:id="28"/>
      </w:r>
      <w:r w:rsidRPr="00BE67D6">
        <w:rPr>
          <w:rFonts w:ascii="Book Antiqua" w:hAnsi="Book Antiqua"/>
        </w:rPr>
        <w:t>.</w:t>
      </w:r>
    </w:p>
    <w:p w14:paraId="330CA370" w14:textId="77777777" w:rsidR="003D00D8" w:rsidRPr="00BE67D6" w:rsidRDefault="003D00D8" w:rsidP="003D00D8">
      <w:pPr>
        <w:spacing w:line="276" w:lineRule="auto"/>
        <w:ind w:right="284" w:firstLine="1134"/>
        <w:jc w:val="both"/>
        <w:rPr>
          <w:rFonts w:ascii="Book Antiqua" w:hAnsi="Book Antiqua"/>
        </w:rPr>
      </w:pPr>
      <w:r w:rsidRPr="00BE67D6">
        <w:rPr>
          <w:rFonts w:ascii="Book Antiqua" w:hAnsi="Book Antiqua"/>
        </w:rPr>
        <w:t>Esse processo não se realiza no vazio, mas no interior de arranjos de implementação, que constituem o verdadeiro lócus analítico da (</w:t>
      </w:r>
      <w:proofErr w:type="spellStart"/>
      <w:r w:rsidRPr="00BE67D6">
        <w:rPr>
          <w:rFonts w:ascii="Book Antiqua" w:hAnsi="Book Antiqua"/>
        </w:rPr>
        <w:t>des</w:t>
      </w:r>
      <w:proofErr w:type="spellEnd"/>
      <w:r w:rsidRPr="00BE67D6">
        <w:rPr>
          <w:rFonts w:ascii="Book Antiqua" w:hAnsi="Book Antiqua"/>
        </w:rPr>
        <w:t xml:space="preserve">)ativação de capacidades. Os arranjos estruturam a interação entre atores, definem que instrumentos são mobilizados e estabelecem as condições sob as quais capacidades são extraídas, ampliadas ou bloqueadas. </w:t>
      </w:r>
    </w:p>
    <w:p w14:paraId="06E6D46F" w14:textId="77777777" w:rsidR="003D00D8" w:rsidRPr="00BE67D6" w:rsidRDefault="003D00D8" w:rsidP="003D00D8">
      <w:pPr>
        <w:spacing w:line="276" w:lineRule="auto"/>
        <w:ind w:right="284" w:firstLine="1134"/>
        <w:jc w:val="both"/>
        <w:rPr>
          <w:rFonts w:ascii="Book Antiqua" w:hAnsi="Book Antiqua"/>
        </w:rPr>
      </w:pPr>
      <w:r w:rsidRPr="00BE67D6">
        <w:rPr>
          <w:rFonts w:ascii="Book Antiqua" w:hAnsi="Book Antiqua"/>
        </w:rPr>
        <w:t>Ao organizar papéis, distribuir recursos e modular formas de articulação, o arranjo opera como um mecanismo causal que condiciona a performance da política. É a dinâmica relacional dentro desses arranjos que permite extrair o potencial latente das dotações existentes ou produzir capacidades emergentes a partir da própria articulação institucional</w:t>
      </w:r>
      <w:r w:rsidRPr="00BE67D6">
        <w:rPr>
          <w:rStyle w:val="Refdenotaderodap"/>
          <w:rFonts w:ascii="Book Antiqua" w:hAnsi="Book Antiqua"/>
        </w:rPr>
        <w:footnoteReference w:id="29"/>
      </w:r>
    </w:p>
    <w:p w14:paraId="60706A82" w14:textId="77777777" w:rsidR="003D00D8" w:rsidRPr="00BE67D6" w:rsidRDefault="003D00D8" w:rsidP="003D00D8">
      <w:pPr>
        <w:spacing w:line="276" w:lineRule="auto"/>
        <w:ind w:right="284" w:firstLine="1134"/>
        <w:jc w:val="both"/>
        <w:rPr>
          <w:rFonts w:ascii="Book Antiqua" w:hAnsi="Book Antiqua"/>
        </w:rPr>
      </w:pPr>
      <w:r w:rsidRPr="00BE67D6">
        <w:rPr>
          <w:rFonts w:ascii="Book Antiqua" w:hAnsi="Book Antiqua"/>
        </w:rPr>
        <w:t>A ativação, porém, é contingente: não decorre automaticamente da existência de recursos, mas emerge de interações situadas marcadas por incentivos, conflitos, assimetrias e prioridades institucionais. Arranjos robustos podem compensar estoques modestos; arranjos frágeis, ao contrário, podem neutralizar capacidades relevantes e mantê-las em estado de latência.</w:t>
      </w:r>
    </w:p>
    <w:p w14:paraId="53B2E24E" w14:textId="77777777" w:rsidR="003D00D8" w:rsidRPr="00BE67D6" w:rsidRDefault="003D00D8" w:rsidP="003D00D8">
      <w:pPr>
        <w:spacing w:line="276" w:lineRule="auto"/>
        <w:ind w:right="284" w:firstLine="1134"/>
        <w:jc w:val="both"/>
        <w:rPr>
          <w:rFonts w:ascii="Book Antiqua" w:hAnsi="Book Antiqua"/>
        </w:rPr>
      </w:pPr>
      <w:r w:rsidRPr="00BE67D6">
        <w:rPr>
          <w:rFonts w:ascii="Book Antiqua" w:hAnsi="Book Antiqua"/>
        </w:rPr>
        <w:t xml:space="preserve">Os arranjos, portanto, não constituem uma etapa separada, mas o ambiente causal que possibilita a ativação – o espaço em que capacidades são extraídas, combinadas, ampliadas ou bloqueadas. É ao observar esses arranjos que se torna possível compreender por que determinadas capacidades </w:t>
      </w:r>
      <w:r>
        <w:rPr>
          <w:rFonts w:ascii="Book Antiqua" w:hAnsi="Book Antiqua"/>
        </w:rPr>
        <w:t>ativam-se</w:t>
      </w:r>
      <w:r w:rsidRPr="00BE67D6">
        <w:rPr>
          <w:rFonts w:ascii="Book Antiqua" w:hAnsi="Book Antiqua"/>
        </w:rPr>
        <w:t xml:space="preserve"> enquanto outras permanecem em latência, e como diferentes padrões de interação produzem níveis distintos de desempenho</w:t>
      </w:r>
      <w:r w:rsidRPr="00BE67D6">
        <w:rPr>
          <w:rStyle w:val="Refdenotaderodap"/>
          <w:rFonts w:ascii="Book Antiqua" w:hAnsi="Book Antiqua"/>
        </w:rPr>
        <w:footnoteReference w:id="30"/>
      </w:r>
      <w:r w:rsidRPr="00BE67D6">
        <w:rPr>
          <w:rFonts w:ascii="Book Antiqua" w:hAnsi="Book Antiqua"/>
        </w:rPr>
        <w:t>.</w:t>
      </w:r>
    </w:p>
    <w:p w14:paraId="10A0A574" w14:textId="77777777" w:rsidR="003D00D8" w:rsidRPr="00C330B2" w:rsidRDefault="003D00D8" w:rsidP="003D00D8">
      <w:pPr>
        <w:spacing w:after="0" w:line="276" w:lineRule="auto"/>
        <w:ind w:right="284" w:firstLine="1134"/>
        <w:jc w:val="both"/>
        <w:rPr>
          <w:rFonts w:ascii="Book Antiqua" w:hAnsi="Book Antiqua"/>
        </w:rPr>
      </w:pPr>
      <w:r w:rsidRPr="00C330B2">
        <w:rPr>
          <w:rFonts w:ascii="Book Antiqua" w:hAnsi="Book Antiqua"/>
        </w:rPr>
        <w:t>Nesse sentido, os arranjos funcionam como sistemas de regulação e circulação de energia institucional: quando bem calibrados, geram movimento; quando desajustados, paralisam a política. Três componentes estruturam essa dinâmica:</w:t>
      </w:r>
    </w:p>
    <w:p w14:paraId="7DF801D1" w14:textId="77777777" w:rsidR="003D00D8" w:rsidRPr="00C330B2" w:rsidRDefault="003D00D8" w:rsidP="003D00D8">
      <w:pPr>
        <w:spacing w:after="0" w:line="276" w:lineRule="auto"/>
        <w:ind w:right="284" w:firstLine="1134"/>
        <w:jc w:val="both"/>
        <w:rPr>
          <w:rFonts w:ascii="Book Antiqua" w:hAnsi="Book Antiqua"/>
        </w:rPr>
      </w:pPr>
      <w:r w:rsidRPr="00C330B2">
        <w:rPr>
          <w:rFonts w:ascii="Book Antiqua" w:hAnsi="Book Antiqua"/>
        </w:rPr>
        <w:t>• Atores, que definem papéis, prioridades e modos de interação;</w:t>
      </w:r>
    </w:p>
    <w:p w14:paraId="2E6AB559" w14:textId="77777777" w:rsidR="003D00D8" w:rsidRPr="00C330B2" w:rsidRDefault="003D00D8" w:rsidP="003D00D8">
      <w:pPr>
        <w:spacing w:after="0" w:line="276" w:lineRule="auto"/>
        <w:ind w:right="284" w:firstLine="1134"/>
        <w:jc w:val="both"/>
        <w:rPr>
          <w:rFonts w:ascii="Book Antiqua" w:hAnsi="Book Antiqua"/>
        </w:rPr>
      </w:pPr>
      <w:r w:rsidRPr="00C330B2">
        <w:rPr>
          <w:rFonts w:ascii="Book Antiqua" w:hAnsi="Book Antiqua"/>
        </w:rPr>
        <w:t>• Recursos mobilizados, que incluem meios humanos, técnicos, organizacionais e legais efetivamente postos em uso;</w:t>
      </w:r>
    </w:p>
    <w:p w14:paraId="4EBBEC13" w14:textId="77777777" w:rsidR="003D00D8" w:rsidRPr="00C330B2" w:rsidRDefault="003D00D8" w:rsidP="003D00D8">
      <w:pPr>
        <w:spacing w:after="0" w:line="276" w:lineRule="auto"/>
        <w:ind w:right="284" w:firstLine="1134"/>
        <w:jc w:val="both"/>
        <w:rPr>
          <w:rFonts w:ascii="Book Antiqua" w:hAnsi="Book Antiqua"/>
        </w:rPr>
      </w:pPr>
      <w:r w:rsidRPr="00C330B2">
        <w:rPr>
          <w:rFonts w:ascii="Book Antiqua" w:hAnsi="Book Antiqua"/>
        </w:rPr>
        <w:lastRenderedPageBreak/>
        <w:t>• Instrumentos, isto é, os métodos de ação coletiva que estruturam a resposta ao problema público e condicionam os resultados possíveis</w:t>
      </w:r>
      <w:r w:rsidRPr="00C330B2">
        <w:rPr>
          <w:rStyle w:val="Refdenotaderodap"/>
          <w:rFonts w:ascii="Book Antiqua" w:hAnsi="Book Antiqua"/>
        </w:rPr>
        <w:footnoteReference w:id="31"/>
      </w:r>
      <w:r w:rsidRPr="00C330B2">
        <w:rPr>
          <w:rFonts w:ascii="Book Antiqua" w:hAnsi="Book Antiqua"/>
        </w:rPr>
        <w:t>.</w:t>
      </w:r>
    </w:p>
    <w:p w14:paraId="1A5C7F74" w14:textId="77777777" w:rsidR="003D00D8" w:rsidRPr="00C330B2" w:rsidRDefault="003D00D8" w:rsidP="003D00D8">
      <w:pPr>
        <w:spacing w:after="0" w:line="276" w:lineRule="auto"/>
        <w:ind w:right="284" w:firstLine="1134"/>
        <w:jc w:val="both"/>
        <w:rPr>
          <w:rFonts w:ascii="Book Antiqua" w:hAnsi="Book Antiqua"/>
        </w:rPr>
      </w:pPr>
    </w:p>
    <w:p w14:paraId="699243DA" w14:textId="77777777" w:rsidR="003D00D8" w:rsidRPr="00C330B2" w:rsidRDefault="003D00D8" w:rsidP="003D00D8">
      <w:pPr>
        <w:spacing w:line="276" w:lineRule="auto"/>
        <w:ind w:right="284" w:firstLine="1134"/>
        <w:jc w:val="both"/>
        <w:rPr>
          <w:rFonts w:ascii="Book Antiqua" w:hAnsi="Book Antiqua"/>
        </w:rPr>
      </w:pPr>
      <w:r w:rsidRPr="00C330B2">
        <w:rPr>
          <w:rFonts w:ascii="Book Antiqua" w:hAnsi="Book Antiqua"/>
        </w:rPr>
        <w:t xml:space="preserve">A ativação depende da combinação situada desses três elementos. Arranjos podem acionar predominantemente capacidades técnico-administrativas (voltadas à eficiência, coordenação e produção de </w:t>
      </w:r>
      <w:r w:rsidRPr="00F8335A">
        <w:rPr>
          <w:rFonts w:ascii="Book Antiqua" w:hAnsi="Book Antiqua"/>
          <w:i/>
          <w:iCs/>
        </w:rPr>
        <w:t>outputs</w:t>
      </w:r>
      <w:r w:rsidRPr="00C330B2">
        <w:rPr>
          <w:rFonts w:ascii="Book Antiqua" w:hAnsi="Book Antiqua"/>
        </w:rPr>
        <w:t>) ou capacidades político-relacionais (voltadas à interação, legitimação e adaptabilidade).</w:t>
      </w:r>
    </w:p>
    <w:p w14:paraId="2B4203AC" w14:textId="77777777" w:rsidR="003D00D8" w:rsidRPr="00C330B2" w:rsidRDefault="003D00D8" w:rsidP="003D00D8">
      <w:pPr>
        <w:spacing w:line="276" w:lineRule="auto"/>
        <w:ind w:right="284" w:firstLine="1134"/>
        <w:jc w:val="both"/>
        <w:rPr>
          <w:rFonts w:ascii="Book Antiqua" w:hAnsi="Book Antiqua"/>
        </w:rPr>
      </w:pPr>
      <w:r w:rsidRPr="00C330B2">
        <w:rPr>
          <w:rFonts w:ascii="Book Antiqua" w:hAnsi="Book Antiqua"/>
        </w:rPr>
        <w:t xml:space="preserve"> No </w:t>
      </w:r>
      <w:proofErr w:type="spellStart"/>
      <w:r w:rsidRPr="00C330B2">
        <w:rPr>
          <w:rFonts w:ascii="Book Antiqua" w:hAnsi="Book Antiqua"/>
          <w:i/>
          <w:iCs/>
        </w:rPr>
        <w:t>insider</w:t>
      </w:r>
      <w:proofErr w:type="spellEnd"/>
      <w:r w:rsidRPr="00C330B2">
        <w:rPr>
          <w:rFonts w:ascii="Book Antiqua" w:hAnsi="Book Antiqua"/>
          <w:i/>
          <w:iCs/>
        </w:rPr>
        <w:t xml:space="preserve"> trading</w:t>
      </w:r>
      <w:r w:rsidRPr="00C330B2">
        <w:rPr>
          <w:rFonts w:ascii="Book Antiqua" w:hAnsi="Book Antiqua"/>
        </w:rPr>
        <w:t xml:space="preserve">, a hipótese não é de ausência de capacidades, mas de falha diferenciada e assincrônica de ativação. Ou seja, ambas as dimensões falham.  </w:t>
      </w:r>
    </w:p>
    <w:p w14:paraId="1E93B288" w14:textId="77777777" w:rsidR="003D00D8" w:rsidRPr="00C330B2" w:rsidRDefault="003D00D8" w:rsidP="003D00D8">
      <w:pPr>
        <w:spacing w:line="276" w:lineRule="auto"/>
        <w:ind w:right="284" w:firstLine="1134"/>
        <w:jc w:val="both"/>
        <w:rPr>
          <w:rFonts w:ascii="Book Antiqua" w:hAnsi="Book Antiqua"/>
        </w:rPr>
      </w:pPr>
      <w:r w:rsidRPr="00C330B2">
        <w:rPr>
          <w:rFonts w:ascii="Book Antiqua" w:hAnsi="Book Antiqua"/>
        </w:rPr>
        <w:t>Falha não de modo homogêneo, mas falha diferenciada e assincrônica de ativação. As duas dimensões não deixam de operar da mesma forma nem no mesmo momento; ao contrário, cada uma se rompe em pontos distintos do circuito institucional, produzindo um efeito agregado de descontinuidade estrutural.</w:t>
      </w:r>
    </w:p>
    <w:p w14:paraId="2334C51A" w14:textId="77777777" w:rsidR="003D00D8" w:rsidRPr="00C330B2" w:rsidRDefault="003D00D8" w:rsidP="003D00D8">
      <w:pPr>
        <w:spacing w:line="276" w:lineRule="auto"/>
        <w:ind w:right="284" w:firstLine="1134"/>
        <w:jc w:val="both"/>
        <w:rPr>
          <w:rFonts w:ascii="Book Antiqua" w:hAnsi="Book Antiqua"/>
        </w:rPr>
      </w:pPr>
      <w:r w:rsidRPr="00C330B2">
        <w:rPr>
          <w:rFonts w:ascii="Book Antiqua" w:hAnsi="Book Antiqua"/>
        </w:rPr>
        <w:t>A capacidade técnico-administrativa tende a falhar nas etapas iniciais do fluxo, quando a CVM aciona instrumentos de detecção e comunicação sem densidade analítica suficiente, apoiada em rotinas pouco estabilizadas e fluxos que não se integram plenamente ao sistema penal.</w:t>
      </w:r>
    </w:p>
    <w:p w14:paraId="3A7A4B0A" w14:textId="77777777" w:rsidR="003D00D8" w:rsidRPr="00C330B2" w:rsidRDefault="003D00D8" w:rsidP="003D00D8">
      <w:pPr>
        <w:spacing w:line="276" w:lineRule="auto"/>
        <w:ind w:right="284" w:firstLine="1134"/>
        <w:jc w:val="both"/>
        <w:rPr>
          <w:rFonts w:ascii="Book Antiqua" w:hAnsi="Book Antiqua"/>
        </w:rPr>
      </w:pPr>
      <w:r w:rsidRPr="00C330B2">
        <w:rPr>
          <w:rFonts w:ascii="Book Antiqua" w:hAnsi="Book Antiqua"/>
        </w:rPr>
        <w:t xml:space="preserve"> Já a capacidade político-relacional se fragiliza nos momentos decisórios, especialmente na transição entre investigação e acusação, quando PF e MPF dependem de incentivos episódicos, janelas de oportunidade ou pressões externas para priorizar o tema. Assim, o problema não reside na ausência de capacidades, mas na incapacidade do arranjo de </w:t>
      </w:r>
      <w:r>
        <w:rPr>
          <w:rFonts w:ascii="Book Antiqua" w:hAnsi="Book Antiqua"/>
        </w:rPr>
        <w:t>sincronizar a sua</w:t>
      </w:r>
      <w:r w:rsidRPr="00C330B2">
        <w:rPr>
          <w:rFonts w:ascii="Book Antiqua" w:hAnsi="Book Antiqua"/>
        </w:rPr>
        <w:t xml:space="preserve"> ativação: cada órgão aciona parte </w:t>
      </w:r>
      <w:r>
        <w:rPr>
          <w:rFonts w:ascii="Book Antiqua" w:hAnsi="Book Antiqua"/>
        </w:rPr>
        <w:t>das suas</w:t>
      </w:r>
      <w:r w:rsidRPr="00C330B2">
        <w:rPr>
          <w:rFonts w:ascii="Book Antiqua" w:hAnsi="Book Antiqua"/>
        </w:rPr>
        <w:t xml:space="preserve"> competências, porém em tempos, intensidades e lógicas que não se encontram.</w:t>
      </w:r>
    </w:p>
    <w:p w14:paraId="009D9B40" w14:textId="77777777" w:rsidR="003D00D8" w:rsidRPr="00C330B2" w:rsidRDefault="003D00D8" w:rsidP="003D00D8">
      <w:pPr>
        <w:spacing w:line="276" w:lineRule="auto"/>
        <w:ind w:right="284" w:firstLine="1134"/>
        <w:jc w:val="both"/>
        <w:rPr>
          <w:rFonts w:ascii="Book Antiqua" w:hAnsi="Book Antiqua"/>
        </w:rPr>
      </w:pPr>
      <w:r w:rsidRPr="00C330B2">
        <w:rPr>
          <w:rFonts w:ascii="Book Antiqua" w:hAnsi="Book Antiqua"/>
        </w:rPr>
        <w:t xml:space="preserve">Essa assincronia da ativação impede que o circuito CVM → PF → MPF opere como fluxo contínuo e funcional, transformando capacidades potencialmente relevantes em capacidades latentes, que não se convertem em resultados. O efeito sistêmico é exatamente o padrão empírico observado: intermitência, opacidade decisória e baixa </w:t>
      </w:r>
      <w:r>
        <w:rPr>
          <w:rFonts w:ascii="Book Antiqua" w:hAnsi="Book Antiqua"/>
        </w:rPr>
        <w:t xml:space="preserve">rastreabilidade de </w:t>
      </w:r>
      <w:r w:rsidRPr="00C330B2">
        <w:rPr>
          <w:rFonts w:ascii="Book Antiqua" w:hAnsi="Book Antiqua"/>
        </w:rPr>
        <w:t>responsabilização penal, apesar da existência formal de instrumentos e burocracias especializados.</w:t>
      </w:r>
    </w:p>
    <w:p w14:paraId="395986D8" w14:textId="77777777" w:rsidR="003D00D8" w:rsidRPr="00C330B2" w:rsidRDefault="003D00D8" w:rsidP="003D00D8">
      <w:pPr>
        <w:spacing w:line="276" w:lineRule="auto"/>
        <w:ind w:right="284" w:firstLine="1134"/>
        <w:jc w:val="both"/>
        <w:rPr>
          <w:rFonts w:ascii="Book Antiqua" w:hAnsi="Book Antiqua"/>
        </w:rPr>
      </w:pPr>
      <w:r w:rsidRPr="00C330B2">
        <w:rPr>
          <w:rFonts w:ascii="Book Antiqua" w:hAnsi="Book Antiqua"/>
        </w:rPr>
        <w:t xml:space="preserve">Esse enquadramento permite explicitar o paradoxo que orienta esta tese. O </w:t>
      </w:r>
      <w:proofErr w:type="spellStart"/>
      <w:r w:rsidRPr="00C330B2">
        <w:rPr>
          <w:rFonts w:ascii="Book Antiqua" w:hAnsi="Book Antiqua"/>
          <w:i/>
          <w:iCs/>
        </w:rPr>
        <w:t>enforcement</w:t>
      </w:r>
      <w:proofErr w:type="spellEnd"/>
      <w:r w:rsidRPr="00C330B2">
        <w:rPr>
          <w:rFonts w:ascii="Book Antiqua" w:hAnsi="Book Antiqua"/>
        </w:rPr>
        <w:t xml:space="preserve"> penal do </w:t>
      </w:r>
      <w:proofErr w:type="spellStart"/>
      <w:r w:rsidRPr="00C330B2">
        <w:rPr>
          <w:rFonts w:ascii="Book Antiqua" w:hAnsi="Book Antiqua"/>
          <w:i/>
          <w:iCs/>
        </w:rPr>
        <w:t>insider</w:t>
      </w:r>
      <w:proofErr w:type="spellEnd"/>
      <w:r w:rsidRPr="00C330B2">
        <w:rPr>
          <w:rFonts w:ascii="Book Antiqua" w:hAnsi="Book Antiqua"/>
          <w:i/>
          <w:iCs/>
        </w:rPr>
        <w:t xml:space="preserve"> trading</w:t>
      </w:r>
      <w:r w:rsidRPr="00C330B2">
        <w:rPr>
          <w:rFonts w:ascii="Book Antiqua" w:hAnsi="Book Antiqua"/>
        </w:rPr>
        <w:t xml:space="preserve"> reúne órgãos dotados de capacidades relevantes – expertise regulatória, prerrogativas investigativas e autonomia acusatória </w:t>
      </w:r>
      <w:r>
        <w:rPr>
          <w:rFonts w:ascii="Book Antiqua" w:hAnsi="Book Antiqua"/>
        </w:rPr>
        <w:t>–,</w:t>
      </w:r>
      <w:r w:rsidRPr="00C330B2">
        <w:rPr>
          <w:rFonts w:ascii="Book Antiqua" w:hAnsi="Book Antiqua"/>
        </w:rPr>
        <w:t xml:space="preserve"> mas os resultados são sistematicamente baixos. </w:t>
      </w:r>
    </w:p>
    <w:p w14:paraId="3A96E6D6" w14:textId="77777777" w:rsidR="003D00D8" w:rsidRPr="00C330B2" w:rsidRDefault="003D00D8" w:rsidP="003D00D8">
      <w:pPr>
        <w:spacing w:line="276" w:lineRule="auto"/>
        <w:ind w:right="284" w:firstLine="1134"/>
        <w:jc w:val="both"/>
        <w:rPr>
          <w:rFonts w:ascii="Book Antiqua" w:hAnsi="Book Antiqua"/>
        </w:rPr>
      </w:pPr>
      <w:r w:rsidRPr="00C330B2">
        <w:rPr>
          <w:rFonts w:ascii="Book Antiqua" w:hAnsi="Book Antiqua"/>
        </w:rPr>
        <w:t xml:space="preserve">Em termos analíticos, trata-se de observar se os mecanismos estruturantes </w:t>
      </w:r>
      <w:r>
        <w:rPr>
          <w:rFonts w:ascii="Book Antiqua" w:hAnsi="Book Antiqua"/>
        </w:rPr>
        <w:t>–</w:t>
      </w:r>
      <w:r w:rsidRPr="00C330B2">
        <w:rPr>
          <w:rFonts w:ascii="Book Antiqua" w:hAnsi="Book Antiqua"/>
        </w:rPr>
        <w:t xml:space="preserve"> ORGA, COOR, MONI, APOLI, PART e CONT – funcionam como engrenagens </w:t>
      </w:r>
      <w:r w:rsidRPr="00C330B2">
        <w:rPr>
          <w:rFonts w:ascii="Book Antiqua" w:hAnsi="Book Antiqua"/>
        </w:rPr>
        <w:lastRenderedPageBreak/>
        <w:t>acopladas ou como peças isoladas, incapazes de gerar continuidade ou retroalimentação.</w:t>
      </w:r>
    </w:p>
    <w:p w14:paraId="4A2260EE" w14:textId="77777777" w:rsidR="003D00D8" w:rsidRPr="00C330B2" w:rsidRDefault="003D00D8" w:rsidP="003D00D8">
      <w:pPr>
        <w:spacing w:line="276" w:lineRule="auto"/>
        <w:ind w:right="284" w:firstLine="1134"/>
        <w:jc w:val="both"/>
        <w:rPr>
          <w:rFonts w:ascii="Book Antiqua" w:hAnsi="Book Antiqua"/>
        </w:rPr>
      </w:pPr>
      <w:r w:rsidRPr="00C330B2">
        <w:rPr>
          <w:rFonts w:ascii="Book Antiqua" w:hAnsi="Book Antiqua"/>
        </w:rPr>
        <w:t xml:space="preserve">Essa distinção é particularmente relevante em políticas que dependem de múltiplos órgãos e decisões sequenciais. Em arranjos desse tipo, a ativação não se realiza quando cada órgão aciona </w:t>
      </w:r>
      <w:r>
        <w:rPr>
          <w:rFonts w:ascii="Book Antiqua" w:hAnsi="Book Antiqua"/>
        </w:rPr>
        <w:t>apenas as suas</w:t>
      </w:r>
      <w:r w:rsidRPr="00C330B2">
        <w:rPr>
          <w:rFonts w:ascii="Book Antiqua" w:hAnsi="Book Antiqua"/>
        </w:rPr>
        <w:t xml:space="preserve"> competências “para dentro”: ela exige que capacidades se encontrem no fluxo, compondo um encadeamento funcional entre detecção, investigação e acusação. </w:t>
      </w:r>
    </w:p>
    <w:p w14:paraId="23ED655A" w14:textId="77777777" w:rsidR="003D00D8" w:rsidRPr="00C330B2" w:rsidRDefault="003D00D8" w:rsidP="003D00D8">
      <w:pPr>
        <w:spacing w:line="276" w:lineRule="auto"/>
        <w:ind w:right="284" w:firstLine="1134"/>
        <w:jc w:val="both"/>
        <w:rPr>
          <w:rFonts w:ascii="Book Antiqua" w:hAnsi="Book Antiqua"/>
        </w:rPr>
      </w:pPr>
      <w:r w:rsidRPr="00C330B2">
        <w:rPr>
          <w:rFonts w:ascii="Book Antiqua" w:hAnsi="Book Antiqua"/>
        </w:rPr>
        <w:t>Por isso, o grau de ativação deixa de ser apenas uma categoria teórica e se converte em critério de diagnóstico institucional: ele permite identificar em que ponto do circuito a continuidade se rompe, qual mecanismo deixou de operar e como essa falha se traduz em resultados empiricamente observáveis.</w:t>
      </w:r>
    </w:p>
    <w:p w14:paraId="6555EDD5" w14:textId="77777777" w:rsidR="003D00D8" w:rsidRPr="00051868" w:rsidRDefault="003D00D8" w:rsidP="003D00D8">
      <w:pPr>
        <w:spacing w:line="276" w:lineRule="auto"/>
        <w:ind w:right="284"/>
        <w:jc w:val="both"/>
        <w:rPr>
          <w:rFonts w:ascii="Book Antiqua" w:hAnsi="Book Antiqua"/>
          <w:b/>
          <w:bCs/>
        </w:rPr>
      </w:pPr>
      <w:r>
        <w:rPr>
          <w:rFonts w:ascii="Book Antiqua" w:hAnsi="Book Antiqua"/>
          <w:b/>
          <w:bCs/>
        </w:rPr>
        <w:t>3</w:t>
      </w:r>
      <w:r w:rsidRPr="00051868">
        <w:rPr>
          <w:rFonts w:ascii="Book Antiqua" w:hAnsi="Book Antiqua"/>
          <w:b/>
          <w:bCs/>
        </w:rPr>
        <w:t xml:space="preserve">.2. Grau de ativação das capacidades no </w:t>
      </w:r>
      <w:proofErr w:type="spellStart"/>
      <w:r w:rsidRPr="00051868">
        <w:rPr>
          <w:rFonts w:ascii="Book Antiqua" w:hAnsi="Book Antiqua"/>
          <w:b/>
          <w:bCs/>
          <w:i/>
          <w:iCs/>
        </w:rPr>
        <w:t>enforcement</w:t>
      </w:r>
      <w:proofErr w:type="spellEnd"/>
      <w:r w:rsidRPr="00051868">
        <w:rPr>
          <w:rFonts w:ascii="Book Antiqua" w:hAnsi="Book Antiqua"/>
          <w:b/>
          <w:bCs/>
        </w:rPr>
        <w:t xml:space="preserve"> penal do </w:t>
      </w:r>
      <w:proofErr w:type="spellStart"/>
      <w:r w:rsidRPr="00051868">
        <w:rPr>
          <w:rFonts w:ascii="Book Antiqua" w:hAnsi="Book Antiqua"/>
          <w:b/>
          <w:bCs/>
          <w:i/>
          <w:iCs/>
        </w:rPr>
        <w:t>insider</w:t>
      </w:r>
      <w:proofErr w:type="spellEnd"/>
      <w:r w:rsidRPr="00051868">
        <w:rPr>
          <w:rFonts w:ascii="Book Antiqua" w:hAnsi="Book Antiqua"/>
          <w:b/>
          <w:bCs/>
          <w:i/>
          <w:iCs/>
        </w:rPr>
        <w:t xml:space="preserve"> trading. </w:t>
      </w:r>
    </w:p>
    <w:p w14:paraId="2C91F0CD" w14:textId="77777777" w:rsidR="003D00D8" w:rsidRPr="00051868" w:rsidRDefault="003D00D8" w:rsidP="003D00D8">
      <w:pPr>
        <w:spacing w:line="276" w:lineRule="auto"/>
        <w:ind w:right="284" w:firstLine="1134"/>
        <w:jc w:val="both"/>
        <w:rPr>
          <w:rFonts w:ascii="Book Antiqua" w:hAnsi="Book Antiqua"/>
        </w:rPr>
      </w:pPr>
      <w:r w:rsidRPr="00051868">
        <w:rPr>
          <w:rFonts w:ascii="Book Antiqua" w:hAnsi="Book Antiqua"/>
        </w:rPr>
        <w:t xml:space="preserve">Aplicado ao objeto desta tese, o conceito de grau de ativação permite compreender por que o </w:t>
      </w:r>
      <w:proofErr w:type="spellStart"/>
      <w:r w:rsidRPr="00051868">
        <w:rPr>
          <w:rFonts w:ascii="Book Antiqua" w:hAnsi="Book Antiqua"/>
          <w:i/>
          <w:iCs/>
        </w:rPr>
        <w:t>enforcement</w:t>
      </w:r>
      <w:proofErr w:type="spellEnd"/>
      <w:r w:rsidRPr="00051868">
        <w:rPr>
          <w:rFonts w:ascii="Book Antiqua" w:hAnsi="Book Antiqua"/>
        </w:rPr>
        <w:t xml:space="preserve"> penal do </w:t>
      </w:r>
      <w:proofErr w:type="spellStart"/>
      <w:r w:rsidRPr="00051868">
        <w:rPr>
          <w:rFonts w:ascii="Book Antiqua" w:hAnsi="Book Antiqua"/>
          <w:i/>
          <w:iCs/>
        </w:rPr>
        <w:t>insider</w:t>
      </w:r>
      <w:proofErr w:type="spellEnd"/>
      <w:r w:rsidRPr="00051868">
        <w:rPr>
          <w:rFonts w:ascii="Book Antiqua" w:hAnsi="Book Antiqua"/>
          <w:i/>
          <w:iCs/>
        </w:rPr>
        <w:t xml:space="preserve"> trading</w:t>
      </w:r>
      <w:r w:rsidRPr="00051868">
        <w:rPr>
          <w:rFonts w:ascii="Book Antiqua" w:hAnsi="Book Antiqua"/>
        </w:rPr>
        <w:t xml:space="preserve"> – embora sustentado por órgãos dotados de capacidades relevantes – produz tão poucos resultados penais observáveis. </w:t>
      </w:r>
    </w:p>
    <w:p w14:paraId="75CFBBF1" w14:textId="77777777" w:rsidR="003D00D8" w:rsidRPr="00051868" w:rsidRDefault="003D00D8" w:rsidP="003D00D8">
      <w:pPr>
        <w:spacing w:line="276" w:lineRule="auto"/>
        <w:ind w:right="284" w:firstLine="1134"/>
        <w:jc w:val="both"/>
        <w:rPr>
          <w:rFonts w:ascii="Book Antiqua" w:hAnsi="Book Antiqua"/>
        </w:rPr>
      </w:pPr>
      <w:r w:rsidRPr="00051868">
        <w:rPr>
          <w:rFonts w:ascii="Book Antiqua" w:hAnsi="Book Antiqua"/>
        </w:rPr>
        <w:t xml:space="preserve">Nesse enquadramento, a questão central deixa de ser se CVM, PF e MPF possuem capacidades e passa a ser em que grau tais capacidades são ativadas pelo arranjo que os conecta. </w:t>
      </w:r>
    </w:p>
    <w:p w14:paraId="3D69F3BA" w14:textId="77777777" w:rsidR="003D00D8" w:rsidRPr="00817278" w:rsidRDefault="003D00D8" w:rsidP="003D00D8">
      <w:pPr>
        <w:spacing w:line="276" w:lineRule="auto"/>
        <w:ind w:right="284" w:firstLine="1134"/>
        <w:jc w:val="both"/>
        <w:rPr>
          <w:rFonts w:ascii="Book Antiqua" w:hAnsi="Book Antiqua"/>
        </w:rPr>
      </w:pPr>
      <w:r w:rsidRPr="00817278">
        <w:rPr>
          <w:rFonts w:ascii="Book Antiqua" w:hAnsi="Book Antiqua"/>
        </w:rPr>
        <w:t>A literatura é clara ao indicar que o que define os resultados é como o arranjo organiza fluxos, distribui papéis, aciona instrumentos e estabiliza interações</w:t>
      </w:r>
      <w:r w:rsidRPr="00817278">
        <w:rPr>
          <w:rStyle w:val="Refdenotaderodap"/>
          <w:rFonts w:ascii="Book Antiqua" w:hAnsi="Book Antiqua"/>
        </w:rPr>
        <w:footnoteReference w:id="32"/>
      </w:r>
      <w:r w:rsidRPr="00817278">
        <w:rPr>
          <w:rFonts w:ascii="Book Antiqua" w:hAnsi="Book Antiqua"/>
        </w:rPr>
        <w:t>. É justamente essa lógica relacional que explica o descompasso empírico observado: embora a CVM produza detecções (ainda que dispersas em comunicações múltiplas), a PF instaure e relate inquéritos, e o MPF detenha autonomia decisória, o circuito não produz, de modo sistemático, denúncias penais</w:t>
      </w:r>
      <w:r>
        <w:rPr>
          <w:rFonts w:ascii="Book Antiqua" w:hAnsi="Book Antiqua"/>
        </w:rPr>
        <w:t xml:space="preserve"> (rastreáveis)</w:t>
      </w:r>
      <w:r w:rsidRPr="00817278">
        <w:rPr>
          <w:rFonts w:ascii="Book Antiqua" w:hAnsi="Book Antiqua"/>
        </w:rPr>
        <w:t xml:space="preserve">. </w:t>
      </w:r>
    </w:p>
    <w:p w14:paraId="24B8050F" w14:textId="77777777" w:rsidR="003D00D8" w:rsidRPr="00817278" w:rsidRDefault="003D00D8" w:rsidP="003D00D8">
      <w:pPr>
        <w:spacing w:line="276" w:lineRule="auto"/>
        <w:ind w:right="284" w:firstLine="1134"/>
        <w:jc w:val="both"/>
        <w:rPr>
          <w:rFonts w:ascii="Book Antiqua" w:hAnsi="Book Antiqua"/>
        </w:rPr>
      </w:pPr>
      <w:r w:rsidRPr="00817278">
        <w:rPr>
          <w:rFonts w:ascii="Book Antiqua" w:hAnsi="Book Antiqua"/>
        </w:rPr>
        <w:t>A mensuração do grau de ativação, conforme a literatura</w:t>
      </w:r>
      <w:r>
        <w:rPr>
          <w:rStyle w:val="Refdenotaderodap"/>
          <w:rFonts w:ascii="Book Antiqua" w:hAnsi="Book Antiqua"/>
        </w:rPr>
        <w:footnoteReference w:id="33"/>
      </w:r>
      <w:r w:rsidRPr="00817278">
        <w:rPr>
          <w:rFonts w:ascii="Book Antiqua" w:hAnsi="Book Antiqua"/>
        </w:rPr>
        <w:t xml:space="preserve">, opera em duas dimensões que dialogam diretamente com o </w:t>
      </w:r>
      <w:proofErr w:type="spellStart"/>
      <w:r w:rsidRPr="00817278">
        <w:rPr>
          <w:rFonts w:ascii="Book Antiqua" w:hAnsi="Book Antiqua"/>
          <w:i/>
          <w:iCs/>
        </w:rPr>
        <w:t>enforcement</w:t>
      </w:r>
      <w:proofErr w:type="spellEnd"/>
      <w:r w:rsidRPr="00817278">
        <w:rPr>
          <w:rFonts w:ascii="Book Antiqua" w:hAnsi="Book Antiqua"/>
        </w:rPr>
        <w:t xml:space="preserve"> do </w:t>
      </w:r>
      <w:proofErr w:type="spellStart"/>
      <w:r w:rsidRPr="00996129">
        <w:rPr>
          <w:rFonts w:ascii="Book Antiqua" w:hAnsi="Book Antiqua"/>
          <w:i/>
          <w:iCs/>
        </w:rPr>
        <w:t>insider</w:t>
      </w:r>
      <w:proofErr w:type="spellEnd"/>
      <w:r w:rsidRPr="00996129">
        <w:rPr>
          <w:rFonts w:ascii="Book Antiqua" w:hAnsi="Book Antiqua"/>
          <w:i/>
          <w:iCs/>
        </w:rPr>
        <w:t xml:space="preserve"> trading</w:t>
      </w:r>
      <w:r w:rsidRPr="00817278">
        <w:rPr>
          <w:rFonts w:ascii="Book Antiqua" w:hAnsi="Book Antiqua"/>
        </w:rPr>
        <w:t>.</w:t>
      </w:r>
    </w:p>
    <w:p w14:paraId="42A6C5CC" w14:textId="77777777" w:rsidR="003D00D8" w:rsidRPr="00996129" w:rsidRDefault="003D00D8" w:rsidP="003D00D8">
      <w:pPr>
        <w:spacing w:line="276" w:lineRule="auto"/>
        <w:ind w:right="284" w:firstLine="1134"/>
        <w:jc w:val="both"/>
        <w:rPr>
          <w:rFonts w:ascii="Book Antiqua" w:hAnsi="Book Antiqua"/>
          <w:b/>
          <w:bCs/>
        </w:rPr>
      </w:pPr>
      <w:r w:rsidRPr="00996129">
        <w:rPr>
          <w:rFonts w:ascii="Book Antiqua" w:hAnsi="Book Antiqua"/>
          <w:b/>
          <w:bCs/>
        </w:rPr>
        <w:t>1. Entrega de produtos (</w:t>
      </w:r>
      <w:r w:rsidRPr="00996129">
        <w:rPr>
          <w:rFonts w:ascii="Book Antiqua" w:hAnsi="Book Antiqua"/>
          <w:b/>
          <w:bCs/>
          <w:i/>
          <w:iCs/>
        </w:rPr>
        <w:t>outputs</w:t>
      </w:r>
      <w:r w:rsidRPr="00996129">
        <w:rPr>
          <w:rFonts w:ascii="Book Antiqua" w:hAnsi="Book Antiqua"/>
          <w:b/>
          <w:bCs/>
        </w:rPr>
        <w:t>) ao longo do circuito</w:t>
      </w:r>
    </w:p>
    <w:p w14:paraId="12FF098A" w14:textId="77777777" w:rsidR="003D00D8" w:rsidRDefault="003D00D8" w:rsidP="003D00D8">
      <w:pPr>
        <w:spacing w:line="276" w:lineRule="auto"/>
        <w:ind w:right="284" w:firstLine="1134"/>
        <w:jc w:val="both"/>
        <w:rPr>
          <w:rFonts w:ascii="Book Antiqua" w:hAnsi="Book Antiqua"/>
        </w:rPr>
      </w:pPr>
      <w:proofErr w:type="gramStart"/>
      <w:r w:rsidRPr="00FC13CB">
        <w:rPr>
          <w:rFonts w:ascii="Book Antiqua" w:hAnsi="Book Antiqua"/>
        </w:rPr>
        <w:t>Um alto grau de</w:t>
      </w:r>
      <w:proofErr w:type="gramEnd"/>
      <w:r w:rsidRPr="00FC13CB">
        <w:rPr>
          <w:rFonts w:ascii="Book Antiqua" w:hAnsi="Book Antiqua"/>
        </w:rPr>
        <w:t xml:space="preserve"> ativação das capacidades técnico-administrativas deveria se manifestar pela conversão consistente das etapas do circuito: detecção (CVM) → investigação (PF) → denúncia (MPF). </w:t>
      </w:r>
    </w:p>
    <w:p w14:paraId="5D1DB239" w14:textId="77777777" w:rsidR="003D00D8" w:rsidRPr="00FC13CB" w:rsidRDefault="003D00D8" w:rsidP="003D00D8">
      <w:pPr>
        <w:spacing w:line="276" w:lineRule="auto"/>
        <w:ind w:right="284" w:firstLine="1134"/>
        <w:jc w:val="both"/>
        <w:rPr>
          <w:rFonts w:ascii="Book Antiqua" w:hAnsi="Book Antiqua"/>
        </w:rPr>
      </w:pPr>
      <w:r w:rsidRPr="00FC13CB">
        <w:rPr>
          <w:rFonts w:ascii="Book Antiqua" w:hAnsi="Book Antiqua"/>
        </w:rPr>
        <w:lastRenderedPageBreak/>
        <w:t>Nos termos de Pires e Gomide</w:t>
      </w:r>
      <w:r w:rsidRPr="00FC13CB">
        <w:rPr>
          <w:rStyle w:val="Refdenotaderodap"/>
          <w:rFonts w:ascii="Book Antiqua" w:hAnsi="Book Antiqua"/>
        </w:rPr>
        <w:footnoteReference w:id="34"/>
      </w:r>
      <w:r w:rsidRPr="00FC13CB">
        <w:rPr>
          <w:rFonts w:ascii="Book Antiqua" w:hAnsi="Book Antiqua"/>
        </w:rPr>
        <w:t>, essa conversão depende da presença simultânea de três mecanismos — ORGA, COOR e MONI — operando de forma articulada. O que se observa, porém, é um circuito que “começa”, mas não “se completa”.</w:t>
      </w:r>
    </w:p>
    <w:p w14:paraId="574B0C4C" w14:textId="77777777" w:rsidR="003D00D8" w:rsidRDefault="003D00D8" w:rsidP="003D00D8">
      <w:pPr>
        <w:spacing w:line="276" w:lineRule="auto"/>
        <w:ind w:right="284" w:firstLine="1134"/>
        <w:jc w:val="both"/>
        <w:rPr>
          <w:rFonts w:ascii="Book Antiqua" w:hAnsi="Book Antiqua"/>
        </w:rPr>
      </w:pPr>
      <w:r w:rsidRPr="00FC13CB">
        <w:rPr>
          <w:rFonts w:ascii="Book Antiqua" w:hAnsi="Book Antiqua"/>
        </w:rPr>
        <w:t xml:space="preserve">Na CVM, encarregada da detecção, o contraste é evidente: há expertise técnica consolidada, sistemas de monitoramento e uma estrutura burocrática especializada. Mas esses recursos não se convertem em produtos acionáveis para o sistema penal. </w:t>
      </w:r>
    </w:p>
    <w:p w14:paraId="7523A668" w14:textId="77777777" w:rsidR="003D00D8" w:rsidRDefault="003D00D8" w:rsidP="003D00D8">
      <w:pPr>
        <w:spacing w:line="276" w:lineRule="auto"/>
        <w:ind w:right="284" w:firstLine="1134"/>
        <w:jc w:val="both"/>
        <w:rPr>
          <w:rFonts w:ascii="Book Antiqua" w:hAnsi="Book Antiqua"/>
        </w:rPr>
      </w:pPr>
      <w:r w:rsidRPr="00FC13CB">
        <w:rPr>
          <w:rFonts w:ascii="Book Antiqua" w:hAnsi="Book Antiqua"/>
        </w:rPr>
        <w:t xml:space="preserve">As comunicações enviadas ao MPF chegam com baixa densidade probatória, são remetidas prematuramente </w:t>
      </w:r>
      <w:r>
        <w:rPr>
          <w:rFonts w:ascii="Book Antiqua" w:hAnsi="Book Antiqua"/>
        </w:rPr>
        <w:t>–</w:t>
      </w:r>
      <w:r w:rsidRPr="00FC13CB">
        <w:rPr>
          <w:rFonts w:ascii="Book Antiqua" w:hAnsi="Book Antiqua"/>
        </w:rPr>
        <w:t xml:space="preserve"> ainda no início dos Processos Administrativos Sancionadores </w:t>
      </w:r>
      <w:r>
        <w:rPr>
          <w:rFonts w:ascii="Book Antiqua" w:hAnsi="Book Antiqua"/>
        </w:rPr>
        <w:t>–</w:t>
      </w:r>
      <w:r w:rsidRPr="00FC13CB">
        <w:rPr>
          <w:rFonts w:ascii="Book Antiqua" w:hAnsi="Book Antiqua"/>
        </w:rPr>
        <w:t xml:space="preserve"> e o </w:t>
      </w:r>
      <w:proofErr w:type="spellStart"/>
      <w:r w:rsidRPr="00FC13CB">
        <w:rPr>
          <w:rFonts w:ascii="Book Antiqua" w:hAnsi="Book Antiqua"/>
          <w:i/>
          <w:iCs/>
        </w:rPr>
        <w:t>insider</w:t>
      </w:r>
      <w:proofErr w:type="spellEnd"/>
      <w:r w:rsidRPr="00FC13CB">
        <w:rPr>
          <w:rFonts w:ascii="Book Antiqua" w:hAnsi="Book Antiqua"/>
          <w:i/>
          <w:iCs/>
        </w:rPr>
        <w:t xml:space="preserve"> trading</w:t>
      </w:r>
      <w:r w:rsidRPr="00FC13CB">
        <w:rPr>
          <w:rFonts w:ascii="Book Antiqua" w:hAnsi="Book Antiqua"/>
        </w:rPr>
        <w:t xml:space="preserve"> permanece praticamente invisível na agenda regulatória</w:t>
      </w:r>
      <w:r>
        <w:rPr>
          <w:rStyle w:val="Refdenotaderodap"/>
          <w:rFonts w:ascii="Book Antiqua" w:hAnsi="Book Antiqua"/>
        </w:rPr>
        <w:footnoteReference w:id="35"/>
      </w:r>
      <w:r w:rsidRPr="00FC13CB">
        <w:rPr>
          <w:rFonts w:ascii="Book Antiqua" w:hAnsi="Book Antiqua"/>
        </w:rPr>
        <w:t>.</w:t>
      </w:r>
    </w:p>
    <w:p w14:paraId="73B3EC13" w14:textId="77777777" w:rsidR="003D00D8" w:rsidRPr="00FC13CB" w:rsidRDefault="003D00D8" w:rsidP="003D00D8">
      <w:pPr>
        <w:spacing w:line="276" w:lineRule="auto"/>
        <w:ind w:right="284" w:firstLine="1134"/>
        <w:jc w:val="both"/>
        <w:rPr>
          <w:rFonts w:ascii="Book Antiqua" w:hAnsi="Book Antiqua"/>
        </w:rPr>
      </w:pPr>
      <w:r w:rsidRPr="00FC13CB">
        <w:rPr>
          <w:rFonts w:ascii="Book Antiqua" w:hAnsi="Book Antiqua"/>
        </w:rPr>
        <w:t xml:space="preserve"> O estoque existe</w:t>
      </w:r>
      <w:r>
        <w:rPr>
          <w:rFonts w:ascii="Book Antiqua" w:hAnsi="Book Antiqua"/>
        </w:rPr>
        <w:t>,</w:t>
      </w:r>
      <w:r w:rsidRPr="00FC13CB">
        <w:rPr>
          <w:rFonts w:ascii="Book Antiqua" w:hAnsi="Book Antiqua"/>
        </w:rPr>
        <w:t xml:space="preserve"> o problema é a ativação. Trata-se de uma falha técnico-administrativa (falta de integração, padronização e densidade analítica) somada a uma falha político-relacional (ausência de prioridade institucional e de legitimação do tema).</w:t>
      </w:r>
    </w:p>
    <w:p w14:paraId="58747E53" w14:textId="77777777" w:rsidR="003D00D8" w:rsidRDefault="003D00D8" w:rsidP="003D00D8">
      <w:pPr>
        <w:spacing w:line="276" w:lineRule="auto"/>
        <w:ind w:right="284" w:firstLine="1134"/>
        <w:jc w:val="both"/>
        <w:rPr>
          <w:rFonts w:ascii="Book Antiqua" w:hAnsi="Book Antiqua"/>
        </w:rPr>
      </w:pPr>
      <w:r w:rsidRPr="00FC13CB">
        <w:rPr>
          <w:rFonts w:ascii="Book Antiqua" w:hAnsi="Book Antiqua"/>
        </w:rPr>
        <w:t xml:space="preserve">Na Polícia Federal, responsável pela investigação, o quadro é diferente, mas complementar. A PF tem </w:t>
      </w:r>
      <w:proofErr w:type="spellStart"/>
      <w:r w:rsidRPr="00FC13CB">
        <w:rPr>
          <w:rFonts w:ascii="Book Antiqua" w:hAnsi="Book Antiqua"/>
        </w:rPr>
        <w:t>DELECORs</w:t>
      </w:r>
      <w:proofErr w:type="spellEnd"/>
      <w:r w:rsidRPr="00FC13CB">
        <w:rPr>
          <w:rFonts w:ascii="Book Antiqua" w:hAnsi="Book Antiqua"/>
        </w:rPr>
        <w:t xml:space="preserve"> especializadas, aparato pericial robusto e inserção consolidada no ecossistema dos crimes econômicos; contudo, o </w:t>
      </w:r>
      <w:proofErr w:type="spellStart"/>
      <w:r w:rsidRPr="00FC13CB">
        <w:rPr>
          <w:rFonts w:ascii="Book Antiqua" w:hAnsi="Book Antiqua"/>
          <w:i/>
          <w:iCs/>
        </w:rPr>
        <w:t>insider</w:t>
      </w:r>
      <w:proofErr w:type="spellEnd"/>
      <w:r w:rsidRPr="00FC13CB">
        <w:rPr>
          <w:rFonts w:ascii="Book Antiqua" w:hAnsi="Book Antiqua"/>
          <w:i/>
          <w:iCs/>
        </w:rPr>
        <w:t xml:space="preserve"> trading</w:t>
      </w:r>
      <w:r w:rsidRPr="00FC13CB">
        <w:rPr>
          <w:rFonts w:ascii="Book Antiqua" w:hAnsi="Book Antiqua"/>
        </w:rPr>
        <w:t xml:space="preserve"> ocupa um lugar residual. </w:t>
      </w:r>
    </w:p>
    <w:p w14:paraId="081F25E0" w14:textId="77777777" w:rsidR="003D00D8" w:rsidRDefault="003D00D8" w:rsidP="003D00D8">
      <w:pPr>
        <w:spacing w:line="276" w:lineRule="auto"/>
        <w:ind w:right="284" w:firstLine="1134"/>
        <w:jc w:val="both"/>
        <w:rPr>
          <w:rFonts w:ascii="Book Antiqua" w:hAnsi="Book Antiqua"/>
        </w:rPr>
      </w:pPr>
      <w:r w:rsidRPr="00FC13CB">
        <w:rPr>
          <w:rFonts w:ascii="Book Antiqua" w:hAnsi="Book Antiqua"/>
        </w:rPr>
        <w:t xml:space="preserve">A instituição reage mais do que age: as operações surgem quase exclusivamente em contextos de grande repercussão midiática </w:t>
      </w:r>
      <w:r>
        <w:rPr>
          <w:rFonts w:ascii="Book Antiqua" w:hAnsi="Book Antiqua"/>
        </w:rPr>
        <w:t xml:space="preserve"> -</w:t>
      </w:r>
      <w:r w:rsidRPr="00FC13CB">
        <w:rPr>
          <w:rFonts w:ascii="Book Antiqua" w:hAnsi="Book Antiqua"/>
        </w:rPr>
        <w:t xml:space="preserve"> como Insider11</w:t>
      </w:r>
      <w:r>
        <w:rPr>
          <w:rStyle w:val="Refdenotaderodap"/>
          <w:rFonts w:ascii="Book Antiqua" w:hAnsi="Book Antiqua"/>
        </w:rPr>
        <w:footnoteReference w:id="36"/>
      </w:r>
      <w:r w:rsidRPr="00FC13CB">
        <w:rPr>
          <w:rFonts w:ascii="Book Antiqua" w:hAnsi="Book Antiqua"/>
        </w:rPr>
        <w:t xml:space="preserve"> </w:t>
      </w:r>
      <w:proofErr w:type="gramStart"/>
      <w:r w:rsidRPr="00FC13CB">
        <w:rPr>
          <w:rFonts w:ascii="Book Antiqua" w:hAnsi="Book Antiqua"/>
        </w:rPr>
        <w:t>e Americanas</w:t>
      </w:r>
      <w:proofErr w:type="gramEnd"/>
      <w:r>
        <w:rPr>
          <w:rStyle w:val="Refdenotaderodap"/>
          <w:rFonts w:ascii="Book Antiqua" w:hAnsi="Book Antiqua"/>
        </w:rPr>
        <w:footnoteReference w:id="37"/>
      </w:r>
      <w:r w:rsidRPr="00FC13CB">
        <w:rPr>
          <w:rFonts w:ascii="Book Antiqua" w:hAnsi="Book Antiqua"/>
        </w:rPr>
        <w:t xml:space="preserve"> </w:t>
      </w:r>
      <w:r>
        <w:rPr>
          <w:rFonts w:ascii="Book Antiqua" w:hAnsi="Book Antiqua"/>
        </w:rPr>
        <w:t xml:space="preserve"> -</w:t>
      </w:r>
      <w:r w:rsidRPr="00FC13CB">
        <w:rPr>
          <w:rFonts w:ascii="Book Antiqua" w:hAnsi="Book Antiqua"/>
        </w:rPr>
        <w:t xml:space="preserve"> e não como resultado de um fluxo próprio, estabilizado e previsível. O efeito é uma ativação episódica, marcada por falhas técnico-administrativas </w:t>
      </w:r>
      <w:r w:rsidRPr="00FC13CB">
        <w:rPr>
          <w:rFonts w:ascii="Book Antiqua" w:hAnsi="Book Antiqua"/>
        </w:rPr>
        <w:lastRenderedPageBreak/>
        <w:t>(ausência de rotinas e fluxos próprios) e político-relacionais (dependência de janelas de oportunidade e incentivos externos).</w:t>
      </w:r>
    </w:p>
    <w:p w14:paraId="2DFCAF2F" w14:textId="77777777" w:rsidR="003D00D8" w:rsidRPr="007C3303" w:rsidRDefault="003D00D8" w:rsidP="003D00D8">
      <w:pPr>
        <w:spacing w:line="276" w:lineRule="auto"/>
        <w:ind w:right="284" w:firstLine="1134"/>
        <w:jc w:val="both"/>
        <w:rPr>
          <w:rFonts w:ascii="Book Antiqua" w:hAnsi="Book Antiqua"/>
        </w:rPr>
      </w:pPr>
      <w:r w:rsidRPr="007C3303">
        <w:rPr>
          <w:rFonts w:ascii="Book Antiqua" w:hAnsi="Book Antiqua"/>
        </w:rPr>
        <w:t xml:space="preserve">Nessas operações, contudo, o que se observa não é a institucionalização de um fluxo investigativo, mas a ativação episódica das capacidades da Polícia Federal. A mobilização investigativa não decorre de rotinas estáveis, canais permanentes ou instrumentos consolidados, mas de uma convergência contingente entre pressão midiática, atenção política e cooperação ocasional com outros órgãos. </w:t>
      </w:r>
    </w:p>
    <w:p w14:paraId="51D96960" w14:textId="77777777" w:rsidR="003D00D8" w:rsidRPr="007C3303" w:rsidRDefault="003D00D8" w:rsidP="003D00D8">
      <w:pPr>
        <w:spacing w:line="276" w:lineRule="auto"/>
        <w:ind w:right="284" w:firstLine="1134"/>
        <w:jc w:val="both"/>
        <w:rPr>
          <w:rFonts w:ascii="Book Antiqua" w:hAnsi="Book Antiqua"/>
        </w:rPr>
      </w:pPr>
      <w:r w:rsidRPr="007C3303">
        <w:rPr>
          <w:rFonts w:ascii="Book Antiqua" w:hAnsi="Book Antiqua"/>
        </w:rPr>
        <w:t>Quando esses vetores externos se alinham, o aparato técnico e pericial da PF</w:t>
      </w:r>
      <w:r>
        <w:rPr>
          <w:rFonts w:ascii="Book Antiqua" w:hAnsi="Book Antiqua"/>
        </w:rPr>
        <w:t xml:space="preserve">, </w:t>
      </w:r>
      <w:r w:rsidRPr="007C3303">
        <w:rPr>
          <w:rFonts w:ascii="Book Antiqua" w:hAnsi="Book Antiqua"/>
        </w:rPr>
        <w:t>que existe como capacidade em estoque</w:t>
      </w:r>
      <w:r>
        <w:rPr>
          <w:rFonts w:ascii="Book Antiqua" w:hAnsi="Book Antiqua"/>
        </w:rPr>
        <w:t xml:space="preserve">, </w:t>
      </w:r>
      <w:r w:rsidRPr="007C3303">
        <w:rPr>
          <w:rFonts w:ascii="Book Antiqua" w:hAnsi="Book Antiqua"/>
        </w:rPr>
        <w:t xml:space="preserve">transborda temporariamente para a ação concreta. Contudo, trata-se de uma conversão circunstancial: nos casos em que essa convergência não ocorre, o </w:t>
      </w:r>
      <w:proofErr w:type="spellStart"/>
      <w:r w:rsidRPr="000C75FC">
        <w:rPr>
          <w:rFonts w:ascii="Book Antiqua" w:hAnsi="Book Antiqua"/>
          <w:i/>
          <w:iCs/>
        </w:rPr>
        <w:t>insider</w:t>
      </w:r>
      <w:proofErr w:type="spellEnd"/>
      <w:r w:rsidRPr="000C75FC">
        <w:rPr>
          <w:rFonts w:ascii="Book Antiqua" w:hAnsi="Book Antiqua"/>
          <w:i/>
          <w:iCs/>
        </w:rPr>
        <w:t xml:space="preserve"> trading </w:t>
      </w:r>
      <w:r w:rsidRPr="007C3303">
        <w:rPr>
          <w:rFonts w:ascii="Book Antiqua" w:hAnsi="Book Antiqua"/>
        </w:rPr>
        <w:t xml:space="preserve">permanece diluído nas tipificações genéricas de crimes financeiros. </w:t>
      </w:r>
    </w:p>
    <w:p w14:paraId="1CAC76C5" w14:textId="77777777" w:rsidR="003D00D8" w:rsidRPr="007C3303" w:rsidRDefault="003D00D8" w:rsidP="003D00D8">
      <w:pPr>
        <w:spacing w:line="276" w:lineRule="auto"/>
        <w:ind w:right="284" w:firstLine="1134"/>
        <w:jc w:val="both"/>
        <w:rPr>
          <w:rFonts w:ascii="Book Antiqua" w:hAnsi="Book Antiqua"/>
        </w:rPr>
      </w:pPr>
      <w:r w:rsidRPr="007C3303">
        <w:rPr>
          <w:rFonts w:ascii="Book Antiqua" w:hAnsi="Book Antiqua"/>
        </w:rPr>
        <w:t>Os episódios mais visíveis funcionam, assim, como contrafactuais positivos: mostram que o sistema reage quando submetido a estímulos excepcionais, mas justamente porque tais estímulos “emprestam” ao arranjo uma coordenação que ele não possui de modo institucionalizado. Não é o fortalecimento estrutural dos órgãos que produz o resultado, mas sim gatilhos externos que substituem, de forma improvisada, aquilo que deveria estar garantido pela arquitetura institucional.</w:t>
      </w:r>
    </w:p>
    <w:p w14:paraId="1F5536D0" w14:textId="77777777" w:rsidR="003D00D8" w:rsidRPr="00FC13CB" w:rsidRDefault="003D00D8" w:rsidP="003D00D8">
      <w:pPr>
        <w:spacing w:line="276" w:lineRule="auto"/>
        <w:ind w:right="284" w:firstLine="1134"/>
        <w:jc w:val="both"/>
        <w:rPr>
          <w:rFonts w:ascii="Book Antiqua" w:hAnsi="Book Antiqua"/>
        </w:rPr>
      </w:pPr>
      <w:r w:rsidRPr="00663A74">
        <w:rPr>
          <w:rFonts w:ascii="Book Antiqua" w:hAnsi="Book Antiqua"/>
        </w:rPr>
        <w:t xml:space="preserve"> O padrão empírico revela, portanto, uma capacidade que se acende de modo reativo, dependente da visibilidade e da excepcionalidade</w:t>
      </w:r>
      <w:r>
        <w:rPr>
          <w:rFonts w:ascii="Book Antiqua" w:hAnsi="Book Antiqua"/>
        </w:rPr>
        <w:t xml:space="preserve">, </w:t>
      </w:r>
      <w:r w:rsidRPr="00663A74">
        <w:rPr>
          <w:rFonts w:ascii="Book Antiqua" w:hAnsi="Book Antiqua"/>
        </w:rPr>
        <w:t>e não da presença de rotinas ou de mecanismos estruturais de ativação.</w:t>
      </w:r>
    </w:p>
    <w:p w14:paraId="23249BD6" w14:textId="77777777" w:rsidR="003D00D8" w:rsidRPr="00FC13CB" w:rsidRDefault="003D00D8" w:rsidP="003D00D8">
      <w:pPr>
        <w:spacing w:line="276" w:lineRule="auto"/>
        <w:ind w:right="284" w:firstLine="1134"/>
        <w:jc w:val="both"/>
        <w:rPr>
          <w:rFonts w:ascii="Book Antiqua" w:hAnsi="Book Antiqua"/>
        </w:rPr>
      </w:pPr>
      <w:r w:rsidRPr="00FC13CB">
        <w:rPr>
          <w:rFonts w:ascii="Book Antiqua" w:hAnsi="Book Antiqua"/>
        </w:rPr>
        <w:t xml:space="preserve">No MPF, encarregado da acusação, a assimetria se intensifica. Trata-se de uma instituição com alta autonomia, forte capacidade decisória e aparato técnico-jurídico sofisticado. A instituição prioriza casos com maior retorno simbólico </w:t>
      </w:r>
      <w:r w:rsidRPr="0039059B">
        <w:rPr>
          <w:rFonts w:ascii="Book Antiqua" w:hAnsi="Book Antiqua"/>
        </w:rPr>
        <w:t xml:space="preserve">– </w:t>
      </w:r>
      <w:r w:rsidRPr="00FC13CB">
        <w:rPr>
          <w:rFonts w:ascii="Book Antiqua" w:hAnsi="Book Antiqua"/>
        </w:rPr>
        <w:t xml:space="preserve"> corrupção, grandes esquemas financeiros </w:t>
      </w:r>
      <w:r w:rsidRPr="0039059B">
        <w:rPr>
          <w:rFonts w:ascii="Book Antiqua" w:hAnsi="Book Antiqua"/>
        </w:rPr>
        <w:t xml:space="preserve">– </w:t>
      </w:r>
      <w:r w:rsidRPr="00FC13CB">
        <w:rPr>
          <w:rFonts w:ascii="Book Antiqua" w:hAnsi="Book Antiqua"/>
        </w:rPr>
        <w:t xml:space="preserve">relegando o </w:t>
      </w:r>
      <w:proofErr w:type="spellStart"/>
      <w:r w:rsidRPr="00FC13CB">
        <w:rPr>
          <w:rFonts w:ascii="Book Antiqua" w:hAnsi="Book Antiqua"/>
          <w:i/>
          <w:iCs/>
        </w:rPr>
        <w:t>insider</w:t>
      </w:r>
      <w:proofErr w:type="spellEnd"/>
      <w:r w:rsidRPr="00FC13CB">
        <w:rPr>
          <w:rFonts w:ascii="Book Antiqua" w:hAnsi="Book Antiqua"/>
          <w:i/>
          <w:iCs/>
        </w:rPr>
        <w:t xml:space="preserve"> trading</w:t>
      </w:r>
      <w:r w:rsidRPr="00FC13CB">
        <w:rPr>
          <w:rFonts w:ascii="Book Antiqua" w:hAnsi="Book Antiqua"/>
        </w:rPr>
        <w:t xml:space="preserve"> a uma posição periférica. A falha político-relacional aparece como seletividade estratégica; a falha técnico-administrativa, como ausência de mecanismos de </w:t>
      </w:r>
      <w:proofErr w:type="spellStart"/>
      <w:r w:rsidRPr="00FC13CB">
        <w:rPr>
          <w:rFonts w:ascii="Book Antiqua" w:hAnsi="Book Antiqua"/>
          <w:i/>
          <w:iCs/>
        </w:rPr>
        <w:t>accountability</w:t>
      </w:r>
      <w:proofErr w:type="spellEnd"/>
      <w:r w:rsidRPr="00FC13CB">
        <w:rPr>
          <w:rFonts w:ascii="Book Antiqua" w:hAnsi="Book Antiqua"/>
        </w:rPr>
        <w:t xml:space="preserve"> e de monitoramento sobre decisões de arquivamento, que permanecem opaca</w:t>
      </w:r>
      <w:r w:rsidRPr="0039059B">
        <w:rPr>
          <w:rFonts w:ascii="Book Antiqua" w:hAnsi="Book Antiqua"/>
        </w:rPr>
        <w:t>s</w:t>
      </w:r>
      <w:r>
        <w:rPr>
          <w:rFonts w:ascii="Book Antiqua" w:hAnsi="Book Antiqua"/>
        </w:rPr>
        <w:t xml:space="preserve">. </w:t>
      </w:r>
    </w:p>
    <w:p w14:paraId="4E7B2527" w14:textId="77777777" w:rsidR="003D00D8" w:rsidRDefault="003D00D8" w:rsidP="003D00D8">
      <w:pPr>
        <w:spacing w:line="276" w:lineRule="auto"/>
        <w:ind w:right="284" w:firstLine="1134"/>
        <w:jc w:val="both"/>
        <w:rPr>
          <w:rFonts w:ascii="Book Antiqua" w:hAnsi="Book Antiqua"/>
        </w:rPr>
      </w:pPr>
      <w:r w:rsidRPr="00FC13CB">
        <w:rPr>
          <w:rFonts w:ascii="Book Antiqua" w:hAnsi="Book Antiqua"/>
        </w:rPr>
        <w:t xml:space="preserve">Em síntese, embora CVM, PF e MPF sejam instituições profissionalizadas, o circuito não produz o </w:t>
      </w:r>
      <w:r w:rsidRPr="00FC13CB">
        <w:rPr>
          <w:rFonts w:ascii="Book Antiqua" w:hAnsi="Book Antiqua"/>
          <w:i/>
          <w:iCs/>
        </w:rPr>
        <w:t>output</w:t>
      </w:r>
      <w:r w:rsidRPr="00FC13CB">
        <w:rPr>
          <w:rFonts w:ascii="Book Antiqua" w:hAnsi="Book Antiqua"/>
        </w:rPr>
        <w:t xml:space="preserve"> esperado. Falta coordenação interinstitucional, faltam rotinas que traduzam o esforço de um órgão em insumo útil para o outro, falta monitoramento compartilhado. </w:t>
      </w:r>
    </w:p>
    <w:p w14:paraId="654D1CC9" w14:textId="77777777" w:rsidR="003D00D8" w:rsidRPr="00DB213A" w:rsidRDefault="003D00D8" w:rsidP="003D00D8">
      <w:pPr>
        <w:spacing w:line="276" w:lineRule="auto"/>
        <w:ind w:right="284" w:firstLine="1134"/>
        <w:jc w:val="both"/>
        <w:rPr>
          <w:rFonts w:ascii="Book Antiqua" w:hAnsi="Book Antiqua"/>
        </w:rPr>
      </w:pPr>
      <w:r w:rsidRPr="00DB213A">
        <w:rPr>
          <w:rFonts w:ascii="Book Antiqua" w:hAnsi="Book Antiqua"/>
        </w:rPr>
        <w:t xml:space="preserve">Como resultado, o esforço de um órgão não se transforma em insumo útil para o seguinte, o que reduz dramaticamente a entrega final do produto esperado: denúncias penais por </w:t>
      </w:r>
      <w:proofErr w:type="spellStart"/>
      <w:r w:rsidRPr="00DB213A">
        <w:rPr>
          <w:rFonts w:ascii="Book Antiqua" w:hAnsi="Book Antiqua"/>
          <w:i/>
          <w:iCs/>
        </w:rPr>
        <w:t>insider</w:t>
      </w:r>
      <w:proofErr w:type="spellEnd"/>
      <w:r w:rsidRPr="00DB213A">
        <w:rPr>
          <w:rFonts w:ascii="Book Antiqua" w:hAnsi="Book Antiqua"/>
          <w:i/>
          <w:iCs/>
        </w:rPr>
        <w:t xml:space="preserve"> trading</w:t>
      </w:r>
      <w:r w:rsidRPr="00DB213A">
        <w:rPr>
          <w:rFonts w:ascii="Book Antiqua" w:hAnsi="Book Antiqua"/>
        </w:rPr>
        <w:t xml:space="preserve"> quantificadas e rastreáveis.</w:t>
      </w:r>
    </w:p>
    <w:p w14:paraId="5A564022" w14:textId="77777777" w:rsidR="003D00D8" w:rsidRPr="00217371" w:rsidRDefault="003D00D8" w:rsidP="003D00D8">
      <w:pPr>
        <w:spacing w:line="276" w:lineRule="auto"/>
        <w:ind w:right="284" w:firstLine="1134"/>
        <w:jc w:val="both"/>
        <w:rPr>
          <w:rFonts w:ascii="Book Antiqua" w:hAnsi="Book Antiqua"/>
          <w:b/>
          <w:bCs/>
        </w:rPr>
      </w:pPr>
      <w:r w:rsidRPr="00217371">
        <w:rPr>
          <w:rFonts w:ascii="Book Antiqua" w:hAnsi="Book Antiqua"/>
          <w:b/>
          <w:bCs/>
        </w:rPr>
        <w:t>2. Inovação e responsividade institucional</w:t>
      </w:r>
      <w:r>
        <w:rPr>
          <w:rStyle w:val="Refdenotaderodap"/>
          <w:rFonts w:ascii="Book Antiqua" w:hAnsi="Book Antiqua"/>
          <w:b/>
          <w:bCs/>
        </w:rPr>
        <w:footnoteReference w:id="38"/>
      </w:r>
      <w:r>
        <w:rPr>
          <w:rFonts w:ascii="Book Antiqua" w:hAnsi="Book Antiqua"/>
          <w:b/>
          <w:bCs/>
        </w:rPr>
        <w:t xml:space="preserve">. </w:t>
      </w:r>
    </w:p>
    <w:p w14:paraId="39E72E85" w14:textId="77777777" w:rsidR="003D00D8" w:rsidRPr="00217371" w:rsidRDefault="003D00D8" w:rsidP="003D00D8">
      <w:pPr>
        <w:spacing w:line="276" w:lineRule="auto"/>
        <w:ind w:right="284" w:firstLine="1134"/>
        <w:jc w:val="both"/>
        <w:rPr>
          <w:rFonts w:ascii="Book Antiqua" w:hAnsi="Book Antiqua"/>
        </w:rPr>
      </w:pPr>
      <w:r w:rsidRPr="00217371">
        <w:rPr>
          <w:rFonts w:ascii="Book Antiqua" w:hAnsi="Book Antiqua"/>
        </w:rPr>
        <w:lastRenderedPageBreak/>
        <w:t xml:space="preserve">O alto grau de ativação das capacidades político-relacionais implicaria que o arranjo fosse capaz de ajustar instrumentos, criar rotinas, reorganizar fluxos e produzir </w:t>
      </w:r>
      <w:r w:rsidRPr="00217371">
        <w:rPr>
          <w:rFonts w:ascii="Book Antiqua" w:hAnsi="Book Antiqua"/>
          <w:i/>
          <w:iCs/>
        </w:rPr>
        <w:t>feedbacks</w:t>
      </w:r>
      <w:r w:rsidRPr="00217371">
        <w:rPr>
          <w:rFonts w:ascii="Book Antiqua" w:hAnsi="Book Antiqua"/>
        </w:rPr>
        <w:t xml:space="preserve"> mútuos – características associadas à inovação e à adaptabilidade.  </w:t>
      </w:r>
    </w:p>
    <w:p w14:paraId="74F079CF" w14:textId="77777777" w:rsidR="003D00D8" w:rsidRPr="00217371" w:rsidRDefault="003D00D8" w:rsidP="003D00D8">
      <w:pPr>
        <w:spacing w:line="276" w:lineRule="auto"/>
        <w:ind w:right="284" w:firstLine="1134"/>
        <w:jc w:val="both"/>
        <w:rPr>
          <w:rFonts w:ascii="Book Antiqua" w:hAnsi="Book Antiqua"/>
        </w:rPr>
      </w:pPr>
      <w:r w:rsidRPr="00217371">
        <w:rPr>
          <w:rFonts w:ascii="Book Antiqua" w:hAnsi="Book Antiqua"/>
        </w:rPr>
        <w:t xml:space="preserve">No </w:t>
      </w:r>
      <w:proofErr w:type="spellStart"/>
      <w:r w:rsidRPr="00217371">
        <w:rPr>
          <w:rFonts w:ascii="Book Antiqua" w:hAnsi="Book Antiqua"/>
          <w:i/>
          <w:iCs/>
        </w:rPr>
        <w:t>enforcement</w:t>
      </w:r>
      <w:proofErr w:type="spellEnd"/>
      <w:r w:rsidRPr="00217371">
        <w:rPr>
          <w:rFonts w:ascii="Book Antiqua" w:hAnsi="Book Antiqua"/>
        </w:rPr>
        <w:t xml:space="preserve"> do </w:t>
      </w:r>
      <w:proofErr w:type="spellStart"/>
      <w:r w:rsidRPr="00217371">
        <w:rPr>
          <w:rFonts w:ascii="Book Antiqua" w:hAnsi="Book Antiqua"/>
          <w:i/>
          <w:iCs/>
        </w:rPr>
        <w:t>insider</w:t>
      </w:r>
      <w:proofErr w:type="spellEnd"/>
      <w:r w:rsidRPr="00217371">
        <w:rPr>
          <w:rFonts w:ascii="Book Antiqua" w:hAnsi="Book Antiqua"/>
          <w:i/>
          <w:iCs/>
        </w:rPr>
        <w:t xml:space="preserve"> trading</w:t>
      </w:r>
      <w:r w:rsidRPr="00217371">
        <w:rPr>
          <w:rFonts w:ascii="Book Antiqua" w:hAnsi="Book Antiqua"/>
        </w:rPr>
        <w:t>, porém, a ausência de canais permanentes entre CVM, PF e MPF, a inexistência de devolutivas sistemáticas e a baixa visibilidade pública da etapa final fazem com que o arranjo não aprenda, não ajuste e não inove. O resultado é um padrão de atuação fragmentado, reativo e pouco responsivo.</w:t>
      </w:r>
    </w:p>
    <w:p w14:paraId="487DDDB4" w14:textId="77777777" w:rsidR="003D00D8" w:rsidRPr="00217371" w:rsidRDefault="003D00D8" w:rsidP="003D00D8">
      <w:pPr>
        <w:spacing w:line="276" w:lineRule="auto"/>
        <w:ind w:right="284" w:firstLine="1134"/>
        <w:jc w:val="both"/>
        <w:rPr>
          <w:rFonts w:ascii="Book Antiqua" w:hAnsi="Book Antiqua"/>
        </w:rPr>
      </w:pPr>
      <w:r w:rsidRPr="00217371">
        <w:rPr>
          <w:rFonts w:ascii="Book Antiqua" w:hAnsi="Book Antiqua"/>
        </w:rPr>
        <w:t xml:space="preserve">Assim, o conceito de grau de ativação ilumina o mecanismo central desta tese: o </w:t>
      </w:r>
      <w:proofErr w:type="spellStart"/>
      <w:r w:rsidRPr="00217371">
        <w:rPr>
          <w:rFonts w:ascii="Book Antiqua" w:hAnsi="Book Antiqua"/>
          <w:i/>
          <w:iCs/>
        </w:rPr>
        <w:t>enforcement</w:t>
      </w:r>
      <w:proofErr w:type="spellEnd"/>
      <w:r w:rsidRPr="00217371">
        <w:rPr>
          <w:rFonts w:ascii="Book Antiqua" w:hAnsi="Book Antiqua"/>
        </w:rPr>
        <w:t xml:space="preserve"> do </w:t>
      </w:r>
      <w:proofErr w:type="spellStart"/>
      <w:r w:rsidRPr="00217371">
        <w:rPr>
          <w:rFonts w:ascii="Book Antiqua" w:hAnsi="Book Antiqua"/>
          <w:i/>
          <w:iCs/>
        </w:rPr>
        <w:t>insider</w:t>
      </w:r>
      <w:proofErr w:type="spellEnd"/>
      <w:r w:rsidRPr="00217371">
        <w:rPr>
          <w:rFonts w:ascii="Book Antiqua" w:hAnsi="Book Antiqua"/>
          <w:i/>
          <w:iCs/>
        </w:rPr>
        <w:t xml:space="preserve"> trading</w:t>
      </w:r>
      <w:r w:rsidRPr="00217371">
        <w:rPr>
          <w:rFonts w:ascii="Book Antiqua" w:hAnsi="Book Antiqua"/>
        </w:rPr>
        <w:t xml:space="preserve"> permanece estruturalmente deficitário não porque seus órgãos careçam de competências, mas porque o arranjo que os conecta não fornece condições para que essas competências se encontrem no tempo, no fluxo e na ação. </w:t>
      </w:r>
    </w:p>
    <w:p w14:paraId="1FAF24A0" w14:textId="77777777" w:rsidR="003D00D8" w:rsidRDefault="003D00D8" w:rsidP="003D00D8">
      <w:pPr>
        <w:spacing w:line="276" w:lineRule="auto"/>
        <w:ind w:right="284" w:firstLine="1134"/>
        <w:jc w:val="both"/>
        <w:rPr>
          <w:rFonts w:ascii="Book Antiqua" w:hAnsi="Book Antiqua"/>
        </w:rPr>
      </w:pPr>
      <w:r w:rsidRPr="00217371">
        <w:rPr>
          <w:rFonts w:ascii="Book Antiqua" w:hAnsi="Book Antiqua"/>
        </w:rPr>
        <w:t>O diagnóstico desloca, portanto, o problema do nível dos atores para o nível da coordenação institucional, permitindo explicar por que uma política pública formalmente robusta produz, na prática, responsabilização penal tão difícil de rastreabilidade e mensuração.</w:t>
      </w:r>
      <w:r>
        <w:rPr>
          <w:rFonts w:ascii="Book Antiqua" w:hAnsi="Book Antiqua"/>
        </w:rPr>
        <w:t xml:space="preserve"> </w:t>
      </w:r>
    </w:p>
    <w:p w14:paraId="1D1CC6A0" w14:textId="77777777" w:rsidR="003D00D8" w:rsidRDefault="003D00D8" w:rsidP="003D00D8">
      <w:pPr>
        <w:spacing w:line="276" w:lineRule="auto"/>
        <w:ind w:right="284" w:firstLine="1134"/>
        <w:jc w:val="both"/>
        <w:rPr>
          <w:rFonts w:ascii="Book Antiqua" w:hAnsi="Book Antiqua"/>
        </w:rPr>
      </w:pPr>
      <w:r>
        <w:rPr>
          <w:rFonts w:ascii="Book Antiqua" w:hAnsi="Book Antiqua"/>
        </w:rPr>
        <w:t xml:space="preserve">A consolidação do acima descrito é demonstrado no quadro 2. </w:t>
      </w:r>
    </w:p>
    <w:p w14:paraId="73FC99F3" w14:textId="77777777" w:rsidR="003D00D8" w:rsidRPr="00B36664" w:rsidRDefault="003D00D8" w:rsidP="003D00D8">
      <w:pPr>
        <w:spacing w:line="276" w:lineRule="auto"/>
        <w:ind w:right="284" w:firstLine="1134"/>
        <w:jc w:val="both"/>
        <w:rPr>
          <w:rFonts w:ascii="Book Antiqua" w:hAnsi="Book Antiqua"/>
        </w:rPr>
      </w:pPr>
      <w:r w:rsidRPr="00C92669">
        <w:rPr>
          <w:rFonts w:ascii="Book Antiqua" w:hAnsi="Book Antiqua"/>
          <w:b/>
          <w:bCs/>
        </w:rPr>
        <w:t>Quadro 2</w:t>
      </w:r>
      <w:r w:rsidRPr="00C92669">
        <w:rPr>
          <w:rFonts w:ascii="Book Antiqua" w:hAnsi="Book Antiqua"/>
        </w:rPr>
        <w:t xml:space="preserve"> — Diagnóstico de Estoques de Capacidade, Arranjos de Implementação e Padrões de Ativação no Circuito CVM → PF → MPF</w:t>
      </w:r>
    </w:p>
    <w:tbl>
      <w:tblPr>
        <w:tblStyle w:val="TabeladeGrade4-nfase1"/>
        <w:tblW w:w="9485" w:type="dxa"/>
        <w:tblInd w:w="-147" w:type="dxa"/>
        <w:tblLook w:val="04A0" w:firstRow="1" w:lastRow="0" w:firstColumn="1" w:lastColumn="0" w:noHBand="0" w:noVBand="1"/>
      </w:tblPr>
      <w:tblGrid>
        <w:gridCol w:w="1047"/>
        <w:gridCol w:w="2468"/>
        <w:gridCol w:w="2139"/>
        <w:gridCol w:w="1780"/>
        <w:gridCol w:w="2051"/>
      </w:tblGrid>
      <w:tr w:rsidR="003D00D8" w:rsidRPr="00C92669" w14:paraId="3924D6E3" w14:textId="77777777" w:rsidTr="008F0A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 w:type="dxa"/>
            <w:hideMark/>
          </w:tcPr>
          <w:p w14:paraId="3CAAF776" w14:textId="77777777" w:rsidR="003D00D8" w:rsidRPr="00C92669" w:rsidRDefault="003D00D8" w:rsidP="008F0A1F">
            <w:pPr>
              <w:spacing w:after="160" w:line="276" w:lineRule="auto"/>
              <w:ind w:right="86"/>
              <w:jc w:val="both"/>
              <w:rPr>
                <w:rFonts w:ascii="Book Antiqua" w:hAnsi="Book Antiqua"/>
                <w:sz w:val="20"/>
                <w:szCs w:val="20"/>
              </w:rPr>
            </w:pPr>
            <w:r w:rsidRPr="00C92669">
              <w:rPr>
                <w:rFonts w:ascii="Book Antiqua" w:hAnsi="Book Antiqua"/>
                <w:sz w:val="20"/>
                <w:szCs w:val="20"/>
              </w:rPr>
              <w:t>Órgão</w:t>
            </w:r>
          </w:p>
        </w:tc>
        <w:tc>
          <w:tcPr>
            <w:tcW w:w="0" w:type="auto"/>
            <w:hideMark/>
          </w:tcPr>
          <w:p w14:paraId="05E45132" w14:textId="77777777" w:rsidR="003D00D8" w:rsidRPr="00C92669" w:rsidRDefault="003D00D8" w:rsidP="008F0A1F">
            <w:pPr>
              <w:spacing w:after="160" w:line="276" w:lineRule="auto"/>
              <w:ind w:right="284"/>
              <w:jc w:val="both"/>
              <w:cnfStyle w:val="100000000000" w:firstRow="1" w:lastRow="0" w:firstColumn="0" w:lastColumn="0" w:oddVBand="0" w:evenVBand="0" w:oddHBand="0"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Estoques de Capacidade (ORGA, APOLI, PART, CONT)</w:t>
            </w:r>
          </w:p>
        </w:tc>
        <w:tc>
          <w:tcPr>
            <w:tcW w:w="0" w:type="auto"/>
            <w:hideMark/>
          </w:tcPr>
          <w:p w14:paraId="230BB126" w14:textId="77777777" w:rsidR="003D00D8" w:rsidRPr="00C92669" w:rsidRDefault="003D00D8" w:rsidP="008F0A1F">
            <w:pPr>
              <w:spacing w:after="160" w:line="276" w:lineRule="auto"/>
              <w:ind w:right="284" w:firstLine="17"/>
              <w:jc w:val="both"/>
              <w:cnfStyle w:val="100000000000" w:firstRow="1" w:lastRow="0" w:firstColumn="0" w:lastColumn="0" w:oddVBand="0" w:evenVBand="0" w:oddHBand="0"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Mecanismos Estruturantes (COOR, MONI)</w:t>
            </w:r>
          </w:p>
        </w:tc>
        <w:tc>
          <w:tcPr>
            <w:tcW w:w="1780" w:type="dxa"/>
            <w:hideMark/>
          </w:tcPr>
          <w:p w14:paraId="1297CB4F" w14:textId="77777777" w:rsidR="003D00D8" w:rsidRPr="00C92669" w:rsidRDefault="003D00D8" w:rsidP="008F0A1F">
            <w:pPr>
              <w:spacing w:after="160" w:line="276" w:lineRule="auto"/>
              <w:ind w:right="284"/>
              <w:jc w:val="both"/>
              <w:cnfStyle w:val="100000000000" w:firstRow="1" w:lastRow="0" w:firstColumn="0" w:lastColumn="0" w:oddVBand="0" w:evenVBand="0" w:oddHBand="0"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Evidências de Ativação (Outputs / Inovação)</w:t>
            </w:r>
          </w:p>
        </w:tc>
        <w:tc>
          <w:tcPr>
            <w:tcW w:w="2051" w:type="dxa"/>
            <w:hideMark/>
          </w:tcPr>
          <w:p w14:paraId="645F5AA2" w14:textId="77777777" w:rsidR="003D00D8" w:rsidRPr="00C92669" w:rsidRDefault="003D00D8" w:rsidP="008F0A1F">
            <w:pPr>
              <w:spacing w:after="160" w:line="276" w:lineRule="auto"/>
              <w:ind w:right="284"/>
              <w:jc w:val="both"/>
              <w:cnfStyle w:val="100000000000" w:firstRow="1" w:lastRow="0" w:firstColumn="0" w:lastColumn="0" w:oddVBand="0" w:evenVBand="0" w:oddHBand="0"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Indícios de Desativação / Latência</w:t>
            </w:r>
          </w:p>
        </w:tc>
      </w:tr>
      <w:tr w:rsidR="003D00D8" w:rsidRPr="00C92669" w14:paraId="72D3E26B" w14:textId="77777777" w:rsidTr="008F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 w:type="dxa"/>
            <w:hideMark/>
          </w:tcPr>
          <w:p w14:paraId="55549ABB" w14:textId="77777777" w:rsidR="003D00D8" w:rsidRPr="00C92669" w:rsidRDefault="003D00D8" w:rsidP="008F0A1F">
            <w:pPr>
              <w:spacing w:after="160" w:line="276" w:lineRule="auto"/>
              <w:ind w:right="86"/>
              <w:jc w:val="both"/>
              <w:rPr>
                <w:rFonts w:ascii="Book Antiqua" w:hAnsi="Book Antiqua"/>
                <w:sz w:val="20"/>
                <w:szCs w:val="20"/>
              </w:rPr>
            </w:pPr>
            <w:r w:rsidRPr="00C92669">
              <w:rPr>
                <w:rFonts w:ascii="Book Antiqua" w:hAnsi="Book Antiqua"/>
                <w:sz w:val="20"/>
                <w:szCs w:val="20"/>
              </w:rPr>
              <w:t>CVM</w:t>
            </w:r>
          </w:p>
        </w:tc>
        <w:tc>
          <w:tcPr>
            <w:tcW w:w="0" w:type="auto"/>
            <w:hideMark/>
          </w:tcPr>
          <w:p w14:paraId="29C0D0BA" w14:textId="77777777" w:rsidR="003D00D8" w:rsidRPr="00C92669" w:rsidRDefault="003D00D8" w:rsidP="008F0A1F">
            <w:pPr>
              <w:spacing w:after="160" w:line="276" w:lineRule="auto"/>
              <w:ind w:right="114"/>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Alta expertise analítica (superintendências especializadas). Infraestrutura normativa robusta. Processos sancionadores consolidados.</w:t>
            </w:r>
          </w:p>
        </w:tc>
        <w:tc>
          <w:tcPr>
            <w:tcW w:w="0" w:type="auto"/>
            <w:hideMark/>
          </w:tcPr>
          <w:p w14:paraId="65142C69" w14:textId="77777777" w:rsidR="003D00D8" w:rsidRPr="00C92669" w:rsidRDefault="003D00D8" w:rsidP="008F0A1F">
            <w:pPr>
              <w:spacing w:after="160" w:line="276" w:lineRule="auto"/>
              <w:ind w:right="114"/>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Convênio CVM–MPF (2008)</w:t>
            </w:r>
            <w:r>
              <w:rPr>
                <w:rFonts w:ascii="Book Antiqua" w:hAnsi="Book Antiqua"/>
                <w:sz w:val="20"/>
                <w:szCs w:val="20"/>
              </w:rPr>
              <w:t xml:space="preserve">  e CVM PF (2010)</w:t>
            </w:r>
            <w:r w:rsidRPr="00C92669">
              <w:rPr>
                <w:rFonts w:ascii="Book Antiqua" w:hAnsi="Book Antiqua"/>
                <w:sz w:val="20"/>
                <w:szCs w:val="20"/>
              </w:rPr>
              <w:t xml:space="preserve"> Sistemas INQ e SSI. Ausência de coordenação rotinizada com PF.</w:t>
            </w:r>
          </w:p>
        </w:tc>
        <w:tc>
          <w:tcPr>
            <w:tcW w:w="1780" w:type="dxa"/>
            <w:hideMark/>
          </w:tcPr>
          <w:p w14:paraId="51F8A4DD" w14:textId="77777777" w:rsidR="003D00D8" w:rsidRDefault="003D00D8" w:rsidP="008F0A1F">
            <w:pPr>
              <w:spacing w:after="160" w:line="276" w:lineRule="auto"/>
              <w:ind w:right="114"/>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207 comunicações ao MPF (2002–2024) geradas por 89 casos.</w:t>
            </w:r>
          </w:p>
          <w:p w14:paraId="4AD9A1A1" w14:textId="77777777" w:rsidR="003D00D8" w:rsidRPr="00C92669" w:rsidRDefault="003D00D8" w:rsidP="008F0A1F">
            <w:pPr>
              <w:spacing w:after="160" w:line="276" w:lineRule="auto"/>
              <w:ind w:right="114"/>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Detecção técnica sofisticada;</w:t>
            </w:r>
          </w:p>
        </w:tc>
        <w:tc>
          <w:tcPr>
            <w:tcW w:w="2051" w:type="dxa"/>
            <w:hideMark/>
          </w:tcPr>
          <w:p w14:paraId="1A1A742F" w14:textId="77777777" w:rsidR="003D00D8" w:rsidRPr="00C92669" w:rsidRDefault="003D00D8" w:rsidP="008F0A1F">
            <w:pPr>
              <w:spacing w:after="160" w:line="276" w:lineRule="auto"/>
              <w:ind w:right="114"/>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 xml:space="preserve">Comunicações múltiplas por caso sem retroalimentação. </w:t>
            </w:r>
          </w:p>
          <w:p w14:paraId="03E7E8A0" w14:textId="77777777" w:rsidR="003D00D8" w:rsidRPr="00C92669" w:rsidRDefault="003D00D8" w:rsidP="008F0A1F">
            <w:pPr>
              <w:spacing w:after="160" w:line="276" w:lineRule="auto"/>
              <w:ind w:right="114"/>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 xml:space="preserve"> Baixa visibilidade sobre desfechos. Esforço não convertido em ação penal.</w:t>
            </w:r>
          </w:p>
        </w:tc>
      </w:tr>
      <w:tr w:rsidR="003D00D8" w:rsidRPr="00C92669" w14:paraId="40237F43" w14:textId="77777777" w:rsidTr="008F0A1F">
        <w:tc>
          <w:tcPr>
            <w:cnfStyle w:val="001000000000" w:firstRow="0" w:lastRow="0" w:firstColumn="1" w:lastColumn="0" w:oddVBand="0" w:evenVBand="0" w:oddHBand="0" w:evenHBand="0" w:firstRowFirstColumn="0" w:firstRowLastColumn="0" w:lastRowFirstColumn="0" w:lastRowLastColumn="0"/>
            <w:tcW w:w="1047" w:type="dxa"/>
            <w:hideMark/>
          </w:tcPr>
          <w:p w14:paraId="45A207B9" w14:textId="77777777" w:rsidR="003D00D8" w:rsidRPr="00C92669" w:rsidRDefault="003D00D8" w:rsidP="008F0A1F">
            <w:pPr>
              <w:spacing w:after="160" w:line="276" w:lineRule="auto"/>
              <w:ind w:right="86"/>
              <w:jc w:val="both"/>
              <w:rPr>
                <w:rFonts w:ascii="Book Antiqua" w:hAnsi="Book Antiqua"/>
                <w:sz w:val="20"/>
                <w:szCs w:val="20"/>
              </w:rPr>
            </w:pPr>
            <w:r w:rsidRPr="00C92669">
              <w:rPr>
                <w:rFonts w:ascii="Book Antiqua" w:hAnsi="Book Antiqua"/>
                <w:sz w:val="20"/>
                <w:szCs w:val="20"/>
              </w:rPr>
              <w:t>Polícia Federal</w:t>
            </w:r>
          </w:p>
        </w:tc>
        <w:tc>
          <w:tcPr>
            <w:tcW w:w="0" w:type="auto"/>
            <w:hideMark/>
          </w:tcPr>
          <w:p w14:paraId="740F30ED" w14:textId="77777777" w:rsidR="003D00D8" w:rsidRPr="00C92669" w:rsidRDefault="003D00D8" w:rsidP="008F0A1F">
            <w:pPr>
              <w:spacing w:after="160" w:line="276" w:lineRule="auto"/>
              <w:ind w:right="114"/>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Delegacias e núcleos especializados em crimes financeiros. Expertise investigativa crescente.</w:t>
            </w:r>
          </w:p>
        </w:tc>
        <w:tc>
          <w:tcPr>
            <w:tcW w:w="0" w:type="auto"/>
            <w:hideMark/>
          </w:tcPr>
          <w:p w14:paraId="05D4E372" w14:textId="77777777" w:rsidR="003D00D8" w:rsidRPr="00C92669" w:rsidRDefault="003D00D8" w:rsidP="008F0A1F">
            <w:pPr>
              <w:spacing w:after="160" w:line="276" w:lineRule="auto"/>
              <w:ind w:right="114"/>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Interação informal e não padronizada com CVM. Ausência de protocolo de acionamento.</w:t>
            </w:r>
          </w:p>
        </w:tc>
        <w:tc>
          <w:tcPr>
            <w:tcW w:w="1780" w:type="dxa"/>
            <w:hideMark/>
          </w:tcPr>
          <w:p w14:paraId="53263CE4" w14:textId="77777777" w:rsidR="003D00D8" w:rsidRPr="00C92669" w:rsidRDefault="003D00D8" w:rsidP="008F0A1F">
            <w:pPr>
              <w:spacing w:after="160" w:line="276" w:lineRule="auto"/>
              <w:ind w:right="114"/>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 xml:space="preserve">77 inquéritos instaurados (2014–2025). 66 relatados; 56 com número de </w:t>
            </w:r>
            <w:r>
              <w:rPr>
                <w:rFonts w:ascii="Book Antiqua" w:hAnsi="Book Antiqua"/>
                <w:sz w:val="20"/>
                <w:szCs w:val="20"/>
              </w:rPr>
              <w:t>sistema da PF</w:t>
            </w:r>
            <w:r w:rsidRPr="00C92669">
              <w:rPr>
                <w:rFonts w:ascii="Book Antiqua" w:hAnsi="Book Antiqua"/>
                <w:sz w:val="20"/>
                <w:szCs w:val="20"/>
              </w:rPr>
              <w:t>.</w:t>
            </w:r>
          </w:p>
        </w:tc>
        <w:tc>
          <w:tcPr>
            <w:tcW w:w="2051" w:type="dxa"/>
            <w:hideMark/>
          </w:tcPr>
          <w:p w14:paraId="7CFAE4AB" w14:textId="77777777" w:rsidR="003D00D8" w:rsidRPr="00C92669" w:rsidRDefault="003D00D8" w:rsidP="008F0A1F">
            <w:pPr>
              <w:spacing w:after="160" w:line="276" w:lineRule="auto"/>
              <w:ind w:right="114"/>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 xml:space="preserve">Falta de rotinas específicas para </w:t>
            </w:r>
            <w:proofErr w:type="spellStart"/>
            <w:r w:rsidRPr="00C92669">
              <w:rPr>
                <w:rFonts w:ascii="Book Antiqua" w:hAnsi="Book Antiqua"/>
                <w:sz w:val="20"/>
                <w:szCs w:val="20"/>
              </w:rPr>
              <w:t>insider</w:t>
            </w:r>
            <w:proofErr w:type="spellEnd"/>
            <w:r w:rsidRPr="00C92669">
              <w:rPr>
                <w:rFonts w:ascii="Book Antiqua" w:hAnsi="Book Antiqua"/>
                <w:sz w:val="20"/>
                <w:szCs w:val="20"/>
              </w:rPr>
              <w:t xml:space="preserve"> trading. Ativação episódica; depende de casos excepcionais. Ausência de </w:t>
            </w:r>
            <w:r w:rsidRPr="00C92669">
              <w:rPr>
                <w:rFonts w:ascii="Book Antiqua" w:hAnsi="Book Antiqua"/>
                <w:sz w:val="20"/>
                <w:szCs w:val="20"/>
              </w:rPr>
              <w:lastRenderedPageBreak/>
              <w:t>monitoramento sistemático.</w:t>
            </w:r>
          </w:p>
        </w:tc>
      </w:tr>
      <w:tr w:rsidR="003D00D8" w:rsidRPr="00C92669" w14:paraId="4C43B424" w14:textId="77777777" w:rsidTr="008F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 w:type="dxa"/>
            <w:hideMark/>
          </w:tcPr>
          <w:p w14:paraId="2CD61305" w14:textId="77777777" w:rsidR="003D00D8" w:rsidRPr="00C92669" w:rsidRDefault="003D00D8" w:rsidP="008F0A1F">
            <w:pPr>
              <w:spacing w:after="160" w:line="276" w:lineRule="auto"/>
              <w:ind w:right="86"/>
              <w:jc w:val="both"/>
              <w:rPr>
                <w:rFonts w:ascii="Book Antiqua" w:hAnsi="Book Antiqua"/>
                <w:sz w:val="20"/>
                <w:szCs w:val="20"/>
              </w:rPr>
            </w:pPr>
            <w:r w:rsidRPr="00C92669">
              <w:rPr>
                <w:rFonts w:ascii="Book Antiqua" w:hAnsi="Book Antiqua"/>
                <w:sz w:val="20"/>
                <w:szCs w:val="20"/>
              </w:rPr>
              <w:lastRenderedPageBreak/>
              <w:t>MPF</w:t>
            </w:r>
          </w:p>
        </w:tc>
        <w:tc>
          <w:tcPr>
            <w:tcW w:w="0" w:type="auto"/>
            <w:hideMark/>
          </w:tcPr>
          <w:p w14:paraId="2BA46CF3" w14:textId="77777777" w:rsidR="003D00D8" w:rsidRPr="00C92669" w:rsidRDefault="003D00D8" w:rsidP="008F0A1F">
            <w:pPr>
              <w:spacing w:after="160" w:line="276" w:lineRule="auto"/>
              <w:ind w:right="114"/>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Autonomia decisória plena (APOLI). Legitimidade institucional.</w:t>
            </w:r>
          </w:p>
        </w:tc>
        <w:tc>
          <w:tcPr>
            <w:tcW w:w="0" w:type="auto"/>
            <w:hideMark/>
          </w:tcPr>
          <w:p w14:paraId="5DF480B7" w14:textId="77777777" w:rsidR="003D00D8" w:rsidRPr="00C92669" w:rsidRDefault="003D00D8" w:rsidP="008F0A1F">
            <w:pPr>
              <w:spacing w:after="160" w:line="276" w:lineRule="auto"/>
              <w:ind w:right="114"/>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Fluxo CVM → MPF unilateral. Ausência de sistema público de monitoramento.</w:t>
            </w:r>
          </w:p>
        </w:tc>
        <w:tc>
          <w:tcPr>
            <w:tcW w:w="1780" w:type="dxa"/>
            <w:hideMark/>
          </w:tcPr>
          <w:p w14:paraId="07FACF8A" w14:textId="77777777" w:rsidR="003D00D8" w:rsidRPr="00C92669" w:rsidRDefault="003D00D8" w:rsidP="008F0A1F">
            <w:pPr>
              <w:spacing w:after="160" w:line="276" w:lineRule="auto"/>
              <w:ind w:right="114"/>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Não há dados consolidados sobre denúncias. Evidências indiretas: baixa judicialização conhecida.</w:t>
            </w:r>
          </w:p>
        </w:tc>
        <w:tc>
          <w:tcPr>
            <w:tcW w:w="2051" w:type="dxa"/>
            <w:hideMark/>
          </w:tcPr>
          <w:p w14:paraId="3BF8998E" w14:textId="77777777" w:rsidR="003D00D8" w:rsidRPr="00C92669" w:rsidRDefault="003D00D8" w:rsidP="008F0A1F">
            <w:pPr>
              <w:spacing w:after="160" w:line="276" w:lineRule="auto"/>
              <w:ind w:right="114"/>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 xml:space="preserve">Opacidade da etapa decisória. Incentivos institucionais não alinhados. </w:t>
            </w:r>
          </w:p>
          <w:p w14:paraId="4B27ADCF" w14:textId="77777777" w:rsidR="003D00D8" w:rsidRPr="00C92669" w:rsidRDefault="003D00D8" w:rsidP="008F0A1F">
            <w:pPr>
              <w:spacing w:after="160" w:line="276" w:lineRule="auto"/>
              <w:ind w:right="114"/>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Falta de devolutivas e feedback.</w:t>
            </w:r>
          </w:p>
        </w:tc>
      </w:tr>
      <w:tr w:rsidR="003D00D8" w:rsidRPr="00C92669" w14:paraId="611A3C39" w14:textId="77777777" w:rsidTr="008F0A1F">
        <w:tc>
          <w:tcPr>
            <w:cnfStyle w:val="001000000000" w:firstRow="0" w:lastRow="0" w:firstColumn="1" w:lastColumn="0" w:oddVBand="0" w:evenVBand="0" w:oddHBand="0" w:evenHBand="0" w:firstRowFirstColumn="0" w:firstRowLastColumn="0" w:lastRowFirstColumn="0" w:lastRowLastColumn="0"/>
            <w:tcW w:w="1047" w:type="dxa"/>
            <w:hideMark/>
          </w:tcPr>
          <w:p w14:paraId="5C62B007" w14:textId="77777777" w:rsidR="003D00D8" w:rsidRPr="00C92669" w:rsidRDefault="003D00D8" w:rsidP="008F0A1F">
            <w:pPr>
              <w:spacing w:after="160" w:line="276" w:lineRule="auto"/>
              <w:ind w:right="86"/>
              <w:jc w:val="both"/>
              <w:rPr>
                <w:rFonts w:ascii="Book Antiqua" w:hAnsi="Book Antiqua"/>
                <w:sz w:val="20"/>
                <w:szCs w:val="20"/>
              </w:rPr>
            </w:pPr>
            <w:r w:rsidRPr="00C92669">
              <w:rPr>
                <w:rFonts w:ascii="Book Antiqua" w:hAnsi="Book Antiqua"/>
                <w:sz w:val="20"/>
                <w:szCs w:val="20"/>
              </w:rPr>
              <w:t>Circuito como um todo</w:t>
            </w:r>
          </w:p>
        </w:tc>
        <w:tc>
          <w:tcPr>
            <w:tcW w:w="0" w:type="auto"/>
            <w:hideMark/>
          </w:tcPr>
          <w:p w14:paraId="5107EC69" w14:textId="77777777" w:rsidR="003D00D8" w:rsidRPr="00C92669" w:rsidRDefault="003D00D8" w:rsidP="008F0A1F">
            <w:pPr>
              <w:spacing w:after="160" w:line="276" w:lineRule="auto"/>
              <w:ind w:right="114"/>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Capacidades distribuídas ao longo dos órgãos.</w:t>
            </w:r>
          </w:p>
        </w:tc>
        <w:tc>
          <w:tcPr>
            <w:tcW w:w="0" w:type="auto"/>
            <w:hideMark/>
          </w:tcPr>
          <w:p w14:paraId="38055941" w14:textId="77777777" w:rsidR="003D00D8" w:rsidRPr="00C92669" w:rsidRDefault="003D00D8" w:rsidP="008F0A1F">
            <w:pPr>
              <w:spacing w:after="160" w:line="276" w:lineRule="auto"/>
              <w:ind w:right="114"/>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Coordenação frágil; ausência de rotinas horizontais. – Monitoramento fragmentado.</w:t>
            </w:r>
          </w:p>
        </w:tc>
        <w:tc>
          <w:tcPr>
            <w:tcW w:w="1780" w:type="dxa"/>
            <w:hideMark/>
          </w:tcPr>
          <w:p w14:paraId="403DD5AD" w14:textId="77777777" w:rsidR="003D00D8" w:rsidRPr="00C92669" w:rsidRDefault="003D00D8" w:rsidP="008F0A1F">
            <w:pPr>
              <w:spacing w:after="160" w:line="276" w:lineRule="auto"/>
              <w:ind w:right="114"/>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 xml:space="preserve">Detecção → </w:t>
            </w:r>
            <w:r w:rsidRPr="008F17A4">
              <w:rPr>
                <w:rFonts w:ascii="Book Antiqua" w:hAnsi="Book Antiqua"/>
                <w:sz w:val="20"/>
                <w:szCs w:val="20"/>
              </w:rPr>
              <w:t>investigação → decisão não se convertem em continuidade sequencial.</w:t>
            </w:r>
          </w:p>
        </w:tc>
        <w:tc>
          <w:tcPr>
            <w:tcW w:w="2051" w:type="dxa"/>
            <w:hideMark/>
          </w:tcPr>
          <w:p w14:paraId="1F3B1721" w14:textId="77777777" w:rsidR="003D00D8" w:rsidRPr="00C92669" w:rsidRDefault="003D00D8" w:rsidP="008F0A1F">
            <w:pPr>
              <w:spacing w:after="160" w:line="276" w:lineRule="auto"/>
              <w:ind w:right="114"/>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 xml:space="preserve">Descontinuidade estrutural. </w:t>
            </w:r>
          </w:p>
          <w:p w14:paraId="38F31931" w14:textId="77777777" w:rsidR="003D00D8" w:rsidRPr="00C92669" w:rsidRDefault="003D00D8" w:rsidP="008F0A1F">
            <w:pPr>
              <w:spacing w:after="160" w:line="276" w:lineRule="auto"/>
              <w:ind w:right="114"/>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sidRPr="00C92669">
              <w:rPr>
                <w:rFonts w:ascii="Book Antiqua" w:hAnsi="Book Antiqua"/>
                <w:sz w:val="20"/>
                <w:szCs w:val="20"/>
              </w:rPr>
              <w:t>Baixa ativação coletiva. Resultados penais não observáveis.</w:t>
            </w:r>
          </w:p>
        </w:tc>
      </w:tr>
    </w:tbl>
    <w:p w14:paraId="4685453A" w14:textId="77777777" w:rsidR="003D00D8" w:rsidRPr="00C92669" w:rsidRDefault="003D00D8" w:rsidP="003D00D8">
      <w:pPr>
        <w:spacing w:before="240" w:line="276" w:lineRule="auto"/>
        <w:ind w:right="284" w:firstLine="1134"/>
        <w:jc w:val="both"/>
        <w:rPr>
          <w:rFonts w:ascii="Book Antiqua" w:hAnsi="Book Antiqua"/>
        </w:rPr>
      </w:pPr>
      <w:r w:rsidRPr="00C92669">
        <w:rPr>
          <w:rFonts w:ascii="Book Antiqua" w:hAnsi="Book Antiqua"/>
        </w:rPr>
        <w:t>Fonte: autoria própria, com dados da pesquisa</w:t>
      </w:r>
    </w:p>
    <w:p w14:paraId="01BD98D7" w14:textId="77777777" w:rsidR="003D00D8" w:rsidRPr="00B36664" w:rsidRDefault="003D00D8" w:rsidP="003D00D8">
      <w:pPr>
        <w:pStyle w:val="SemEspaamento"/>
        <w:spacing w:line="276" w:lineRule="auto"/>
        <w:ind w:firstLine="1134"/>
        <w:rPr>
          <w:rFonts w:ascii="Book Antiqua" w:hAnsi="Book Antiqua"/>
        </w:rPr>
      </w:pPr>
    </w:p>
    <w:p w14:paraId="619D309E" w14:textId="77777777" w:rsidR="003D00D8" w:rsidRPr="00D72B0E" w:rsidRDefault="003D00D8" w:rsidP="003D00D8">
      <w:pPr>
        <w:jc w:val="both"/>
        <w:rPr>
          <w:rFonts w:ascii="Book Antiqua" w:hAnsi="Book Antiqua"/>
          <w:b/>
          <w:bCs/>
        </w:rPr>
      </w:pPr>
      <w:r w:rsidRPr="00D72B0E">
        <w:rPr>
          <w:rFonts w:ascii="Book Antiqua" w:hAnsi="Book Antiqua"/>
          <w:b/>
          <w:bCs/>
        </w:rPr>
        <w:t>4. Desenvolvimento (resultados parciais e/ou alcançados, achados de pesquisa</w:t>
      </w:r>
    </w:p>
    <w:p w14:paraId="665F064C" w14:textId="77777777" w:rsidR="003D00D8" w:rsidRPr="00D72B0E" w:rsidRDefault="003D00D8" w:rsidP="003D00D8">
      <w:pPr>
        <w:jc w:val="both"/>
        <w:rPr>
          <w:rFonts w:ascii="Book Antiqua" w:hAnsi="Book Antiqua"/>
          <w:b/>
          <w:bCs/>
        </w:rPr>
      </w:pPr>
      <w:r w:rsidRPr="00D72B0E">
        <w:rPr>
          <w:rFonts w:ascii="Book Antiqua" w:hAnsi="Book Antiqua"/>
          <w:b/>
          <w:bCs/>
        </w:rPr>
        <w:t>e discussão)</w:t>
      </w:r>
    </w:p>
    <w:p w14:paraId="66818DD7" w14:textId="77777777" w:rsidR="003D00D8" w:rsidRPr="00353EB7" w:rsidRDefault="003D00D8" w:rsidP="003D00D8">
      <w:pPr>
        <w:ind w:firstLine="426"/>
        <w:jc w:val="both"/>
        <w:rPr>
          <w:rFonts w:ascii="Book Antiqua" w:hAnsi="Book Antiqua"/>
        </w:rPr>
      </w:pPr>
      <w:r w:rsidRPr="00647A7E">
        <w:rPr>
          <w:rFonts w:ascii="Book Antiqua" w:hAnsi="Book Antiqua"/>
        </w:rPr>
        <w:t xml:space="preserve">A análise empírica revela que o </w:t>
      </w:r>
      <w:proofErr w:type="spellStart"/>
      <w:r w:rsidRPr="00647A7E">
        <w:rPr>
          <w:rFonts w:ascii="Book Antiqua" w:hAnsi="Book Antiqua"/>
        </w:rPr>
        <w:t>enforcement</w:t>
      </w:r>
      <w:proofErr w:type="spellEnd"/>
      <w:r w:rsidRPr="00647A7E">
        <w:rPr>
          <w:rFonts w:ascii="Book Antiqua" w:hAnsi="Book Antiqua"/>
        </w:rPr>
        <w:t xml:space="preserve"> penal do </w:t>
      </w:r>
      <w:proofErr w:type="spellStart"/>
      <w:r w:rsidRPr="00647A7E">
        <w:rPr>
          <w:rFonts w:ascii="Book Antiqua" w:hAnsi="Book Antiqua"/>
        </w:rPr>
        <w:t>insider</w:t>
      </w:r>
      <w:proofErr w:type="spellEnd"/>
      <w:r w:rsidRPr="00647A7E">
        <w:rPr>
          <w:rFonts w:ascii="Book Antiqua" w:hAnsi="Book Antiqua"/>
        </w:rPr>
        <w:t xml:space="preserve"> trading no Brasil opera sob uma lógica de produção sem conversão. Ao longo do circuito institucional, há geração relevante de atividade — detecção administrativa, comunicações ao Ministério Público, instauração e condução de inquéritos —, mas essa produção não se transforma, de modo consistente, em ação penal rastreável. O sistema se movimenta, mas não se completa.</w:t>
      </w:r>
    </w:p>
    <w:p w14:paraId="132B5117" w14:textId="77777777" w:rsidR="003D00D8" w:rsidRPr="00353EB7" w:rsidRDefault="003D00D8" w:rsidP="003D00D8">
      <w:pPr>
        <w:ind w:firstLine="426"/>
        <w:jc w:val="both"/>
        <w:rPr>
          <w:rFonts w:ascii="Book Antiqua" w:hAnsi="Book Antiqua"/>
        </w:rPr>
      </w:pPr>
      <w:r w:rsidRPr="00647A7E">
        <w:rPr>
          <w:rFonts w:ascii="Book Antiqua" w:hAnsi="Book Antiqua"/>
        </w:rPr>
        <w:t>Os dados evidenciam esse descompasso.</w:t>
      </w:r>
      <w:r w:rsidRPr="00353EB7">
        <w:rPr>
          <w:rFonts w:ascii="Book Antiqua" w:hAnsi="Book Antiqua"/>
        </w:rPr>
        <w:t xml:space="preserve"> Entre 2002 e 2024</w:t>
      </w:r>
      <w:r w:rsidRPr="00353EB7">
        <w:rPr>
          <w:rStyle w:val="Refdenotaderodap"/>
          <w:rFonts w:ascii="Book Antiqua" w:hAnsi="Book Antiqua"/>
        </w:rPr>
        <w:footnoteReference w:id="39"/>
      </w:r>
      <w:r w:rsidRPr="00353EB7">
        <w:rPr>
          <w:rFonts w:ascii="Book Antiqua" w:hAnsi="Book Antiqua"/>
        </w:rPr>
        <w:t>, a CVM julgou mais de 1.500 processos sancionadores, dos quais 65</w:t>
      </w:r>
      <w:r w:rsidRPr="00353EB7">
        <w:rPr>
          <w:rStyle w:val="Refdenotaderodap"/>
          <w:rFonts w:ascii="Book Antiqua" w:hAnsi="Book Antiqua"/>
        </w:rPr>
        <w:footnoteReference w:id="40"/>
      </w:r>
      <w:r w:rsidRPr="00353EB7">
        <w:rPr>
          <w:rFonts w:ascii="Book Antiqua" w:hAnsi="Book Antiqua"/>
        </w:rPr>
        <w:t xml:space="preserve"> envolviam </w:t>
      </w:r>
      <w:proofErr w:type="spellStart"/>
      <w:r w:rsidRPr="00353EB7">
        <w:rPr>
          <w:rFonts w:ascii="Book Antiqua" w:hAnsi="Book Antiqua"/>
          <w:i/>
          <w:iCs/>
        </w:rPr>
        <w:t>insider</w:t>
      </w:r>
      <w:proofErr w:type="spellEnd"/>
      <w:r w:rsidRPr="00353EB7">
        <w:rPr>
          <w:rFonts w:ascii="Book Antiqua" w:hAnsi="Book Antiqua"/>
          <w:i/>
          <w:iCs/>
        </w:rPr>
        <w:t xml:space="preserve"> trading</w:t>
      </w:r>
      <w:r w:rsidRPr="00353EB7">
        <w:rPr>
          <w:rFonts w:ascii="Book Antiqua" w:hAnsi="Book Antiqua"/>
        </w:rPr>
        <w:t>, mas apenas dez ações penais foram propostas</w:t>
      </w:r>
      <w:r w:rsidRPr="00353EB7">
        <w:rPr>
          <w:rStyle w:val="Refdenotaderodap"/>
          <w:rFonts w:ascii="Book Antiqua" w:hAnsi="Book Antiqua"/>
        </w:rPr>
        <w:footnoteReference w:id="41"/>
      </w:r>
      <w:r w:rsidRPr="00353EB7">
        <w:rPr>
          <w:rFonts w:ascii="Book Antiqua" w:hAnsi="Book Antiqua"/>
        </w:rPr>
        <w:t xml:space="preserve"> em duas décadas – e somente uma alcançou o Superior Tribunal de Justiça.</w:t>
      </w:r>
    </w:p>
    <w:p w14:paraId="7FD2ACFA" w14:textId="77777777" w:rsidR="003D00D8" w:rsidRPr="00353EB7" w:rsidRDefault="003D00D8" w:rsidP="003D00D8">
      <w:pPr>
        <w:spacing w:line="276" w:lineRule="auto"/>
        <w:ind w:firstLine="426"/>
        <w:jc w:val="both"/>
        <w:rPr>
          <w:rFonts w:ascii="Book Antiqua" w:hAnsi="Book Antiqua"/>
        </w:rPr>
      </w:pPr>
      <w:r w:rsidRPr="00353EB7">
        <w:rPr>
          <w:rFonts w:ascii="Book Antiqua" w:hAnsi="Book Antiqua"/>
        </w:rPr>
        <w:t xml:space="preserve">A análise combinada dos dados da Polícia Federal (2014–2025) e dos registros internos da CVM (2002–2024) revela que o </w:t>
      </w:r>
      <w:proofErr w:type="spellStart"/>
      <w:r w:rsidRPr="00353EB7">
        <w:rPr>
          <w:rFonts w:ascii="Book Antiqua" w:hAnsi="Book Antiqua"/>
          <w:i/>
          <w:iCs/>
        </w:rPr>
        <w:t>enforcement</w:t>
      </w:r>
      <w:proofErr w:type="spellEnd"/>
      <w:r w:rsidRPr="00353EB7">
        <w:rPr>
          <w:rFonts w:ascii="Book Antiqua" w:hAnsi="Book Antiqua"/>
        </w:rPr>
        <w:t xml:space="preserve"> do </w:t>
      </w:r>
      <w:proofErr w:type="spellStart"/>
      <w:r w:rsidRPr="00353EB7">
        <w:rPr>
          <w:rFonts w:ascii="Book Antiqua" w:hAnsi="Book Antiqua"/>
          <w:i/>
          <w:iCs/>
        </w:rPr>
        <w:t>insider</w:t>
      </w:r>
      <w:proofErr w:type="spellEnd"/>
      <w:r w:rsidRPr="00353EB7">
        <w:rPr>
          <w:rFonts w:ascii="Book Antiqua" w:hAnsi="Book Antiqua"/>
          <w:i/>
          <w:iCs/>
        </w:rPr>
        <w:t xml:space="preserve"> trading</w:t>
      </w:r>
      <w:r w:rsidRPr="00353EB7">
        <w:rPr>
          <w:rFonts w:ascii="Book Antiqua" w:hAnsi="Book Antiqua"/>
        </w:rPr>
        <w:t xml:space="preserve"> no Brasil opera </w:t>
      </w:r>
      <w:r w:rsidRPr="00353EB7">
        <w:rPr>
          <w:rFonts w:ascii="Book Antiqua" w:hAnsi="Book Antiqua"/>
        </w:rPr>
        <w:lastRenderedPageBreak/>
        <w:t xml:space="preserve">em um arranjo institucional que produz atividade significativa em determinadas fases, mas não integra essas ações em um fluxo contínuo. </w:t>
      </w:r>
    </w:p>
    <w:p w14:paraId="5042F9EA" w14:textId="77777777" w:rsidR="003D00D8" w:rsidRPr="00353EB7" w:rsidRDefault="003D00D8" w:rsidP="003D00D8">
      <w:pPr>
        <w:spacing w:line="276" w:lineRule="auto"/>
        <w:ind w:firstLine="426"/>
        <w:jc w:val="both"/>
        <w:rPr>
          <w:rFonts w:ascii="Book Antiqua" w:hAnsi="Book Antiqua"/>
        </w:rPr>
      </w:pPr>
      <w:r w:rsidRPr="00353EB7">
        <w:rPr>
          <w:rFonts w:ascii="Book Antiqua" w:hAnsi="Book Antiqua"/>
        </w:rPr>
        <w:t>No plano investigativo criminal, foram instaurados 77 inquéritos, dos quais 66 foram relatados e 56 registrados com número de processo interno (não necessariamente judicial). No plano administrativo, os sistemas INQ</w:t>
      </w:r>
      <w:r w:rsidRPr="00353EB7">
        <w:rPr>
          <w:rStyle w:val="Refdenotaderodap"/>
          <w:rFonts w:ascii="Book Antiqua" w:hAnsi="Book Antiqua"/>
        </w:rPr>
        <w:footnoteReference w:id="42"/>
      </w:r>
      <w:r w:rsidRPr="00353EB7">
        <w:rPr>
          <w:rFonts w:ascii="Book Antiqua" w:hAnsi="Book Antiqua"/>
        </w:rPr>
        <w:t xml:space="preserve"> e SSI</w:t>
      </w:r>
      <w:r w:rsidRPr="00353EB7">
        <w:rPr>
          <w:rStyle w:val="Refdenotaderodap"/>
          <w:rFonts w:ascii="Book Antiqua" w:hAnsi="Book Antiqua"/>
        </w:rPr>
        <w:footnoteReference w:id="43"/>
      </w:r>
      <w:r w:rsidRPr="00353EB7">
        <w:rPr>
          <w:rFonts w:ascii="Book Antiqua" w:hAnsi="Book Antiqua"/>
        </w:rPr>
        <w:t xml:space="preserve"> registram 207 comunicações ao Ministério Público Federal, vinculadas a 89 processos administrativos sancionadores.</w:t>
      </w:r>
    </w:p>
    <w:p w14:paraId="347A7308" w14:textId="77777777" w:rsidR="003D00D8" w:rsidRPr="00353EB7" w:rsidRDefault="003D00D8" w:rsidP="003D00D8">
      <w:pPr>
        <w:spacing w:line="276" w:lineRule="auto"/>
        <w:ind w:firstLine="426"/>
        <w:jc w:val="both"/>
        <w:rPr>
          <w:rFonts w:ascii="Book Antiqua" w:hAnsi="Book Antiqua"/>
        </w:rPr>
      </w:pPr>
      <w:r w:rsidRPr="00E33ED1">
        <w:rPr>
          <w:rFonts w:ascii="Book Antiqua" w:hAnsi="Book Antiqua"/>
        </w:rPr>
        <w:t>Esse descompasso não pode ser explicado apenas pela ausência de normas ou pela suficiência de instrumentos. O problema se desloca para outro plano: a forma como o Estado organiza — ou deixa de organizar — a sua própria atuação.</w:t>
      </w:r>
    </w:p>
    <w:p w14:paraId="589BB865" w14:textId="77777777" w:rsidR="003D00D8" w:rsidRPr="00353EB7" w:rsidRDefault="003D00D8" w:rsidP="003D00D8">
      <w:pPr>
        <w:spacing w:line="276" w:lineRule="auto"/>
        <w:ind w:firstLine="426"/>
        <w:jc w:val="both"/>
        <w:rPr>
          <w:rFonts w:ascii="Book Antiqua" w:hAnsi="Book Antiqua"/>
        </w:rPr>
      </w:pPr>
      <w:r w:rsidRPr="00E33ED1">
        <w:rPr>
          <w:rFonts w:ascii="Book Antiqua" w:hAnsi="Book Antiqua"/>
        </w:rPr>
        <w:t xml:space="preserve">Responder a essa questão exige abandonar uma leitura centrada exclusivamente no conteúdo da lei e voltar-se para o funcionamento do arranjo que sustenta a política. O </w:t>
      </w:r>
      <w:proofErr w:type="spellStart"/>
      <w:r w:rsidRPr="00E33ED1">
        <w:rPr>
          <w:rFonts w:ascii="Book Antiqua" w:hAnsi="Book Antiqua"/>
        </w:rPr>
        <w:t>insider</w:t>
      </w:r>
      <w:proofErr w:type="spellEnd"/>
      <w:r w:rsidRPr="00E33ED1">
        <w:rPr>
          <w:rFonts w:ascii="Book Antiqua" w:hAnsi="Book Antiqua"/>
        </w:rPr>
        <w:t xml:space="preserve"> trading não é reprimido por uma norma isolada, mas por um circuito institucional que envolve CVM, Polícia Federal e Ministério Público Federal. Cada um desses órgãos detém capacidades específicas — analíticas, investigativas e decisórias —, mas a sua atuação depende da forma como essas capacidades são organizadas, ativadas e conectadas.</w:t>
      </w:r>
    </w:p>
    <w:p w14:paraId="68FDE743" w14:textId="77777777" w:rsidR="003D00D8" w:rsidRPr="00353EB7" w:rsidRDefault="003D00D8" w:rsidP="003D00D8">
      <w:pPr>
        <w:spacing w:line="276" w:lineRule="auto"/>
        <w:ind w:firstLine="426"/>
        <w:jc w:val="both"/>
        <w:rPr>
          <w:rFonts w:ascii="Book Antiqua" w:hAnsi="Book Antiqua"/>
        </w:rPr>
      </w:pPr>
      <w:r w:rsidRPr="00353EB7">
        <w:rPr>
          <w:rFonts w:ascii="Book Antiqua" w:hAnsi="Book Antiqua"/>
        </w:rPr>
        <w:t xml:space="preserve">A análise dos dados da CVM adiciona uma nuance importante. Um mesmo processo administrativo pode gerar até três comunicações distintas ao Ministério Público – na formulação da acusação técnica, no julgamento pela CVM ou pelo CRSFN e no encerramento </w:t>
      </w:r>
      <w:proofErr w:type="spellStart"/>
      <w:r w:rsidRPr="00353EB7">
        <w:rPr>
          <w:rFonts w:ascii="Book Antiqua" w:hAnsi="Book Antiqua"/>
        </w:rPr>
        <w:t>por</w:t>
      </w:r>
      <w:proofErr w:type="spellEnd"/>
      <w:r w:rsidRPr="00353EB7">
        <w:rPr>
          <w:rFonts w:ascii="Book Antiqua" w:hAnsi="Book Antiqua"/>
        </w:rPr>
        <w:t xml:space="preserve"> termo de compromisso. Assim, o volume de comunicações (207) não corresponde ao volume de casos (89). Esse descompasso indica que a informação circula com frequência, mas não necessariamente produz resposta ou ação penal discernível. </w:t>
      </w:r>
    </w:p>
    <w:p w14:paraId="6F9DD6BE" w14:textId="77777777" w:rsidR="003D00D8" w:rsidRPr="00647A7E" w:rsidRDefault="003D00D8" w:rsidP="003D00D8">
      <w:pPr>
        <w:ind w:firstLine="426"/>
        <w:jc w:val="both"/>
        <w:rPr>
          <w:rFonts w:ascii="Book Antiqua" w:hAnsi="Book Antiqua"/>
        </w:rPr>
      </w:pPr>
      <w:r w:rsidRPr="00647A7E">
        <w:rPr>
          <w:rFonts w:ascii="Book Antiqua" w:hAnsi="Book Antiqua"/>
        </w:rPr>
        <w:t>Ainda assim, esse volume de atividade não encontra correspondência visível na etapa decisória, marcada pela ausência de dados consolidados sobre denúncias e pelo baixo número de ações penais identificáveis.</w:t>
      </w:r>
      <w:r w:rsidRPr="00353EB7">
        <w:rPr>
          <w:rFonts w:ascii="Book Antiqua" w:hAnsi="Book Antiqua"/>
        </w:rPr>
        <w:t xml:space="preserve"> Em outras palavras, o fluxo CVM </w:t>
      </w:r>
      <w:r w:rsidRPr="00353EB7">
        <w:rPr>
          <w:rFonts w:ascii="Book Antiqua" w:hAnsi="Book Antiqua" w:cs="Times New Roman"/>
        </w:rPr>
        <w:t>→</w:t>
      </w:r>
      <w:r w:rsidRPr="00353EB7">
        <w:rPr>
          <w:rFonts w:ascii="Book Antiqua" w:hAnsi="Book Antiqua"/>
        </w:rPr>
        <w:t xml:space="preserve"> MPF </w:t>
      </w:r>
      <w:r w:rsidRPr="00353EB7">
        <w:rPr>
          <w:rFonts w:ascii="Book Antiqua" w:hAnsi="Book Antiqua" w:cs="Amasis MT Pro"/>
        </w:rPr>
        <w:t>é</w:t>
      </w:r>
      <w:r w:rsidRPr="00353EB7">
        <w:rPr>
          <w:rFonts w:ascii="Book Antiqua" w:hAnsi="Book Antiqua"/>
        </w:rPr>
        <w:t xml:space="preserve"> reiterado, mas n</w:t>
      </w:r>
      <w:r w:rsidRPr="00353EB7">
        <w:rPr>
          <w:rFonts w:ascii="Book Antiqua" w:hAnsi="Book Antiqua" w:cs="Amasis MT Pro"/>
        </w:rPr>
        <w:t>ã</w:t>
      </w:r>
      <w:r w:rsidRPr="00353EB7">
        <w:rPr>
          <w:rFonts w:ascii="Book Antiqua" w:hAnsi="Book Antiqua"/>
        </w:rPr>
        <w:t>o responsivo.</w:t>
      </w:r>
    </w:p>
    <w:p w14:paraId="15443C53" w14:textId="77777777" w:rsidR="003D00D8" w:rsidRPr="00647A7E" w:rsidRDefault="003D00D8" w:rsidP="003D00D8">
      <w:pPr>
        <w:ind w:firstLine="426"/>
        <w:jc w:val="both"/>
        <w:rPr>
          <w:rFonts w:ascii="Book Antiqua" w:hAnsi="Book Antiqua"/>
        </w:rPr>
      </w:pPr>
      <w:r w:rsidRPr="00647A7E">
        <w:rPr>
          <w:rFonts w:ascii="Book Antiqua" w:hAnsi="Book Antiqua"/>
        </w:rPr>
        <w:t xml:space="preserve">Essa dissociação não decorre de ausência de capacidade técnica. Ao contrário, o que emerge é um arranjo em que capacidades existem, mas operam de forma não convergente. A CVM demonstra elevada capacidade analítica e produz insumos técnicos consistentes, mas não recebe devolutivas sobre seus encaminhamentos, o que impede aprendizado institucional e ajuste de suas práticas. A Polícia Federal dispõe de aparato investigativo especializado, porém sua atuação no tema é episódica, frequentemente condicionada a casos de maior visibilidade pública. O Ministério Público Federal, por sua vez, concentra a etapa decisória, mas o faz sob uma lógica de opacidade e baixa priorização institucional, sem mecanismos sistemáticos de monitoramento ou </w:t>
      </w:r>
      <w:proofErr w:type="spellStart"/>
      <w:r w:rsidRPr="00647A7E">
        <w:rPr>
          <w:rFonts w:ascii="Book Antiqua" w:hAnsi="Book Antiqua"/>
        </w:rPr>
        <w:t>accountability</w:t>
      </w:r>
      <w:proofErr w:type="spellEnd"/>
      <w:r w:rsidRPr="00647A7E">
        <w:rPr>
          <w:rFonts w:ascii="Book Antiqua" w:hAnsi="Book Antiqua"/>
        </w:rPr>
        <w:t xml:space="preserve"> específicos.</w:t>
      </w:r>
    </w:p>
    <w:p w14:paraId="75CAF505" w14:textId="77777777" w:rsidR="003D00D8" w:rsidRPr="00647A7E" w:rsidRDefault="003D00D8" w:rsidP="003D00D8">
      <w:pPr>
        <w:ind w:firstLine="426"/>
        <w:jc w:val="both"/>
        <w:rPr>
          <w:rFonts w:ascii="Book Antiqua" w:hAnsi="Book Antiqua"/>
        </w:rPr>
      </w:pPr>
      <w:r w:rsidRPr="00647A7E">
        <w:rPr>
          <w:rFonts w:ascii="Book Antiqua" w:hAnsi="Book Antiqua"/>
        </w:rPr>
        <w:t xml:space="preserve">O problema, portanto, não se limita à coordenação, nem pode ser explicado apenas como falha de ativação. Ele se manifesta no nível do arranjo. Os fluxos entre as instituições são predominantemente unilaterais, não há protocolos específicos que </w:t>
      </w:r>
      <w:r w:rsidRPr="00647A7E">
        <w:rPr>
          <w:rFonts w:ascii="Book Antiqua" w:hAnsi="Book Antiqua"/>
        </w:rPr>
        <w:lastRenderedPageBreak/>
        <w:t xml:space="preserve">organizem o trânsito de casos de </w:t>
      </w:r>
      <w:proofErr w:type="spellStart"/>
      <w:r w:rsidRPr="00647A7E">
        <w:rPr>
          <w:rFonts w:ascii="Book Antiqua" w:hAnsi="Book Antiqua"/>
        </w:rPr>
        <w:t>insider</w:t>
      </w:r>
      <w:proofErr w:type="spellEnd"/>
      <w:r w:rsidRPr="00647A7E">
        <w:rPr>
          <w:rFonts w:ascii="Book Antiqua" w:hAnsi="Book Antiqua"/>
        </w:rPr>
        <w:t xml:space="preserve"> trading, e inexistem rotinas estáveis de interação, seleção conjunta ou construção estratégica de longo prazo. A coordenação, quando ocorre, é reativa e concentrada em operações de maior repercussão, não se consolidando como prática institucional contínua.</w:t>
      </w:r>
    </w:p>
    <w:p w14:paraId="0626BBDA" w14:textId="77777777" w:rsidR="003D00D8" w:rsidRPr="00647A7E" w:rsidRDefault="003D00D8" w:rsidP="003D00D8">
      <w:pPr>
        <w:ind w:firstLine="426"/>
        <w:jc w:val="both"/>
        <w:rPr>
          <w:rFonts w:ascii="Book Antiqua" w:hAnsi="Book Antiqua"/>
        </w:rPr>
      </w:pPr>
      <w:r w:rsidRPr="00647A7E">
        <w:rPr>
          <w:rFonts w:ascii="Book Antiqua" w:hAnsi="Book Antiqua"/>
        </w:rPr>
        <w:t xml:space="preserve">Esse padrão é reforçado por uma estrutura de incentivos que marginaliza o tema. O </w:t>
      </w:r>
      <w:proofErr w:type="spellStart"/>
      <w:r w:rsidRPr="00647A7E">
        <w:rPr>
          <w:rFonts w:ascii="Book Antiqua" w:hAnsi="Book Antiqua"/>
        </w:rPr>
        <w:t>insider</w:t>
      </w:r>
      <w:proofErr w:type="spellEnd"/>
      <w:r w:rsidRPr="00647A7E">
        <w:rPr>
          <w:rFonts w:ascii="Book Antiqua" w:hAnsi="Book Antiqua"/>
        </w:rPr>
        <w:t xml:space="preserve"> trading disputa atenção com ilícitos de maior visibilidade — como corrupção, lavagem de dinheiro e grandes fraudes —, recebendo menor pressão externa e menor prioridade nas agendas institucionais. Como resultado, a ativação das capacidades tende a ocorrer de forma seletiva e contingente, dependente de janelas específicas de oportunidade, e não como rotina investigativa e persecutória.</w:t>
      </w:r>
    </w:p>
    <w:p w14:paraId="17015790" w14:textId="77777777" w:rsidR="003D00D8" w:rsidRPr="00647A7E" w:rsidRDefault="003D00D8" w:rsidP="003D00D8">
      <w:pPr>
        <w:ind w:firstLine="426"/>
        <w:jc w:val="both"/>
        <w:rPr>
          <w:rFonts w:ascii="Book Antiqua" w:hAnsi="Book Antiqua"/>
        </w:rPr>
      </w:pPr>
      <w:r w:rsidRPr="00647A7E">
        <w:rPr>
          <w:rFonts w:ascii="Book Antiqua" w:hAnsi="Book Antiqua"/>
        </w:rPr>
        <w:t>O que se observa, em síntese, é um circuito marcado por descontinuidade estrutural. As capacidades estão distribuídas ao longo das instituições, mas são ativadas em tempos distintos, sob lógicas diversas e sem mecanismos que promovam sua convergência. Em alguns pontos, há capacidade existente e ativada; em outros, capacidade disponível, mas não mobilizada; e, em certos contextos, capacidades insuficientes. Essa heterogeneidade impede que os insumos produzidos em uma etapa sejam incorporados e transformados na etapa seguinte.</w:t>
      </w:r>
    </w:p>
    <w:p w14:paraId="29890016" w14:textId="77777777" w:rsidR="003D00D8" w:rsidRPr="00353EB7" w:rsidRDefault="003D00D8" w:rsidP="003D00D8">
      <w:pPr>
        <w:ind w:firstLine="426"/>
        <w:jc w:val="both"/>
        <w:rPr>
          <w:rFonts w:ascii="Book Antiqua" w:hAnsi="Book Antiqua"/>
        </w:rPr>
      </w:pPr>
      <w:r w:rsidRPr="00647A7E">
        <w:rPr>
          <w:rFonts w:ascii="Book Antiqua" w:hAnsi="Book Antiqua"/>
        </w:rPr>
        <w:t xml:space="preserve">O </w:t>
      </w:r>
      <w:proofErr w:type="spellStart"/>
      <w:r w:rsidRPr="00647A7E">
        <w:rPr>
          <w:rFonts w:ascii="Book Antiqua" w:hAnsi="Book Antiqua"/>
        </w:rPr>
        <w:t>enforcement</w:t>
      </w:r>
      <w:proofErr w:type="spellEnd"/>
      <w:r w:rsidRPr="00647A7E">
        <w:rPr>
          <w:rFonts w:ascii="Book Antiqua" w:hAnsi="Book Antiqua"/>
        </w:rPr>
        <w:t xml:space="preserve"> penal do </w:t>
      </w:r>
      <w:proofErr w:type="spellStart"/>
      <w:r w:rsidRPr="00647A7E">
        <w:rPr>
          <w:rFonts w:ascii="Book Antiqua" w:hAnsi="Book Antiqua"/>
        </w:rPr>
        <w:t>insider</w:t>
      </w:r>
      <w:proofErr w:type="spellEnd"/>
      <w:r w:rsidRPr="00647A7E">
        <w:rPr>
          <w:rFonts w:ascii="Book Antiqua" w:hAnsi="Book Antiqua"/>
        </w:rPr>
        <w:t xml:space="preserve"> trading falha, assim, não por ausência de ação, mas por ausência de encadeamento. O sistema produz informação, instaura procedimentos e toma decisões, mas não organiza essas operações em um fluxo contínuo. Entre detecção, investigação e denúncia, o que se interpõe não é um vazio, mas um desalinhamento persistente. O resultado é um circuito que se inicia, mas não se fecha.</w:t>
      </w:r>
    </w:p>
    <w:p w14:paraId="07D51E7E" w14:textId="77777777" w:rsidR="003D00D8" w:rsidRPr="00353EB7" w:rsidRDefault="003D00D8" w:rsidP="003D00D8">
      <w:pPr>
        <w:spacing w:line="276" w:lineRule="auto"/>
        <w:ind w:firstLine="426"/>
        <w:jc w:val="both"/>
        <w:rPr>
          <w:rFonts w:ascii="Book Antiqua" w:hAnsi="Book Antiqua"/>
        </w:rPr>
      </w:pPr>
      <w:r w:rsidRPr="00353EB7">
        <w:rPr>
          <w:rFonts w:ascii="Book Antiqua" w:hAnsi="Book Antiqua"/>
        </w:rPr>
        <w:t xml:space="preserve">Assim, o problema que orienta a Tese, conforme apresentado nesse relato de pesquisa, emerge do contraste persistente entre a sofisticação normativa do regime brasileiro de repressão ao </w:t>
      </w:r>
      <w:proofErr w:type="spellStart"/>
      <w:r w:rsidRPr="00353EB7">
        <w:rPr>
          <w:rFonts w:ascii="Book Antiqua" w:hAnsi="Book Antiqua"/>
          <w:i/>
          <w:iCs/>
        </w:rPr>
        <w:t>insider</w:t>
      </w:r>
      <w:proofErr w:type="spellEnd"/>
      <w:r w:rsidRPr="00353EB7">
        <w:rPr>
          <w:rFonts w:ascii="Book Antiqua" w:hAnsi="Book Antiqua"/>
          <w:i/>
          <w:iCs/>
        </w:rPr>
        <w:t xml:space="preserve"> trading</w:t>
      </w:r>
      <w:r w:rsidRPr="00353EB7">
        <w:rPr>
          <w:rFonts w:ascii="Book Antiqua" w:hAnsi="Book Antiqua"/>
        </w:rPr>
        <w:t xml:space="preserve"> e a baixa capacidade do Estado de transformar essa arquitetura em ação penal consistente. </w:t>
      </w:r>
    </w:p>
    <w:p w14:paraId="15FF7ABA" w14:textId="77777777" w:rsidR="003D00D8" w:rsidRDefault="003D00D8" w:rsidP="003D00D8">
      <w:pPr>
        <w:spacing w:line="276" w:lineRule="auto"/>
        <w:ind w:firstLine="426"/>
        <w:jc w:val="both"/>
        <w:rPr>
          <w:rFonts w:ascii="Book Antiqua" w:hAnsi="Book Antiqua"/>
        </w:rPr>
      </w:pPr>
      <w:r w:rsidRPr="00353EB7">
        <w:rPr>
          <w:rFonts w:ascii="Book Antiqua" w:hAnsi="Book Antiqua"/>
        </w:rPr>
        <w:t>Examinar esse desenho, portanto, não é apenas discutir eficiência repressiva, mas entender como e por que o Estado brasileiro, mesmo dotado de expertise, instrumentos e legitimidade, falha em acionar as suas próprias capacidades para enfrentar um crime que ameaça a confiança nos mercados e a credibilidade do próprio sistema regulatório.</w:t>
      </w:r>
    </w:p>
    <w:p w14:paraId="0513F8D5" w14:textId="77777777" w:rsidR="003D00D8" w:rsidRPr="001222DF" w:rsidRDefault="003D00D8" w:rsidP="003D00D8">
      <w:pPr>
        <w:spacing w:line="276" w:lineRule="auto"/>
        <w:ind w:firstLine="426"/>
        <w:jc w:val="both"/>
        <w:rPr>
          <w:rFonts w:ascii="Book Antiqua" w:hAnsi="Book Antiqua"/>
          <w:b/>
          <w:bCs/>
        </w:rPr>
      </w:pPr>
      <w:r w:rsidRPr="001222DF">
        <w:rPr>
          <w:rFonts w:ascii="Book Antiqua" w:hAnsi="Book Antiqua"/>
          <w:b/>
          <w:bCs/>
        </w:rPr>
        <w:t>5. Conclusões</w:t>
      </w:r>
    </w:p>
    <w:p w14:paraId="6A3DACE3" w14:textId="77777777" w:rsidR="003D00D8" w:rsidRPr="0026351C" w:rsidRDefault="003D00D8" w:rsidP="003D00D8">
      <w:pPr>
        <w:spacing w:line="276" w:lineRule="auto"/>
        <w:ind w:firstLine="426"/>
        <w:jc w:val="both"/>
        <w:rPr>
          <w:rFonts w:ascii="Book Antiqua" w:hAnsi="Book Antiqua"/>
        </w:rPr>
      </w:pPr>
      <w:r w:rsidRPr="0026351C">
        <w:rPr>
          <w:rFonts w:ascii="Book Antiqua" w:hAnsi="Book Antiqua"/>
        </w:rPr>
        <w:t xml:space="preserve">A análise desenvolvida neste relato de pesquisa permite deslocar o problema do </w:t>
      </w:r>
      <w:proofErr w:type="spellStart"/>
      <w:r w:rsidRPr="0026351C">
        <w:rPr>
          <w:rFonts w:ascii="Book Antiqua" w:hAnsi="Book Antiqua"/>
          <w:i/>
          <w:iCs/>
        </w:rPr>
        <w:t>enforcement</w:t>
      </w:r>
      <w:proofErr w:type="spellEnd"/>
      <w:r w:rsidRPr="0026351C">
        <w:rPr>
          <w:rFonts w:ascii="Book Antiqua" w:hAnsi="Book Antiqua"/>
        </w:rPr>
        <w:t xml:space="preserve"> penal do </w:t>
      </w:r>
      <w:proofErr w:type="spellStart"/>
      <w:r w:rsidRPr="0026351C">
        <w:rPr>
          <w:rFonts w:ascii="Book Antiqua" w:hAnsi="Book Antiqua"/>
          <w:i/>
          <w:iCs/>
        </w:rPr>
        <w:t>insider</w:t>
      </w:r>
      <w:proofErr w:type="spellEnd"/>
      <w:r w:rsidRPr="0026351C">
        <w:rPr>
          <w:rFonts w:ascii="Book Antiqua" w:hAnsi="Book Antiqua"/>
          <w:i/>
          <w:iCs/>
        </w:rPr>
        <w:t xml:space="preserve"> trading</w:t>
      </w:r>
      <w:r w:rsidRPr="0026351C">
        <w:rPr>
          <w:rFonts w:ascii="Book Antiqua" w:hAnsi="Book Antiqua"/>
        </w:rPr>
        <w:t xml:space="preserve"> no Brasil para um plano distinto daquele tradicionalmente mobilizado na literatura e na prática institucional. O que está em jogo não é a ausência de normas, nem a inexistência de capacidades técnicas, mas a forma como o Estado organiza, e sobretudo deixa de organizar, a sua própria ação.</w:t>
      </w:r>
    </w:p>
    <w:p w14:paraId="5B1E726E" w14:textId="77777777" w:rsidR="003D00D8" w:rsidRPr="0026351C" w:rsidRDefault="003D00D8" w:rsidP="003D00D8">
      <w:pPr>
        <w:spacing w:line="276" w:lineRule="auto"/>
        <w:ind w:firstLine="426"/>
        <w:jc w:val="both"/>
        <w:rPr>
          <w:rFonts w:ascii="Book Antiqua" w:hAnsi="Book Antiqua"/>
        </w:rPr>
      </w:pPr>
      <w:r w:rsidRPr="0026351C">
        <w:rPr>
          <w:rFonts w:ascii="Book Antiqua" w:hAnsi="Book Antiqua"/>
        </w:rPr>
        <w:t>O circuito institucional examinado não é vazio</w:t>
      </w:r>
      <w:r>
        <w:rPr>
          <w:rFonts w:ascii="Book Antiqua" w:hAnsi="Book Antiqua"/>
        </w:rPr>
        <w:t>:</w:t>
      </w:r>
      <w:r w:rsidRPr="0026351C">
        <w:rPr>
          <w:rFonts w:ascii="Book Antiqua" w:hAnsi="Book Antiqua"/>
        </w:rPr>
        <w:t xml:space="preserve"> A CVM detecta e comunica, a Polícia Federal investiga, o Ministério Público decide. Ainda assim, essa sequência não se estabiliza como fluxo. O que emerge não é um sistema inoperante, mas um sistema que opera de maneira fragmentada, no qual as etapas se sucedem sem necessariamente se conectar.</w:t>
      </w:r>
    </w:p>
    <w:p w14:paraId="3A18CA5E" w14:textId="77777777" w:rsidR="003D00D8" w:rsidRPr="0026351C" w:rsidRDefault="003D00D8" w:rsidP="003D00D8">
      <w:pPr>
        <w:spacing w:line="276" w:lineRule="auto"/>
        <w:ind w:firstLine="426"/>
        <w:jc w:val="both"/>
        <w:rPr>
          <w:rFonts w:ascii="Book Antiqua" w:hAnsi="Book Antiqua"/>
        </w:rPr>
      </w:pPr>
      <w:r w:rsidRPr="0026351C">
        <w:rPr>
          <w:rFonts w:ascii="Book Antiqua" w:hAnsi="Book Antiqua"/>
        </w:rPr>
        <w:lastRenderedPageBreak/>
        <w:t>Essa constatação exige um ajuste analítico. Explicações centradas em falhas isoladas, de coordenação, de capacidade ou de priorização, mostram-se insuficientes para dar conta do padrão observado. O que os dados revelam é uma configuração mais complexa, na qual capacidades estão distribuídas de forma desigual, são ativadas de maneira seletiva e não encontram, no desenho institucional, condições para convergir.</w:t>
      </w:r>
    </w:p>
    <w:p w14:paraId="64183AE8" w14:textId="77777777" w:rsidR="003D00D8" w:rsidRPr="0026351C" w:rsidRDefault="003D00D8" w:rsidP="003D00D8">
      <w:pPr>
        <w:spacing w:line="276" w:lineRule="auto"/>
        <w:ind w:firstLine="426"/>
        <w:jc w:val="both"/>
        <w:rPr>
          <w:rFonts w:ascii="Book Antiqua" w:hAnsi="Book Antiqua"/>
        </w:rPr>
      </w:pPr>
      <w:r w:rsidRPr="0026351C">
        <w:rPr>
          <w:rFonts w:ascii="Book Antiqua" w:hAnsi="Book Antiqua"/>
        </w:rPr>
        <w:t>O problema, portanto, não reside apenas no que as instituições fazem, mas na forma como estão organizadas para fazer, ou deixar de fazer, em conjunto.</w:t>
      </w:r>
    </w:p>
    <w:p w14:paraId="1098D06B" w14:textId="77777777" w:rsidR="003D00D8" w:rsidRPr="0026351C" w:rsidRDefault="003D00D8" w:rsidP="003D00D8">
      <w:pPr>
        <w:spacing w:line="276" w:lineRule="auto"/>
        <w:ind w:firstLine="426"/>
        <w:jc w:val="both"/>
        <w:rPr>
          <w:rFonts w:ascii="Book Antiqua" w:hAnsi="Book Antiqua"/>
        </w:rPr>
      </w:pPr>
      <w:r w:rsidRPr="0026351C">
        <w:rPr>
          <w:rFonts w:ascii="Book Antiqua" w:hAnsi="Book Antiqua"/>
        </w:rPr>
        <w:t>Nesse sentido, o conceito de arranjo de implementação se mostra decisivo. É nesse nível que se tornam visíveis os mecanismos que condicionam a passagem do potencial à ação. O arranjo não apenas distribui capacidades, mas regula sua ativação, define temporalidades, estrutura incentivos e condiciona a possibilidade de continuidade do fluxo institucional.</w:t>
      </w:r>
    </w:p>
    <w:p w14:paraId="51804F32" w14:textId="77777777" w:rsidR="003D00D8" w:rsidRPr="0026351C" w:rsidRDefault="003D00D8" w:rsidP="003D00D8">
      <w:pPr>
        <w:spacing w:line="276" w:lineRule="auto"/>
        <w:ind w:firstLine="426"/>
        <w:jc w:val="both"/>
        <w:rPr>
          <w:rFonts w:ascii="Book Antiqua" w:hAnsi="Book Antiqua"/>
        </w:rPr>
      </w:pPr>
      <w:r w:rsidRPr="0026351C">
        <w:rPr>
          <w:rFonts w:ascii="Book Antiqua" w:hAnsi="Book Antiqua"/>
        </w:rPr>
        <w:t xml:space="preserve">O caso do </w:t>
      </w:r>
      <w:proofErr w:type="spellStart"/>
      <w:r w:rsidRPr="0026351C">
        <w:rPr>
          <w:rFonts w:ascii="Book Antiqua" w:hAnsi="Book Antiqua"/>
          <w:i/>
          <w:iCs/>
        </w:rPr>
        <w:t>insider</w:t>
      </w:r>
      <w:proofErr w:type="spellEnd"/>
      <w:r w:rsidRPr="0026351C">
        <w:rPr>
          <w:rFonts w:ascii="Book Antiqua" w:hAnsi="Book Antiqua"/>
          <w:i/>
          <w:iCs/>
        </w:rPr>
        <w:t xml:space="preserve"> trading</w:t>
      </w:r>
      <w:r w:rsidRPr="0026351C">
        <w:rPr>
          <w:rFonts w:ascii="Book Antiqua" w:hAnsi="Book Antiqua"/>
        </w:rPr>
        <w:t xml:space="preserve"> evidencia um padrão específico: a ativação das capacidades ocorre de forma assincrônica. A CVM mobiliza sua capacidade analítica de maneira consistente, mas essa ativação não encontra continuidade no sistema penal. A Polícia Federal ativa sua capacidade investigativa de forma episódica, dependente de contextos excepcionais. O Ministério Público Federal, embora concentre a decisão, opera sob uma lógica de baixa visibilidade e limitada responsividade.</w:t>
      </w:r>
    </w:p>
    <w:p w14:paraId="426AFF17" w14:textId="77777777" w:rsidR="003D00D8" w:rsidRPr="0026351C" w:rsidRDefault="003D00D8" w:rsidP="003D00D8">
      <w:pPr>
        <w:spacing w:line="276" w:lineRule="auto"/>
        <w:ind w:firstLine="426"/>
        <w:jc w:val="both"/>
        <w:rPr>
          <w:rFonts w:ascii="Book Antiqua" w:hAnsi="Book Antiqua"/>
        </w:rPr>
      </w:pPr>
      <w:r w:rsidRPr="0026351C">
        <w:rPr>
          <w:rFonts w:ascii="Book Antiqua" w:hAnsi="Book Antiqua"/>
        </w:rPr>
        <w:t>Essa assincronia não é um detalhe operacional. Ela é o mecanismo central que produz o resultado observado. As capacidades não deixam de existir; elas deixam de se encontrar.</w:t>
      </w:r>
    </w:p>
    <w:p w14:paraId="1DC8EB9A" w14:textId="77777777" w:rsidR="003D00D8" w:rsidRPr="0026351C" w:rsidRDefault="003D00D8" w:rsidP="003D00D8">
      <w:pPr>
        <w:spacing w:line="276" w:lineRule="auto"/>
        <w:ind w:firstLine="426"/>
        <w:jc w:val="both"/>
        <w:rPr>
          <w:rFonts w:ascii="Book Antiqua" w:hAnsi="Book Antiqua"/>
        </w:rPr>
      </w:pPr>
      <w:r w:rsidRPr="0026351C">
        <w:rPr>
          <w:rFonts w:ascii="Book Antiqua" w:hAnsi="Book Antiqua"/>
        </w:rPr>
        <w:t xml:space="preserve">É nesse ponto que o diagnóstico se torna mais preciso. O </w:t>
      </w:r>
      <w:proofErr w:type="spellStart"/>
      <w:r w:rsidRPr="0026351C">
        <w:rPr>
          <w:rFonts w:ascii="Book Antiqua" w:hAnsi="Book Antiqua"/>
          <w:i/>
          <w:iCs/>
        </w:rPr>
        <w:t>enforcement</w:t>
      </w:r>
      <w:proofErr w:type="spellEnd"/>
      <w:r w:rsidRPr="0026351C">
        <w:rPr>
          <w:rFonts w:ascii="Book Antiqua" w:hAnsi="Book Antiqua"/>
        </w:rPr>
        <w:t xml:space="preserve"> penal do </w:t>
      </w:r>
      <w:proofErr w:type="spellStart"/>
      <w:r w:rsidRPr="0026351C">
        <w:rPr>
          <w:rFonts w:ascii="Book Antiqua" w:hAnsi="Book Antiqua"/>
          <w:i/>
          <w:iCs/>
        </w:rPr>
        <w:t>insider</w:t>
      </w:r>
      <w:proofErr w:type="spellEnd"/>
      <w:r w:rsidRPr="0026351C">
        <w:rPr>
          <w:rFonts w:ascii="Book Antiqua" w:hAnsi="Book Antiqua"/>
        </w:rPr>
        <w:t xml:space="preserve"> </w:t>
      </w:r>
      <w:r w:rsidRPr="0026351C">
        <w:rPr>
          <w:rFonts w:ascii="Book Antiqua" w:hAnsi="Book Antiqua"/>
          <w:i/>
          <w:iCs/>
        </w:rPr>
        <w:t>trading</w:t>
      </w:r>
      <w:r w:rsidRPr="0026351C">
        <w:rPr>
          <w:rFonts w:ascii="Book Antiqua" w:hAnsi="Book Antiqua"/>
        </w:rPr>
        <w:t xml:space="preserve"> não falha porque não há ação, mas porque não há encadeamento. O sistema produz insumos, mas não os organiza em sequência; mobiliza recursos, mas não os converte em resultado; inicia fluxos, mas não os sustenta.</w:t>
      </w:r>
    </w:p>
    <w:p w14:paraId="4003290B" w14:textId="77777777" w:rsidR="003D00D8" w:rsidRPr="0026351C" w:rsidRDefault="003D00D8" w:rsidP="003D00D8">
      <w:pPr>
        <w:spacing w:line="276" w:lineRule="auto"/>
        <w:ind w:firstLine="426"/>
        <w:jc w:val="both"/>
        <w:rPr>
          <w:rFonts w:ascii="Book Antiqua" w:hAnsi="Book Antiqua"/>
        </w:rPr>
      </w:pPr>
      <w:r w:rsidRPr="0026351C">
        <w:rPr>
          <w:rFonts w:ascii="Book Antiqua" w:hAnsi="Book Antiqua"/>
        </w:rPr>
        <w:t>A consequência é um padrão de baixa visibilidade e difícil rastreabilidade, no qual a ausência de ação penal não pode ser interpretada apenas como ausência de atuação, mas também como efeito de um arranjo que torna opaco o próprio percurso institucional.</w:t>
      </w:r>
    </w:p>
    <w:p w14:paraId="544A6A61" w14:textId="77777777" w:rsidR="003D00D8" w:rsidRPr="0026351C" w:rsidRDefault="003D00D8" w:rsidP="003D00D8">
      <w:pPr>
        <w:spacing w:line="276" w:lineRule="auto"/>
        <w:ind w:firstLine="426"/>
        <w:jc w:val="both"/>
        <w:rPr>
          <w:rFonts w:ascii="Book Antiqua" w:hAnsi="Book Antiqua"/>
        </w:rPr>
      </w:pPr>
      <w:r w:rsidRPr="0026351C">
        <w:rPr>
          <w:rFonts w:ascii="Book Antiqua" w:hAnsi="Book Antiqua"/>
        </w:rPr>
        <w:t xml:space="preserve">Esse achado tem implicações que ultrapassam o caso específico do </w:t>
      </w:r>
      <w:proofErr w:type="spellStart"/>
      <w:r w:rsidRPr="0026351C">
        <w:rPr>
          <w:rFonts w:ascii="Book Antiqua" w:hAnsi="Book Antiqua"/>
          <w:i/>
          <w:iCs/>
        </w:rPr>
        <w:t>insider</w:t>
      </w:r>
      <w:proofErr w:type="spellEnd"/>
      <w:r w:rsidRPr="0026351C">
        <w:rPr>
          <w:rFonts w:ascii="Book Antiqua" w:hAnsi="Book Antiqua"/>
          <w:i/>
          <w:iCs/>
        </w:rPr>
        <w:t xml:space="preserve"> trading.</w:t>
      </w:r>
      <w:r w:rsidRPr="0026351C">
        <w:rPr>
          <w:rFonts w:ascii="Book Antiqua" w:hAnsi="Book Antiqua"/>
        </w:rPr>
        <w:t xml:space="preserve"> Ele sugere que, em políticas públicas </w:t>
      </w:r>
      <w:proofErr w:type="spellStart"/>
      <w:r w:rsidRPr="0026351C">
        <w:rPr>
          <w:rFonts w:ascii="Book Antiqua" w:hAnsi="Book Antiqua"/>
        </w:rPr>
        <w:t>multiorganizacionais</w:t>
      </w:r>
      <w:proofErr w:type="spellEnd"/>
      <w:r w:rsidRPr="0026351C">
        <w:rPr>
          <w:rFonts w:ascii="Book Antiqua" w:hAnsi="Book Antiqua"/>
        </w:rPr>
        <w:t>, a efetividade não depende apenas da existência de capacidades ou da qualidade dos instrumentos normativos, mas da forma como o arranjo institucional produz, ou impede, a convergência dessas capacidades ao longo do fluxo de implementação.</w:t>
      </w:r>
    </w:p>
    <w:p w14:paraId="45DFEDD8" w14:textId="77777777" w:rsidR="003D00D8" w:rsidRPr="0026351C" w:rsidRDefault="003D00D8" w:rsidP="003D00D8">
      <w:pPr>
        <w:spacing w:line="276" w:lineRule="auto"/>
        <w:ind w:firstLine="426"/>
        <w:jc w:val="both"/>
        <w:rPr>
          <w:rFonts w:ascii="Book Antiqua" w:hAnsi="Book Antiqua"/>
        </w:rPr>
      </w:pPr>
      <w:r w:rsidRPr="0026351C">
        <w:rPr>
          <w:rFonts w:ascii="Book Antiqua" w:hAnsi="Book Antiqua"/>
        </w:rPr>
        <w:t>Em termos mais amplos, o que este estudo evidencia é um tipo particular de falha estatal: não a incapacidade de agir, mas a incapacidade de transformar ação em continuidade. O Estado brasileiro, nesse campo, não está ausente</w:t>
      </w:r>
      <w:r>
        <w:rPr>
          <w:rFonts w:ascii="Book Antiqua" w:hAnsi="Book Antiqua"/>
        </w:rPr>
        <w:t xml:space="preserve">, mas </w:t>
      </w:r>
      <w:r w:rsidRPr="00924A51">
        <w:rPr>
          <w:rFonts w:ascii="Book Antiqua" w:hAnsi="Book Antiqua"/>
          <w:i/>
          <w:iCs/>
        </w:rPr>
        <w:t>desarranjado</w:t>
      </w:r>
      <w:r w:rsidRPr="0026351C">
        <w:rPr>
          <w:rFonts w:ascii="Book Antiqua" w:hAnsi="Book Antiqua"/>
        </w:rPr>
        <w:t>.</w:t>
      </w:r>
    </w:p>
    <w:p w14:paraId="3AB452CF" w14:textId="77777777" w:rsidR="003D00D8" w:rsidRPr="00627FBB" w:rsidRDefault="003D00D8" w:rsidP="003D00D8">
      <w:pPr>
        <w:spacing w:line="276" w:lineRule="auto"/>
        <w:ind w:firstLine="426"/>
        <w:jc w:val="both"/>
        <w:rPr>
          <w:rFonts w:ascii="Book Antiqua" w:hAnsi="Book Antiqua"/>
        </w:rPr>
      </w:pPr>
      <w:r w:rsidRPr="0026351C">
        <w:rPr>
          <w:rFonts w:ascii="Book Antiqua" w:hAnsi="Book Antiqua"/>
        </w:rPr>
        <w:t xml:space="preserve">E é justamente esse desencontro, mais do que qualquer insuficiência isolada, que explica por que, apesar de toda a arquitetura normativa e institucional disponível, o </w:t>
      </w:r>
      <w:proofErr w:type="spellStart"/>
      <w:r w:rsidRPr="0026351C">
        <w:rPr>
          <w:rFonts w:ascii="Book Antiqua" w:hAnsi="Book Antiqua"/>
          <w:i/>
          <w:iCs/>
        </w:rPr>
        <w:t>enforcement</w:t>
      </w:r>
      <w:proofErr w:type="spellEnd"/>
      <w:r w:rsidRPr="0026351C">
        <w:rPr>
          <w:rFonts w:ascii="Book Antiqua" w:hAnsi="Book Antiqua"/>
        </w:rPr>
        <w:t xml:space="preserve"> penal do </w:t>
      </w:r>
      <w:proofErr w:type="spellStart"/>
      <w:r w:rsidRPr="0026351C">
        <w:rPr>
          <w:rFonts w:ascii="Book Antiqua" w:hAnsi="Book Antiqua"/>
          <w:i/>
          <w:iCs/>
        </w:rPr>
        <w:t>insider</w:t>
      </w:r>
      <w:proofErr w:type="spellEnd"/>
      <w:r w:rsidRPr="0026351C">
        <w:rPr>
          <w:rFonts w:ascii="Book Antiqua" w:hAnsi="Book Antiqua"/>
          <w:i/>
          <w:iCs/>
        </w:rPr>
        <w:t xml:space="preserve"> trading</w:t>
      </w:r>
      <w:r w:rsidRPr="0026351C">
        <w:rPr>
          <w:rFonts w:ascii="Book Antiqua" w:hAnsi="Book Antiqua"/>
        </w:rPr>
        <w:t xml:space="preserve"> permanece, ao mesmo tempo, ativo e invisível.</w:t>
      </w:r>
    </w:p>
    <w:sectPr w:rsidR="003D00D8" w:rsidRPr="00627FBB" w:rsidSect="003D00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BA7F0" w14:textId="77777777" w:rsidR="00D85780" w:rsidRDefault="00D85780" w:rsidP="003D00D8">
      <w:pPr>
        <w:spacing w:after="0" w:line="240" w:lineRule="auto"/>
      </w:pPr>
      <w:r>
        <w:separator/>
      </w:r>
    </w:p>
  </w:endnote>
  <w:endnote w:type="continuationSeparator" w:id="0">
    <w:p w14:paraId="63D86BB5" w14:textId="77777777" w:rsidR="00D85780" w:rsidRDefault="00D85780" w:rsidP="003D0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masis MT Pro">
    <w:charset w:val="00"/>
    <w:family w:val="roman"/>
    <w:pitch w:val="variable"/>
    <w:sig w:usb0="A00000A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5E6F1" w14:textId="77777777" w:rsidR="00D85780" w:rsidRDefault="00D85780" w:rsidP="003D00D8">
      <w:pPr>
        <w:spacing w:after="0" w:line="240" w:lineRule="auto"/>
      </w:pPr>
      <w:r>
        <w:separator/>
      </w:r>
    </w:p>
  </w:footnote>
  <w:footnote w:type="continuationSeparator" w:id="0">
    <w:p w14:paraId="5FAD1287" w14:textId="77777777" w:rsidR="00D85780" w:rsidRDefault="00D85780" w:rsidP="003D00D8">
      <w:pPr>
        <w:spacing w:after="0" w:line="240" w:lineRule="auto"/>
      </w:pPr>
      <w:r>
        <w:continuationSeparator/>
      </w:r>
    </w:p>
  </w:footnote>
  <w:footnote w:id="1">
    <w:p w14:paraId="32D992C9"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No caso do </w:t>
      </w:r>
      <w:proofErr w:type="spellStart"/>
      <w:r w:rsidRPr="00F72628">
        <w:rPr>
          <w:rFonts w:ascii="Book Antiqua" w:hAnsi="Book Antiqua"/>
          <w:i/>
          <w:iCs/>
        </w:rPr>
        <w:t>insider</w:t>
      </w:r>
      <w:proofErr w:type="spellEnd"/>
      <w:r w:rsidRPr="00F72628">
        <w:rPr>
          <w:rFonts w:ascii="Book Antiqua" w:hAnsi="Book Antiqua"/>
        </w:rPr>
        <w:t xml:space="preserve"> primário, as regras previstas na Instrução CVM 358, de 2002, e na Lei 6.404, de 1976, vedam a utilização de informação privilegiada por meio dos </w:t>
      </w:r>
      <w:proofErr w:type="spellStart"/>
      <w:r w:rsidRPr="00F72628">
        <w:rPr>
          <w:rFonts w:ascii="Book Antiqua" w:hAnsi="Book Antiqua"/>
        </w:rPr>
        <w:t>arts</w:t>
      </w:r>
      <w:proofErr w:type="spellEnd"/>
      <w:r w:rsidRPr="00F72628">
        <w:rPr>
          <w:rFonts w:ascii="Book Antiqua" w:hAnsi="Book Antiqua"/>
        </w:rPr>
        <w:t xml:space="preserve">. 13 e 155, § 1º, respectivamente, enquanto, para os </w:t>
      </w:r>
      <w:proofErr w:type="spellStart"/>
      <w:r w:rsidRPr="00F72628">
        <w:rPr>
          <w:rFonts w:ascii="Book Antiqua" w:hAnsi="Book Antiqua"/>
          <w:i/>
          <w:iCs/>
        </w:rPr>
        <w:t>insiders</w:t>
      </w:r>
      <w:proofErr w:type="spellEnd"/>
      <w:r w:rsidRPr="00F72628">
        <w:rPr>
          <w:rFonts w:ascii="Book Antiqua" w:hAnsi="Book Antiqua"/>
        </w:rPr>
        <w:t xml:space="preserve"> secundários, a proibição dessa conduta está prevista no § 1º do art. 13 da referida Instrução, bem como do § 4º do art. 155 da Lei das S.A. </w:t>
      </w:r>
    </w:p>
    <w:p w14:paraId="5FE0FCB6" w14:textId="77777777" w:rsidR="003D00D8" w:rsidRPr="00F72628" w:rsidRDefault="003D00D8" w:rsidP="003D00D8">
      <w:pPr>
        <w:pStyle w:val="Textodenotaderodap"/>
        <w:spacing w:line="276" w:lineRule="auto"/>
        <w:jc w:val="both"/>
        <w:rPr>
          <w:rFonts w:ascii="Book Antiqua" w:hAnsi="Book Antiqua"/>
        </w:rPr>
      </w:pPr>
      <w:r w:rsidRPr="00F72628">
        <w:rPr>
          <w:rFonts w:ascii="Book Antiqua" w:hAnsi="Book Antiqua"/>
        </w:rPr>
        <w:t xml:space="preserve"> </w:t>
      </w:r>
      <w:r w:rsidRPr="00F72628">
        <w:rPr>
          <w:rFonts w:ascii="Book Antiqua" w:hAnsi="Book Antiqua"/>
          <w:b/>
          <w:bCs/>
        </w:rPr>
        <w:t>Art. 155.</w:t>
      </w:r>
      <w:r w:rsidRPr="00F72628">
        <w:rPr>
          <w:rFonts w:ascii="Book Antiqua" w:hAnsi="Book Antiqua"/>
        </w:rPr>
        <w:t xml:space="preserve"> O administrador deve servir com lealdade à companhia e manter reserva sobre os seus negócios, sendo-lhe vedado: [...] </w:t>
      </w:r>
      <w:r w:rsidRPr="00F72628">
        <w:rPr>
          <w:rFonts w:ascii="Book Antiqua" w:hAnsi="Book Antiqua"/>
          <w:b/>
          <w:bCs/>
        </w:rPr>
        <w:t>§ 1º</w:t>
      </w:r>
      <w:r w:rsidRPr="00F72628">
        <w:rPr>
          <w:rFonts w:ascii="Book Antiqua" w:hAnsi="Book Antiqua"/>
        </w:rPr>
        <w:t xml:space="preserve"> Cumpre, ademais, ao administrador de companhia aberta, guardar sigilo sobre qualquer informação que ainda não tenha sido divulgada para conhecimento do mercado, obtida em razão do cargo e capaz de influir de modo ponderável na cotação de valores mobiliários, sendo-lhe vedado valer-se da informação para obter, para si ou para outrem, vantagem mediante compra ou venda de valores mobiliários. [...] </w:t>
      </w:r>
      <w:r w:rsidRPr="00F72628">
        <w:rPr>
          <w:rFonts w:ascii="Book Antiqua" w:hAnsi="Book Antiqua"/>
          <w:b/>
          <w:bCs/>
        </w:rPr>
        <w:t>§ 4o</w:t>
      </w:r>
      <w:r w:rsidRPr="00F72628">
        <w:rPr>
          <w:rFonts w:ascii="Book Antiqua" w:hAnsi="Book Antiqua"/>
        </w:rPr>
        <w:t> É vedada a utilização de informação relevante ainda não divulgada, por qualquer pessoa que a ela tenha tido acesso, com a finalidade de auferir vantagem, para si ou para outrem, no mercado de valores mobiliários. (Incluído pela Lei nº 10.303, de 2001). O tipo administrativo, atualmente previsto na Resolução CVM nº 44, assim dispõe: Art. 13. É vedada a utilização de informação relevante ainda não divulgada, por qualquer pessoa que a ela tenha tido acesso, com a finalidade de auferir vantagem, para si ou para outrem, mediante negociação de valores mobiliários.</w:t>
      </w:r>
    </w:p>
  </w:footnote>
  <w:footnote w:id="2">
    <w:p w14:paraId="554BCE33"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Art. 27-D. Utilizar informação relevante ainda não divulgada ao mercado, de que tenha conhecimento e da qual deva manter sigilo, capaz de propiciar, para si ou para outrem, vantagem indevida, mediante negociação, em nome próprio ou de terceiro, com valores mobiliários: Pena – Reclusão, de 1 (um) a 5 (cinco) anos, e multa de até 3 (três) vezes o montante da vantagem ilícita obtida em decorrência do crime. § 1º Incorre na mesma pena quem repassa informação sigilosa relativa a fato relevante a que tenha tido acesso em razão de cargo ou posição que ocupe em emissor de valores mobiliários ou em razão de relação comercial, profissional ou de confiança com o emissor.</w:t>
      </w:r>
    </w:p>
  </w:footnote>
  <w:footnote w:id="3">
    <w:p w14:paraId="58324C93" w14:textId="77777777" w:rsidR="003D00D8" w:rsidRPr="001C07A8" w:rsidRDefault="003D00D8" w:rsidP="003D00D8">
      <w:pPr>
        <w:pStyle w:val="Textodenotaderodap"/>
        <w:spacing w:line="276" w:lineRule="auto"/>
        <w:jc w:val="both"/>
        <w:rPr>
          <w:rFonts w:ascii="Book Antiqua" w:hAnsi="Book Antiqua"/>
        </w:rPr>
      </w:pPr>
      <w:r w:rsidRPr="001C07A8">
        <w:rPr>
          <w:rStyle w:val="Refdenotaderodap"/>
          <w:rFonts w:ascii="Book Antiqua" w:hAnsi="Book Antiqua"/>
        </w:rPr>
        <w:footnoteRef/>
      </w:r>
      <w:r w:rsidRPr="001C07A8">
        <w:rPr>
          <w:rFonts w:ascii="Book Antiqua" w:hAnsi="Book Antiqua"/>
        </w:rPr>
        <w:t xml:space="preserve"> Art. 27-D. Utilizar informação relevante de que tenha conhecimento, ainda não divulgada ao mercado, que seja capaz de propiciar, para si ou para outrem, vantagem indevida, mediante negociação, em nome próprio ou de terceiros, de valores mobiliários: Pena – Reclusão, de 1 (um) a 5 (cinco) anos, e multa de até 3 (três) vezes o montante da vantagem ilícita obtida em decorrência do crime. § 1º Incorre na mesma pena quem repassa informação sigilosa relativa a fato relevante a que tenha tido acesso em razão de cargo ou posição que ocupe em emissor de valores mobiliários ou em razão de relação comercial, profissional ou de confiança com o emissor. § 2º A pena é aumentada em 1/3 (um terço) se o agente comete o crime previsto no caput deste artigo valendo-se de informação relevante de que tenha conhecimento e da qual deva manter sigilo.</w:t>
      </w:r>
    </w:p>
  </w:footnote>
  <w:footnote w:id="4">
    <w:p w14:paraId="1CB07946" w14:textId="77777777" w:rsidR="003D00D8" w:rsidRPr="001C07A8" w:rsidRDefault="003D00D8" w:rsidP="003D00D8">
      <w:pPr>
        <w:pStyle w:val="Textodenotaderodap"/>
        <w:spacing w:line="276" w:lineRule="auto"/>
        <w:jc w:val="both"/>
        <w:rPr>
          <w:rFonts w:ascii="Book Antiqua" w:hAnsi="Book Antiqua"/>
        </w:rPr>
      </w:pPr>
      <w:r w:rsidRPr="001C07A8">
        <w:rPr>
          <w:rStyle w:val="Refdenotaderodap"/>
          <w:rFonts w:ascii="Book Antiqua" w:hAnsi="Book Antiqua"/>
        </w:rPr>
        <w:footnoteRef/>
      </w:r>
      <w:r w:rsidRPr="001C07A8">
        <w:rPr>
          <w:rFonts w:ascii="Book Antiqua" w:hAnsi="Book Antiqua"/>
        </w:rPr>
        <w:t xml:space="preserve"> CVM e MPF celebram em conjunto Termo de cooperação. Disponível em: https://conteudo.cvm.gov.br/convenios/mpf.html</w:t>
      </w:r>
    </w:p>
  </w:footnote>
  <w:footnote w:id="5">
    <w:p w14:paraId="39292C0D" w14:textId="77777777" w:rsidR="003D00D8" w:rsidRPr="001C07A8" w:rsidRDefault="003D00D8" w:rsidP="003D00D8">
      <w:pPr>
        <w:pStyle w:val="Textodenotaderodap"/>
        <w:jc w:val="both"/>
        <w:rPr>
          <w:rFonts w:ascii="Book Antiqua" w:hAnsi="Book Antiqua"/>
        </w:rPr>
      </w:pPr>
      <w:r w:rsidRPr="001C07A8">
        <w:rPr>
          <w:rStyle w:val="Refdenotaderodap"/>
          <w:rFonts w:ascii="Book Antiqua" w:hAnsi="Book Antiqua"/>
        </w:rPr>
        <w:footnoteRef/>
      </w:r>
      <w:r w:rsidRPr="001C07A8">
        <w:rPr>
          <w:rFonts w:ascii="Book Antiqua" w:hAnsi="Book Antiqua"/>
        </w:rPr>
        <w:t xml:space="preserve"> CVM e MPF celebram em conjunto Termo de cooperação. Disponível em: https://conteudo.cvm.gov.br/export/sites/cvm/convenios/anexos/DPF.pdf</w:t>
      </w:r>
    </w:p>
  </w:footnote>
  <w:footnote w:id="6">
    <w:p w14:paraId="7B8BBC58" w14:textId="77777777" w:rsidR="003D00D8" w:rsidRPr="001C07A8" w:rsidRDefault="003D00D8" w:rsidP="003D00D8">
      <w:pPr>
        <w:pStyle w:val="Textodenotaderodap"/>
        <w:spacing w:line="276" w:lineRule="auto"/>
        <w:jc w:val="both"/>
        <w:rPr>
          <w:rFonts w:ascii="Book Antiqua" w:hAnsi="Book Antiqua"/>
        </w:rPr>
      </w:pPr>
      <w:r w:rsidRPr="001C07A8">
        <w:rPr>
          <w:rStyle w:val="Refdenotaderodap"/>
          <w:rFonts w:ascii="Book Antiqua" w:hAnsi="Book Antiqua"/>
        </w:rPr>
        <w:footnoteRef/>
      </w:r>
      <w:r w:rsidRPr="001C07A8">
        <w:rPr>
          <w:rFonts w:ascii="Book Antiqua" w:hAnsi="Book Antiqua"/>
        </w:rPr>
        <w:t xml:space="preserve"> No presente estudo a expressão tem o sentido de cadeia de interações, fluxos, decisões e retornos que conecta diferentes instituições envolvidas em um mesmo processo. </w:t>
      </w:r>
    </w:p>
  </w:footnote>
  <w:footnote w:id="7">
    <w:p w14:paraId="3AC58311" w14:textId="77777777" w:rsidR="003D00D8" w:rsidRPr="00F72628" w:rsidRDefault="003D00D8" w:rsidP="003D00D8">
      <w:pPr>
        <w:pStyle w:val="Textodenotaderodap"/>
        <w:spacing w:line="276" w:lineRule="auto"/>
        <w:jc w:val="both"/>
        <w:rPr>
          <w:rFonts w:ascii="Book Antiqua" w:hAnsi="Book Antiqua"/>
        </w:rPr>
      </w:pPr>
      <w:r w:rsidRPr="001C07A8">
        <w:rPr>
          <w:rStyle w:val="Refdenotaderodap"/>
          <w:rFonts w:ascii="Book Antiqua" w:hAnsi="Book Antiqua"/>
        </w:rPr>
        <w:footnoteRef/>
      </w:r>
      <w:r w:rsidRPr="001C07A8">
        <w:rPr>
          <w:rFonts w:ascii="Book Antiqua" w:hAnsi="Book Antiqua"/>
        </w:rPr>
        <w:t xml:space="preserve"> O termo arranjo institucional (também referido como arranjo político-institucional) designa a configuração específica de regras, mecanismos, instrumentos e relações que estrutura a coordenação entre atores estatais e sociais em torno da implementação de uma política pública. É, portanto, o modelo concreto de governança que organiza a ação estatal em contextos democráticos, definindo como capacidades são mobilizadas, extraídas ou bloqueadas. Na literatura, o arranjo é descrito como o conjunto de regras particulares que orientam a coordenação de processos, delimitam quem participa, quais são os objetivos e quais formas de interação são institucionalmente autorizadas ou incentivadas</w:t>
      </w:r>
      <w:r w:rsidRPr="00F72628">
        <w:rPr>
          <w:rFonts w:ascii="Book Antiqua" w:hAnsi="Book Antiqua"/>
        </w:rPr>
        <w:t xml:space="preserve">. Em síntese, o arranjo institucional é o lócus onde intenções de política se tornam prática organizada: a infraestrutura de governança que materializa, limita ou potencializa a capacidade estatal. Cf. GOMIDE, Alexandre de Ávila; PIRES, Roberto Rocha Coelho. </w:t>
      </w:r>
      <w:r w:rsidRPr="00F72628">
        <w:rPr>
          <w:rFonts w:ascii="Book Antiqua" w:hAnsi="Book Antiqua"/>
          <w:b/>
          <w:bCs/>
        </w:rPr>
        <w:t>Capacidades estatais e democracia: arranjos institucionais de políticas públicas</w:t>
      </w:r>
      <w:r w:rsidRPr="00F72628">
        <w:rPr>
          <w:rFonts w:ascii="Book Antiqua" w:hAnsi="Book Antiqua"/>
        </w:rPr>
        <w:t>. 2014. Págs.  p. 17 - 25 e PIRES</w:t>
      </w:r>
      <w:r w:rsidRPr="00F72628">
        <w:rPr>
          <w:rFonts w:ascii="Book Antiqua" w:hAnsi="Book Antiqua"/>
          <w:i/>
          <w:iCs/>
        </w:rPr>
        <w:t xml:space="preserve">, </w:t>
      </w:r>
      <w:r w:rsidRPr="00F72628">
        <w:rPr>
          <w:rFonts w:ascii="Book Antiqua" w:hAnsi="Book Antiqua"/>
        </w:rPr>
        <w:t xml:space="preserve">Roberto Rocha Coelho; GOMIDE, Alexandre de Ávila. </w:t>
      </w:r>
      <w:r w:rsidRPr="00F72628">
        <w:rPr>
          <w:rFonts w:ascii="Book Antiqua" w:hAnsi="Book Antiqua"/>
          <w:b/>
          <w:bCs/>
        </w:rPr>
        <w:t>Governança e capacidades estatais a partir da abordagem dos arranjos e instrumentos de políticas públicas</w:t>
      </w:r>
      <w:r w:rsidRPr="00F72628">
        <w:rPr>
          <w:rFonts w:ascii="Book Antiqua" w:hAnsi="Book Antiqua"/>
        </w:rPr>
        <w:t>. 2018. e</w:t>
      </w:r>
      <w:r w:rsidRPr="00F72628">
        <w:rPr>
          <w:rFonts w:ascii="Book Antiqua" w:hAnsi="Book Antiqua"/>
          <w:i/>
          <w:iCs/>
        </w:rPr>
        <w:t xml:space="preserve"> </w:t>
      </w:r>
      <w:r w:rsidRPr="00F72628">
        <w:rPr>
          <w:rFonts w:ascii="Book Antiqua" w:hAnsi="Book Antiqua"/>
        </w:rPr>
        <w:t xml:space="preserve"> PIRES, Roberto Rocha Coelho </w:t>
      </w:r>
      <w:r w:rsidRPr="00F72628">
        <w:rPr>
          <w:rFonts w:ascii="Book Antiqua" w:hAnsi="Book Antiqua"/>
          <w:i/>
          <w:iCs/>
        </w:rPr>
        <w:t>et al</w:t>
      </w:r>
      <w:r w:rsidRPr="00F72628">
        <w:rPr>
          <w:rFonts w:ascii="Book Antiqua" w:hAnsi="Book Antiqua"/>
        </w:rPr>
        <w:t>. Arranjos de implementação e ativação de capacidades estatais para políticas públicas: uma abordagem analítica. </w:t>
      </w:r>
      <w:r w:rsidRPr="00F72628">
        <w:rPr>
          <w:rFonts w:ascii="Book Antiqua" w:hAnsi="Book Antiqua"/>
          <w:b/>
          <w:bCs/>
        </w:rPr>
        <w:t>Revista de Sociologia e Política</w:t>
      </w:r>
      <w:r w:rsidRPr="00F72628">
        <w:rPr>
          <w:rFonts w:ascii="Book Antiqua" w:hAnsi="Book Antiqua"/>
        </w:rPr>
        <w:t>, v. 32, p. e022, 2024.</w:t>
      </w:r>
    </w:p>
  </w:footnote>
  <w:footnote w:id="8">
    <w:p w14:paraId="4641E9D5" w14:textId="77777777" w:rsidR="003D00D8" w:rsidRPr="00F72628" w:rsidRDefault="003D00D8" w:rsidP="003D00D8">
      <w:pPr>
        <w:spacing w:after="0" w:line="276" w:lineRule="auto"/>
        <w:jc w:val="both"/>
        <w:rPr>
          <w:rFonts w:ascii="Book Antiqua" w:hAnsi="Book Antiqua" w:cs="Arial"/>
          <w:sz w:val="20"/>
          <w:szCs w:val="20"/>
        </w:rPr>
      </w:pPr>
      <w:r w:rsidRPr="00F72628">
        <w:rPr>
          <w:rStyle w:val="Refdenotaderodap"/>
          <w:rFonts w:ascii="Book Antiqua" w:hAnsi="Book Antiqua"/>
          <w:sz w:val="20"/>
          <w:szCs w:val="20"/>
        </w:rPr>
        <w:footnoteRef/>
      </w:r>
      <w:r w:rsidRPr="00F72628">
        <w:rPr>
          <w:rFonts w:ascii="Book Antiqua" w:hAnsi="Book Antiqua"/>
          <w:sz w:val="20"/>
          <w:szCs w:val="20"/>
        </w:rPr>
        <w:t xml:space="preserve"> </w:t>
      </w:r>
      <w:r w:rsidRPr="00F72628">
        <w:rPr>
          <w:rFonts w:ascii="Book Antiqua" w:hAnsi="Book Antiqua" w:cs="Arial"/>
          <w:sz w:val="20"/>
          <w:szCs w:val="20"/>
        </w:rPr>
        <w:t xml:space="preserve">A relevância da deficiência do </w:t>
      </w:r>
      <w:proofErr w:type="spellStart"/>
      <w:r w:rsidRPr="00F72628">
        <w:rPr>
          <w:rFonts w:ascii="Book Antiqua" w:hAnsi="Book Antiqua" w:cs="Arial"/>
          <w:i/>
          <w:iCs/>
          <w:sz w:val="20"/>
          <w:szCs w:val="20"/>
        </w:rPr>
        <w:t>enforcement</w:t>
      </w:r>
      <w:proofErr w:type="spellEnd"/>
      <w:r w:rsidRPr="00F72628">
        <w:rPr>
          <w:rFonts w:ascii="Book Antiqua" w:hAnsi="Book Antiqua" w:cs="Arial"/>
          <w:sz w:val="20"/>
          <w:szCs w:val="20"/>
        </w:rPr>
        <w:t xml:space="preserve"> penal em mercado de capitais não passa despercebida pela literatura há mais de uma década, conforme AMARAL, Thiago Bottino do </w:t>
      </w:r>
      <w:r w:rsidRPr="00F72628">
        <w:rPr>
          <w:rFonts w:ascii="Book Antiqua" w:hAnsi="Book Antiqua" w:cs="Arial"/>
          <w:i/>
          <w:sz w:val="20"/>
          <w:szCs w:val="20"/>
        </w:rPr>
        <w:t>et al</w:t>
      </w:r>
      <w:r w:rsidRPr="00F72628">
        <w:rPr>
          <w:rFonts w:ascii="Book Antiqua" w:hAnsi="Book Antiqua" w:cs="Arial"/>
          <w:sz w:val="20"/>
          <w:szCs w:val="20"/>
        </w:rPr>
        <w:t xml:space="preserve">. Seletividade do sistema penal nos crimes contra o mercado de capitais. </w:t>
      </w:r>
      <w:r w:rsidRPr="00F72628">
        <w:rPr>
          <w:rFonts w:ascii="Book Antiqua" w:hAnsi="Book Antiqua" w:cs="Arial"/>
          <w:i/>
          <w:sz w:val="20"/>
          <w:szCs w:val="20"/>
        </w:rPr>
        <w:t>In</w:t>
      </w:r>
      <w:r w:rsidRPr="00F72628">
        <w:rPr>
          <w:rFonts w:ascii="Book Antiqua" w:hAnsi="Book Antiqua" w:cs="Arial"/>
          <w:sz w:val="20"/>
          <w:szCs w:val="20"/>
        </w:rPr>
        <w:t>: </w:t>
      </w:r>
      <w:r w:rsidRPr="00F72628">
        <w:rPr>
          <w:rFonts w:ascii="Book Antiqua" w:hAnsi="Book Antiqua" w:cs="Arial"/>
          <w:bCs/>
          <w:sz w:val="20"/>
          <w:szCs w:val="20"/>
        </w:rPr>
        <w:t>AMARAL, Thiago Bottino do; MALAN, Diogo.</w:t>
      </w:r>
      <w:r w:rsidRPr="00F72628">
        <w:rPr>
          <w:rFonts w:ascii="Book Antiqua" w:hAnsi="Book Antiqua" w:cs="Arial"/>
          <w:b/>
          <w:bCs/>
          <w:sz w:val="20"/>
          <w:szCs w:val="20"/>
        </w:rPr>
        <w:t xml:space="preserve"> Direito Penal e Economia</w:t>
      </w:r>
      <w:r w:rsidRPr="00F72628">
        <w:rPr>
          <w:rFonts w:ascii="Book Antiqua" w:hAnsi="Book Antiqua" w:cs="Arial"/>
          <w:bCs/>
          <w:sz w:val="20"/>
          <w:szCs w:val="20"/>
        </w:rPr>
        <w:t>. Rio de Janeiro: Elsevier</w:t>
      </w:r>
      <w:r w:rsidRPr="00F72628">
        <w:rPr>
          <w:rFonts w:ascii="Book Antiqua" w:hAnsi="Book Antiqua" w:cs="Arial"/>
          <w:sz w:val="20"/>
          <w:szCs w:val="20"/>
        </w:rPr>
        <w:t xml:space="preserve">, 2012. p. 147-175.  Marcelo Cavali em seus trabalhos, hipotetiza sobre as razões diversas da raridade de ocorrência das condutas, a pouca eficiência no monitoramento (base da cadeia de </w:t>
      </w:r>
      <w:proofErr w:type="spellStart"/>
      <w:r w:rsidRPr="00F72628">
        <w:rPr>
          <w:rFonts w:ascii="Book Antiqua" w:hAnsi="Book Antiqua" w:cs="Arial"/>
          <w:i/>
          <w:iCs/>
          <w:sz w:val="20"/>
          <w:szCs w:val="20"/>
        </w:rPr>
        <w:t>enforcement</w:t>
      </w:r>
      <w:proofErr w:type="spellEnd"/>
      <w:r w:rsidRPr="00F72628">
        <w:rPr>
          <w:rFonts w:ascii="Book Antiqua" w:hAnsi="Book Antiqua" w:cs="Arial"/>
          <w:sz w:val="20"/>
          <w:szCs w:val="20"/>
        </w:rPr>
        <w:t xml:space="preserve">) ou o reduzido investimento na estrutura da apuração das infrações (topo da cadeia de </w:t>
      </w:r>
      <w:proofErr w:type="spellStart"/>
      <w:r w:rsidRPr="00F72628">
        <w:rPr>
          <w:rFonts w:ascii="Book Antiqua" w:hAnsi="Book Antiqua" w:cs="Arial"/>
          <w:i/>
          <w:iCs/>
          <w:sz w:val="20"/>
          <w:szCs w:val="20"/>
        </w:rPr>
        <w:t>enforcement</w:t>
      </w:r>
      <w:proofErr w:type="spellEnd"/>
      <w:r w:rsidRPr="00F72628">
        <w:rPr>
          <w:rFonts w:ascii="Book Antiqua" w:hAnsi="Book Antiqua" w:cs="Arial"/>
          <w:i/>
          <w:iCs/>
          <w:sz w:val="20"/>
          <w:szCs w:val="20"/>
        </w:rPr>
        <w:t xml:space="preserve">). </w:t>
      </w:r>
      <w:r w:rsidRPr="00F72628">
        <w:rPr>
          <w:rFonts w:ascii="Book Antiqua" w:hAnsi="Book Antiqua" w:cs="Arial"/>
          <w:sz w:val="20"/>
          <w:szCs w:val="20"/>
        </w:rPr>
        <w:t>CAVALI, Marcelo Costenaro. </w:t>
      </w:r>
      <w:r w:rsidRPr="00F72628">
        <w:rPr>
          <w:rFonts w:ascii="Book Antiqua" w:hAnsi="Book Antiqua" w:cs="Arial"/>
          <w:b/>
          <w:bCs/>
          <w:sz w:val="20"/>
          <w:szCs w:val="20"/>
        </w:rPr>
        <w:t>Fundamento e limites da repressão penal da manipulação do mercado de capitais</w:t>
      </w:r>
      <w:r w:rsidRPr="00F72628">
        <w:rPr>
          <w:rFonts w:ascii="Book Antiqua" w:hAnsi="Book Antiqua" w:cs="Arial"/>
          <w:bCs/>
          <w:sz w:val="20"/>
          <w:szCs w:val="20"/>
        </w:rPr>
        <w:t>: uma análise a partir do bem jurídico da capacidade funcional alocativa do mercado</w:t>
      </w:r>
      <w:r w:rsidRPr="00F72628">
        <w:rPr>
          <w:rFonts w:ascii="Book Antiqua" w:hAnsi="Book Antiqua" w:cs="Arial"/>
          <w:sz w:val="20"/>
          <w:szCs w:val="20"/>
        </w:rPr>
        <w:t xml:space="preserve">. 2017. 352 f. Tese (Doutorado em Direito) -  Faculdade de Direito, Universidade de São Paulo, São Paulo, 2017 e CAVALI, Marcelo Costenaro. Insider trading: Repressão administrativa e penal do uso indevido de informação privilegiada. 1ª ed. Rio de Janeiro: Quartier </w:t>
      </w:r>
      <w:proofErr w:type="spellStart"/>
      <w:r w:rsidRPr="00F72628">
        <w:rPr>
          <w:rFonts w:ascii="Book Antiqua" w:hAnsi="Book Antiqua" w:cs="Arial"/>
          <w:sz w:val="20"/>
          <w:szCs w:val="20"/>
        </w:rPr>
        <w:t>Latin</w:t>
      </w:r>
      <w:proofErr w:type="spellEnd"/>
      <w:r w:rsidRPr="00F72628">
        <w:rPr>
          <w:rFonts w:ascii="Book Antiqua" w:hAnsi="Book Antiqua" w:cs="Arial"/>
          <w:sz w:val="20"/>
          <w:szCs w:val="20"/>
        </w:rPr>
        <w:t xml:space="preserve">, 2022 </w:t>
      </w:r>
    </w:p>
  </w:footnote>
  <w:footnote w:id="9">
    <w:p w14:paraId="69B4753B" w14:textId="77777777" w:rsidR="003D00D8" w:rsidRDefault="003D00D8" w:rsidP="003D00D8">
      <w:pPr>
        <w:pStyle w:val="Textodenotaderodap"/>
        <w:jc w:val="both"/>
      </w:pPr>
      <w:r>
        <w:rPr>
          <w:rStyle w:val="Refdenotaderodap"/>
        </w:rPr>
        <w:footnoteRef/>
      </w:r>
      <w:r>
        <w:t xml:space="preserve"> </w:t>
      </w:r>
      <w:r w:rsidRPr="009D0FB4">
        <w:rPr>
          <w:rFonts w:ascii="Book Antiqua" w:hAnsi="Book Antiqua"/>
        </w:rPr>
        <w:t xml:space="preserve">Embora a literatura e as bases públicas sugiram baixa responsabilização penal, o dado empiricamente robusto é outro: a opacidade da etapa decisória. A impossibilidade de reconstruir o fluxo PAS → inquérito → denúncia, dada a ausência de estatísticas consolidadas, devolutivas formais e sistemas integrados, revela não apenas um déficit informacional, mas uma falha estrutural de coordenação e monitoramento (COOR/MONI). O resultado é um circuito cuja continuidade não pode ser observada, o que indica ativação parcial, irregular e descontínua das capacidades estatais que compõem o </w:t>
      </w:r>
      <w:proofErr w:type="spellStart"/>
      <w:r w:rsidRPr="009D0FB4">
        <w:rPr>
          <w:rFonts w:ascii="Book Antiqua" w:hAnsi="Book Antiqua"/>
        </w:rPr>
        <w:t>enforcement</w:t>
      </w:r>
      <w:proofErr w:type="spellEnd"/>
      <w:r w:rsidRPr="009D0FB4">
        <w:rPr>
          <w:rFonts w:ascii="Book Antiqua" w:hAnsi="Book Antiqua"/>
        </w:rPr>
        <w:t xml:space="preserve"> penal do </w:t>
      </w:r>
      <w:proofErr w:type="spellStart"/>
      <w:r w:rsidRPr="009D0FB4">
        <w:rPr>
          <w:rFonts w:ascii="Book Antiqua" w:hAnsi="Book Antiqua"/>
        </w:rPr>
        <w:t>insider</w:t>
      </w:r>
      <w:proofErr w:type="spellEnd"/>
      <w:r w:rsidRPr="009D0FB4">
        <w:rPr>
          <w:rFonts w:ascii="Book Antiqua" w:hAnsi="Book Antiqua"/>
        </w:rPr>
        <w:t xml:space="preserve"> trading. Dessa opacidade decorre a hipótese analítica de que a responsabilização penal seja, de fato, baixa; mas o ponto central é que o arranjo institucional não permite verificar essa etapa, o que constitui parte essencial do problema analisado.</w:t>
      </w:r>
    </w:p>
  </w:footnote>
  <w:footnote w:id="10">
    <w:p w14:paraId="4B024501"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CVM: Ativação analítica forte, ativação relacional fraca. Implicação causal: a capacidade existe, mas permanece parcialmente latente porque o arranjo não mobiliza mecanismos de integração.</w:t>
      </w:r>
    </w:p>
  </w:footnote>
  <w:footnote w:id="11">
    <w:p w14:paraId="311E18C5"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PF: Ativação operacional episódica e descontínua. Implicação causal: a ativação é episódica, incapaz de gerar continuidade.</w:t>
      </w:r>
    </w:p>
  </w:footnote>
  <w:footnote w:id="12">
    <w:p w14:paraId="6AA91C80"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MPF: Capacidade decisória opaca e politicamente despriorizada. Implicação causal: a etapa decisória se torna um ponto cego estrutural do arranjo.</w:t>
      </w:r>
    </w:p>
  </w:footnote>
  <w:footnote w:id="13">
    <w:p w14:paraId="74B739A8"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AMARAL, Thiago Bottino do et al. Seletividade do sistema penal nos crimes contra o mercado de capitais. In: AMARAL, Thiago Bottino do; MALAN, Diogo. Direito Penal e Economia. Rio de Janeiro: Elsevier, 2012. p. 147-175.  </w:t>
      </w:r>
      <w:r w:rsidRPr="00F72628">
        <w:rPr>
          <w:rFonts w:ascii="Book Antiqua" w:hAnsi="Book Antiqua"/>
          <w:b/>
          <w:bCs/>
        </w:rPr>
        <w:t>MACIEL, Karina Teresa da Silva; MARTIN, Antônio.</w:t>
      </w:r>
      <w:r w:rsidRPr="00F72628">
        <w:rPr>
          <w:rFonts w:ascii="Book Antiqua" w:hAnsi="Book Antiqua"/>
        </w:rPr>
        <w:t xml:space="preserve"> Efetividade da repressão ao </w:t>
      </w:r>
      <w:proofErr w:type="spellStart"/>
      <w:r w:rsidRPr="00F72628">
        <w:rPr>
          <w:rFonts w:ascii="Book Antiqua" w:hAnsi="Book Antiqua"/>
        </w:rPr>
        <w:t>insider</w:t>
      </w:r>
      <w:proofErr w:type="spellEnd"/>
      <w:r w:rsidRPr="00F72628">
        <w:rPr>
          <w:rFonts w:ascii="Book Antiqua" w:hAnsi="Book Antiqua"/>
        </w:rPr>
        <w:t xml:space="preserve"> trading. </w:t>
      </w:r>
      <w:r w:rsidRPr="00F72628">
        <w:rPr>
          <w:rFonts w:ascii="Book Antiqua" w:hAnsi="Book Antiqua"/>
          <w:i/>
          <w:iCs/>
        </w:rPr>
        <w:t>Revista de Direito Empresarial</w:t>
      </w:r>
      <w:r w:rsidRPr="00F72628">
        <w:rPr>
          <w:rFonts w:ascii="Book Antiqua" w:hAnsi="Book Antiqua"/>
        </w:rPr>
        <w:t>, v. 3, p. 149–175, maio/jun. 2014. DTR/2014/2711.</w:t>
      </w:r>
    </w:p>
  </w:footnote>
  <w:footnote w:id="14">
    <w:p w14:paraId="342BD619"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BORBA, Thiago </w:t>
      </w:r>
      <w:proofErr w:type="spellStart"/>
      <w:r w:rsidRPr="00F72628">
        <w:rPr>
          <w:rFonts w:ascii="Book Antiqua" w:hAnsi="Book Antiqua"/>
        </w:rPr>
        <w:t>Cochenski</w:t>
      </w:r>
      <w:proofErr w:type="spellEnd"/>
      <w:r w:rsidRPr="00F72628">
        <w:rPr>
          <w:rFonts w:ascii="Book Antiqua" w:hAnsi="Book Antiqua"/>
        </w:rPr>
        <w:t>. Acessoriedade Administrativa e Dúvida sobre a Proibição nos Crimes contra o Mercado de Capitais. </w:t>
      </w:r>
      <w:r w:rsidRPr="00F72628">
        <w:rPr>
          <w:rFonts w:ascii="Book Antiqua" w:hAnsi="Book Antiqua"/>
          <w:b/>
          <w:bCs/>
        </w:rPr>
        <w:t>Revista da Procuradoria-Geral do Banco Central</w:t>
      </w:r>
      <w:r w:rsidRPr="00F72628">
        <w:rPr>
          <w:rFonts w:ascii="Book Antiqua" w:hAnsi="Book Antiqua"/>
        </w:rPr>
        <w:t xml:space="preserve">, v. 17, n. 1, p. 171-193, 2023 e </w:t>
      </w:r>
      <w:r w:rsidRPr="00F72628">
        <w:rPr>
          <w:rFonts w:ascii="Book Antiqua" w:hAnsi="Book Antiqua"/>
          <w:b/>
          <w:bCs/>
        </w:rPr>
        <w:t>CHARÃO, Anderson Pereira; RIBEIRO, Marcia Carla Pereira.</w:t>
      </w:r>
      <w:r w:rsidRPr="00F72628">
        <w:rPr>
          <w:rFonts w:ascii="Book Antiqua" w:hAnsi="Book Antiqua"/>
        </w:rPr>
        <w:t xml:space="preserve"> A (In)Eficiência da Punição do </w:t>
      </w:r>
      <w:r w:rsidRPr="00F72628">
        <w:rPr>
          <w:rFonts w:ascii="Book Antiqua" w:hAnsi="Book Antiqua"/>
          <w:i/>
          <w:iCs/>
        </w:rPr>
        <w:t>Insider Trading</w:t>
      </w:r>
      <w:r w:rsidRPr="00F72628">
        <w:rPr>
          <w:rFonts w:ascii="Book Antiqua" w:hAnsi="Book Antiqua"/>
        </w:rPr>
        <w:t xml:space="preserve"> à Luz da Análise Econômica do Direito e da Jurisprudência da Comissão de Valores Mobiliários. </w:t>
      </w:r>
      <w:r w:rsidRPr="00F72628">
        <w:rPr>
          <w:rFonts w:ascii="Book Antiqua" w:hAnsi="Book Antiqua"/>
          <w:i/>
          <w:iCs/>
        </w:rPr>
        <w:t xml:space="preserve">Economic </w:t>
      </w:r>
      <w:proofErr w:type="spellStart"/>
      <w:r w:rsidRPr="00F72628">
        <w:rPr>
          <w:rFonts w:ascii="Book Antiqua" w:hAnsi="Book Antiqua"/>
          <w:i/>
          <w:iCs/>
        </w:rPr>
        <w:t>Analysis</w:t>
      </w:r>
      <w:proofErr w:type="spellEnd"/>
      <w:r w:rsidRPr="00F72628">
        <w:rPr>
          <w:rFonts w:ascii="Book Antiqua" w:hAnsi="Book Antiqua"/>
          <w:i/>
          <w:iCs/>
        </w:rPr>
        <w:t xml:space="preserve"> </w:t>
      </w:r>
      <w:proofErr w:type="spellStart"/>
      <w:r w:rsidRPr="00F72628">
        <w:rPr>
          <w:rFonts w:ascii="Book Antiqua" w:hAnsi="Book Antiqua"/>
          <w:i/>
          <w:iCs/>
        </w:rPr>
        <w:t>of</w:t>
      </w:r>
      <w:proofErr w:type="spellEnd"/>
      <w:r w:rsidRPr="00F72628">
        <w:rPr>
          <w:rFonts w:ascii="Book Antiqua" w:hAnsi="Book Antiqua"/>
          <w:i/>
          <w:iCs/>
        </w:rPr>
        <w:t xml:space="preserve"> Law Review</w:t>
      </w:r>
      <w:r w:rsidRPr="00F72628">
        <w:rPr>
          <w:rFonts w:ascii="Book Antiqua" w:hAnsi="Book Antiqua"/>
        </w:rPr>
        <w:t>, v. 10, n. 1, p. 142–157, jan./abr. 2019.</w:t>
      </w:r>
    </w:p>
  </w:footnote>
  <w:footnote w:id="15">
    <w:p w14:paraId="10C13E7F"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w:t>
      </w:r>
      <w:r w:rsidRPr="00F72628">
        <w:rPr>
          <w:rFonts w:ascii="Book Antiqua" w:hAnsi="Book Antiqua"/>
          <w:color w:val="000000" w:themeColor="text1"/>
        </w:rPr>
        <w:t>SANTOS, Nahama Gomes dos. Duas décadas de atuação do Ministério Público Federal em crimes contra o mercado de capitais: lacunas, prioridades e perspectivas. </w:t>
      </w:r>
      <w:r w:rsidRPr="00F72628">
        <w:rPr>
          <w:rFonts w:ascii="Book Antiqua" w:hAnsi="Book Antiqua"/>
          <w:b/>
          <w:bCs/>
          <w:color w:val="000000" w:themeColor="text1"/>
        </w:rPr>
        <w:t>Revista Brasileira de Direito Processual Penal</w:t>
      </w:r>
      <w:r w:rsidRPr="00F72628">
        <w:rPr>
          <w:rFonts w:ascii="Book Antiqua" w:hAnsi="Book Antiqua"/>
          <w:color w:val="000000" w:themeColor="text1"/>
        </w:rPr>
        <w:t>, </w:t>
      </w:r>
      <w:r w:rsidRPr="00F72628">
        <w:rPr>
          <w:rFonts w:ascii="Book Antiqua" w:hAnsi="Book Antiqua"/>
          <w:i/>
          <w:iCs/>
          <w:color w:val="000000" w:themeColor="text1"/>
        </w:rPr>
        <w:t>[S. l.]</w:t>
      </w:r>
      <w:r w:rsidRPr="00F72628">
        <w:rPr>
          <w:rFonts w:ascii="Book Antiqua" w:hAnsi="Book Antiqua"/>
          <w:color w:val="000000" w:themeColor="text1"/>
        </w:rPr>
        <w:t>, v. 11, n. 3, 2025. DOI: </w:t>
      </w:r>
      <w:hyperlink r:id="rId1" w:history="1">
        <w:r w:rsidRPr="00F72628">
          <w:rPr>
            <w:rStyle w:val="Hyperlink"/>
            <w:rFonts w:ascii="Book Antiqua" w:hAnsi="Book Antiqua"/>
            <w:color w:val="000000" w:themeColor="text1"/>
          </w:rPr>
          <w:t>10.22197/rbdpp.v11i3.1210</w:t>
        </w:r>
      </w:hyperlink>
      <w:r w:rsidRPr="00F72628">
        <w:rPr>
          <w:rFonts w:ascii="Book Antiqua" w:hAnsi="Book Antiqua"/>
          <w:color w:val="000000" w:themeColor="text1"/>
        </w:rPr>
        <w:t>. Disponível em: </w:t>
      </w:r>
      <w:hyperlink r:id="rId2" w:history="1">
        <w:r w:rsidRPr="00F72628">
          <w:rPr>
            <w:rStyle w:val="Hyperlink"/>
            <w:rFonts w:ascii="Book Antiqua" w:hAnsi="Book Antiqua"/>
            <w:color w:val="000000" w:themeColor="text1"/>
          </w:rPr>
          <w:t>https://revista.ibraspp.com.br/RBDPP/</w:t>
        </w:r>
        <w:proofErr w:type="spellStart"/>
        <w:r w:rsidRPr="00F72628">
          <w:rPr>
            <w:rStyle w:val="Hyperlink"/>
            <w:rFonts w:ascii="Book Antiqua" w:hAnsi="Book Antiqua"/>
            <w:color w:val="000000" w:themeColor="text1"/>
          </w:rPr>
          <w:t>article</w:t>
        </w:r>
        <w:proofErr w:type="spellEnd"/>
        <w:r w:rsidRPr="00F72628">
          <w:rPr>
            <w:rStyle w:val="Hyperlink"/>
            <w:rFonts w:ascii="Book Antiqua" w:hAnsi="Book Antiqua"/>
            <w:color w:val="000000" w:themeColor="text1"/>
          </w:rPr>
          <w:t>/</w:t>
        </w:r>
        <w:proofErr w:type="spellStart"/>
        <w:r w:rsidRPr="00F72628">
          <w:rPr>
            <w:rStyle w:val="Hyperlink"/>
            <w:rFonts w:ascii="Book Antiqua" w:hAnsi="Book Antiqua"/>
            <w:color w:val="000000" w:themeColor="text1"/>
          </w:rPr>
          <w:t>view</w:t>
        </w:r>
        <w:proofErr w:type="spellEnd"/>
        <w:r w:rsidRPr="00F72628">
          <w:rPr>
            <w:rStyle w:val="Hyperlink"/>
            <w:rFonts w:ascii="Book Antiqua" w:hAnsi="Book Antiqua"/>
            <w:color w:val="000000" w:themeColor="text1"/>
          </w:rPr>
          <w:t>/1210</w:t>
        </w:r>
      </w:hyperlink>
      <w:r w:rsidRPr="00F72628">
        <w:rPr>
          <w:rFonts w:ascii="Book Antiqua" w:hAnsi="Book Antiqua"/>
          <w:color w:val="000000" w:themeColor="text1"/>
        </w:rPr>
        <w:t>.</w:t>
      </w:r>
      <w:r w:rsidRPr="00F72628">
        <w:rPr>
          <w:rFonts w:ascii="Book Antiqua" w:hAnsi="Book Antiqua"/>
        </w:rPr>
        <w:t xml:space="preserve"> Acesso em: 29 nov. 2025.</w:t>
      </w:r>
    </w:p>
  </w:footnote>
  <w:footnote w:id="16">
    <w:p w14:paraId="60875791"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Expressões que apareceram nas 4 entrevistas realizadas (até agora). </w:t>
      </w:r>
    </w:p>
  </w:footnote>
  <w:footnote w:id="17">
    <w:p w14:paraId="43372FD1"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PIRES, Roberto Rocha Coelho et al. Arranjos de implementação e ativação de capacidades estatais para políticas públicas: uma abordagem analítica. </w:t>
      </w:r>
      <w:r w:rsidRPr="00F72628">
        <w:rPr>
          <w:rFonts w:ascii="Book Antiqua" w:hAnsi="Book Antiqua"/>
          <w:b/>
          <w:bCs/>
        </w:rPr>
        <w:t>Revista de Sociologia e Política</w:t>
      </w:r>
      <w:r w:rsidRPr="00F72628">
        <w:rPr>
          <w:rFonts w:ascii="Book Antiqua" w:hAnsi="Book Antiqua"/>
        </w:rPr>
        <w:t xml:space="preserve">, v. 32, p. e022, 2024; </w:t>
      </w:r>
      <w:proofErr w:type="spellStart"/>
      <w:r w:rsidRPr="00F72628">
        <w:rPr>
          <w:rFonts w:ascii="Book Antiqua" w:hAnsi="Book Antiqua"/>
        </w:rPr>
        <w:t>Cingolani</w:t>
      </w:r>
      <w:proofErr w:type="spellEnd"/>
      <w:r w:rsidRPr="00F72628">
        <w:rPr>
          <w:rFonts w:ascii="Book Antiqua" w:hAnsi="Book Antiqua"/>
        </w:rPr>
        <w:t xml:space="preserve">, L. (2013) The </w:t>
      </w:r>
      <w:proofErr w:type="spellStart"/>
      <w:r w:rsidRPr="00F72628">
        <w:rPr>
          <w:rFonts w:ascii="Book Antiqua" w:hAnsi="Book Antiqua"/>
        </w:rPr>
        <w:t>state</w:t>
      </w:r>
      <w:proofErr w:type="spellEnd"/>
      <w:r w:rsidRPr="00F72628">
        <w:rPr>
          <w:rFonts w:ascii="Book Antiqua" w:hAnsi="Book Antiqua"/>
        </w:rPr>
        <w:t xml:space="preserve"> </w:t>
      </w:r>
      <w:proofErr w:type="spellStart"/>
      <w:r w:rsidRPr="00F72628">
        <w:rPr>
          <w:rFonts w:ascii="Book Antiqua" w:hAnsi="Book Antiqua"/>
        </w:rPr>
        <w:t>of</w:t>
      </w:r>
      <w:proofErr w:type="spellEnd"/>
      <w:r w:rsidRPr="00F72628">
        <w:rPr>
          <w:rFonts w:ascii="Book Antiqua" w:hAnsi="Book Antiqua"/>
        </w:rPr>
        <w:t xml:space="preserve"> </w:t>
      </w:r>
      <w:proofErr w:type="spellStart"/>
      <w:r w:rsidRPr="00F72628">
        <w:rPr>
          <w:rFonts w:ascii="Book Antiqua" w:hAnsi="Book Antiqua"/>
        </w:rPr>
        <w:t>state</w:t>
      </w:r>
      <w:proofErr w:type="spellEnd"/>
      <w:r w:rsidRPr="00F72628">
        <w:rPr>
          <w:rFonts w:ascii="Book Antiqua" w:hAnsi="Book Antiqua"/>
        </w:rPr>
        <w:t xml:space="preserve"> </w:t>
      </w:r>
      <w:proofErr w:type="spellStart"/>
      <w:r w:rsidRPr="00F72628">
        <w:rPr>
          <w:rFonts w:ascii="Book Antiqua" w:hAnsi="Book Antiqua"/>
        </w:rPr>
        <w:t>capacity</w:t>
      </w:r>
      <w:proofErr w:type="spellEnd"/>
      <w:r w:rsidRPr="00F72628">
        <w:rPr>
          <w:rFonts w:ascii="Book Antiqua" w:hAnsi="Book Antiqua"/>
        </w:rPr>
        <w:t xml:space="preserve">: a review </w:t>
      </w:r>
      <w:proofErr w:type="spellStart"/>
      <w:r w:rsidRPr="00F72628">
        <w:rPr>
          <w:rFonts w:ascii="Book Antiqua" w:hAnsi="Book Antiqua"/>
        </w:rPr>
        <w:t>of</w:t>
      </w:r>
      <w:proofErr w:type="spellEnd"/>
      <w:r w:rsidRPr="00F72628">
        <w:rPr>
          <w:rFonts w:ascii="Book Antiqua" w:hAnsi="Book Antiqua"/>
        </w:rPr>
        <w:t xml:space="preserve"> </w:t>
      </w:r>
      <w:proofErr w:type="spellStart"/>
      <w:r w:rsidRPr="00F72628">
        <w:rPr>
          <w:rFonts w:ascii="Book Antiqua" w:hAnsi="Book Antiqua"/>
        </w:rPr>
        <w:t>concepts</w:t>
      </w:r>
      <w:proofErr w:type="spellEnd"/>
      <w:r w:rsidRPr="00F72628">
        <w:rPr>
          <w:rFonts w:ascii="Book Antiqua" w:hAnsi="Book Antiqua"/>
        </w:rPr>
        <w:t xml:space="preserve">, </w:t>
      </w:r>
      <w:proofErr w:type="spellStart"/>
      <w:r w:rsidRPr="00F72628">
        <w:rPr>
          <w:rFonts w:ascii="Book Antiqua" w:hAnsi="Book Antiqua"/>
        </w:rPr>
        <w:t>evidence</w:t>
      </w:r>
      <w:proofErr w:type="spellEnd"/>
      <w:r w:rsidRPr="00F72628">
        <w:rPr>
          <w:rFonts w:ascii="Book Antiqua" w:hAnsi="Book Antiqua"/>
        </w:rPr>
        <w:t xml:space="preserve"> </w:t>
      </w:r>
      <w:proofErr w:type="spellStart"/>
      <w:r w:rsidRPr="00F72628">
        <w:rPr>
          <w:rFonts w:ascii="Book Antiqua" w:hAnsi="Book Antiqua"/>
        </w:rPr>
        <w:t>and</w:t>
      </w:r>
      <w:proofErr w:type="spellEnd"/>
      <w:r w:rsidRPr="00F72628">
        <w:rPr>
          <w:rFonts w:ascii="Book Antiqua" w:hAnsi="Book Antiqua"/>
        </w:rPr>
        <w:t xml:space="preserve"> </w:t>
      </w:r>
      <w:proofErr w:type="spellStart"/>
      <w:r w:rsidRPr="00F72628">
        <w:rPr>
          <w:rFonts w:ascii="Book Antiqua" w:hAnsi="Book Antiqua"/>
        </w:rPr>
        <w:t>measures</w:t>
      </w:r>
      <w:proofErr w:type="spellEnd"/>
      <w:r w:rsidRPr="00F72628">
        <w:rPr>
          <w:rFonts w:ascii="Book Antiqua" w:hAnsi="Book Antiqua"/>
        </w:rPr>
        <w:t xml:space="preserve">. MERIT </w:t>
      </w:r>
      <w:proofErr w:type="spellStart"/>
      <w:r w:rsidRPr="00F72628">
        <w:rPr>
          <w:rFonts w:ascii="Book Antiqua" w:hAnsi="Book Antiqua"/>
        </w:rPr>
        <w:t>Working</w:t>
      </w:r>
      <w:proofErr w:type="spellEnd"/>
      <w:r w:rsidRPr="00F72628">
        <w:rPr>
          <w:rFonts w:ascii="Book Antiqua" w:hAnsi="Book Antiqua"/>
        </w:rPr>
        <w:t xml:space="preserve"> Papers, 2013053. United </w:t>
      </w:r>
      <w:proofErr w:type="spellStart"/>
      <w:r w:rsidRPr="00F72628">
        <w:rPr>
          <w:rFonts w:ascii="Book Antiqua" w:hAnsi="Book Antiqua"/>
        </w:rPr>
        <w:t>Nations</w:t>
      </w:r>
      <w:proofErr w:type="spellEnd"/>
      <w:r w:rsidRPr="00F72628">
        <w:rPr>
          <w:rFonts w:ascii="Book Antiqua" w:hAnsi="Book Antiqua"/>
        </w:rPr>
        <w:t xml:space="preserve"> </w:t>
      </w:r>
      <w:proofErr w:type="spellStart"/>
      <w:r w:rsidRPr="00F72628">
        <w:rPr>
          <w:rFonts w:ascii="Book Antiqua" w:hAnsi="Book Antiqua"/>
        </w:rPr>
        <w:t>University</w:t>
      </w:r>
      <w:proofErr w:type="spellEnd"/>
      <w:r w:rsidRPr="00F72628">
        <w:rPr>
          <w:rFonts w:ascii="Book Antiqua" w:hAnsi="Book Antiqua"/>
        </w:rPr>
        <w:t xml:space="preserve">. </w:t>
      </w:r>
      <w:proofErr w:type="spellStart"/>
      <w:r w:rsidRPr="00F72628">
        <w:rPr>
          <w:rFonts w:ascii="Book Antiqua" w:hAnsi="Book Antiqua"/>
        </w:rPr>
        <w:t>Cingolani</w:t>
      </w:r>
      <w:proofErr w:type="spellEnd"/>
      <w:r w:rsidRPr="00F72628">
        <w:rPr>
          <w:rFonts w:ascii="Book Antiqua" w:hAnsi="Book Antiqua"/>
        </w:rPr>
        <w:t xml:space="preserve">, L. (2018) The role </w:t>
      </w:r>
      <w:proofErr w:type="spellStart"/>
      <w:r w:rsidRPr="00F72628">
        <w:rPr>
          <w:rFonts w:ascii="Book Antiqua" w:hAnsi="Book Antiqua"/>
        </w:rPr>
        <w:t>of</w:t>
      </w:r>
      <w:proofErr w:type="spellEnd"/>
      <w:r w:rsidRPr="00F72628">
        <w:rPr>
          <w:rFonts w:ascii="Book Antiqua" w:hAnsi="Book Antiqua"/>
        </w:rPr>
        <w:t xml:space="preserve"> </w:t>
      </w:r>
      <w:proofErr w:type="spellStart"/>
      <w:r w:rsidRPr="00F72628">
        <w:rPr>
          <w:rFonts w:ascii="Book Antiqua" w:hAnsi="Book Antiqua"/>
        </w:rPr>
        <w:t>state</w:t>
      </w:r>
      <w:proofErr w:type="spellEnd"/>
      <w:r w:rsidRPr="00F72628">
        <w:rPr>
          <w:rFonts w:ascii="Book Antiqua" w:hAnsi="Book Antiqua"/>
        </w:rPr>
        <w:t xml:space="preserve"> </w:t>
      </w:r>
      <w:proofErr w:type="spellStart"/>
      <w:r w:rsidRPr="00F72628">
        <w:rPr>
          <w:rFonts w:ascii="Book Antiqua" w:hAnsi="Book Antiqua"/>
        </w:rPr>
        <w:t>capacity</w:t>
      </w:r>
      <w:proofErr w:type="spellEnd"/>
      <w:r w:rsidRPr="00F72628">
        <w:rPr>
          <w:rFonts w:ascii="Book Antiqua" w:hAnsi="Book Antiqua"/>
        </w:rPr>
        <w:t xml:space="preserve"> in </w:t>
      </w:r>
      <w:proofErr w:type="spellStart"/>
      <w:r w:rsidRPr="00F72628">
        <w:rPr>
          <w:rFonts w:ascii="Book Antiqua" w:hAnsi="Book Antiqua"/>
        </w:rPr>
        <w:t>development</w:t>
      </w:r>
      <w:proofErr w:type="spellEnd"/>
      <w:r w:rsidRPr="00F72628">
        <w:rPr>
          <w:rFonts w:ascii="Book Antiqua" w:hAnsi="Book Antiqua"/>
        </w:rPr>
        <w:t xml:space="preserve"> </w:t>
      </w:r>
      <w:proofErr w:type="spellStart"/>
      <w:r w:rsidRPr="00F72628">
        <w:rPr>
          <w:rFonts w:ascii="Book Antiqua" w:hAnsi="Book Antiqua"/>
        </w:rPr>
        <w:t>studies</w:t>
      </w:r>
      <w:proofErr w:type="spellEnd"/>
      <w:r w:rsidRPr="00F72628">
        <w:rPr>
          <w:rFonts w:ascii="Book Antiqua" w:hAnsi="Book Antiqua"/>
        </w:rPr>
        <w:t xml:space="preserve">. </w:t>
      </w:r>
      <w:proofErr w:type="spellStart"/>
      <w:r w:rsidRPr="00F72628">
        <w:rPr>
          <w:rFonts w:ascii="Book Antiqua" w:hAnsi="Book Antiqua"/>
        </w:rPr>
        <w:t>Journal</w:t>
      </w:r>
      <w:proofErr w:type="spellEnd"/>
      <w:r w:rsidRPr="00F72628">
        <w:rPr>
          <w:rFonts w:ascii="Book Antiqua" w:hAnsi="Book Antiqua"/>
        </w:rPr>
        <w:t xml:space="preserve"> </w:t>
      </w:r>
      <w:proofErr w:type="spellStart"/>
      <w:r w:rsidRPr="00F72628">
        <w:rPr>
          <w:rFonts w:ascii="Book Antiqua" w:hAnsi="Book Antiqua"/>
        </w:rPr>
        <w:t>of</w:t>
      </w:r>
      <w:proofErr w:type="spellEnd"/>
      <w:r w:rsidRPr="00F72628">
        <w:rPr>
          <w:rFonts w:ascii="Book Antiqua" w:hAnsi="Book Antiqua"/>
        </w:rPr>
        <w:t xml:space="preserve"> </w:t>
      </w:r>
      <w:proofErr w:type="spellStart"/>
      <w:r w:rsidRPr="00F72628">
        <w:rPr>
          <w:rFonts w:ascii="Book Antiqua" w:hAnsi="Book Antiqua"/>
        </w:rPr>
        <w:t>Development</w:t>
      </w:r>
      <w:proofErr w:type="spellEnd"/>
      <w:r w:rsidRPr="00F72628">
        <w:rPr>
          <w:rFonts w:ascii="Book Antiqua" w:hAnsi="Book Antiqua"/>
        </w:rPr>
        <w:t xml:space="preserve"> Perspectives, 2(1-2), pp. 88114. Pires, R. (2016) Arranjos institucionais para </w:t>
      </w:r>
      <w:proofErr w:type="spellStart"/>
      <w:r w:rsidRPr="00F72628">
        <w:rPr>
          <w:rFonts w:ascii="Book Antiqua" w:hAnsi="Book Antiqua"/>
        </w:rPr>
        <w:t>implementação</w:t>
      </w:r>
      <w:proofErr w:type="spellEnd"/>
      <w:r w:rsidRPr="00F72628">
        <w:rPr>
          <w:rFonts w:ascii="Book Antiqua" w:hAnsi="Book Antiqua"/>
        </w:rPr>
        <w:t xml:space="preserve"> de políticas e </w:t>
      </w:r>
      <w:proofErr w:type="spellStart"/>
      <w:r w:rsidRPr="00F72628">
        <w:rPr>
          <w:rFonts w:ascii="Book Antiqua" w:hAnsi="Book Antiqua"/>
        </w:rPr>
        <w:t>ações</w:t>
      </w:r>
      <w:proofErr w:type="spellEnd"/>
      <w:r w:rsidRPr="00F72628">
        <w:rPr>
          <w:rFonts w:ascii="Book Antiqua" w:hAnsi="Book Antiqua"/>
        </w:rPr>
        <w:t xml:space="preserve"> governamentais em direitos humanos. In: A.L. Delgado, C.I. Gatto, M.S. Reis &amp; P.A. Alves (</w:t>
      </w:r>
      <w:proofErr w:type="spellStart"/>
      <w:r w:rsidRPr="00F72628">
        <w:rPr>
          <w:rFonts w:ascii="Book Antiqua" w:hAnsi="Book Antiqua"/>
        </w:rPr>
        <w:t>eds</w:t>
      </w:r>
      <w:proofErr w:type="spellEnd"/>
      <w:r w:rsidRPr="00F72628">
        <w:rPr>
          <w:rFonts w:ascii="Book Antiqua" w:hAnsi="Book Antiqua"/>
        </w:rPr>
        <w:t xml:space="preserve">) </w:t>
      </w:r>
      <w:proofErr w:type="spellStart"/>
      <w:r w:rsidRPr="00F72628">
        <w:rPr>
          <w:rFonts w:ascii="Book Antiqua" w:hAnsi="Book Antiqua"/>
        </w:rPr>
        <w:t>Gestão</w:t>
      </w:r>
      <w:proofErr w:type="spellEnd"/>
      <w:r w:rsidRPr="00F72628">
        <w:rPr>
          <w:rFonts w:ascii="Book Antiqua" w:hAnsi="Book Antiqua"/>
        </w:rPr>
        <w:t xml:space="preserve"> de políticas públicas de direitos humanos. Brasília: Enap, pp. 189-210. Pires, R. &amp; Gomide, A. (2016) Governança e capacidades estatais: uma análise comparativa de programas federais. Revista de Sociologia e Política, 24(58), pp. 121-143.</w:t>
      </w:r>
    </w:p>
  </w:footnote>
  <w:footnote w:id="18">
    <w:p w14:paraId="37322C1C"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w:t>
      </w:r>
      <w:r w:rsidRPr="00F72628">
        <w:rPr>
          <w:rFonts w:ascii="Book Antiqua" w:hAnsi="Book Antiqua"/>
          <w:i/>
          <w:iCs/>
        </w:rPr>
        <w:t xml:space="preserve">Id. </w:t>
      </w:r>
      <w:proofErr w:type="spellStart"/>
      <w:r w:rsidRPr="00F72628">
        <w:rPr>
          <w:rFonts w:ascii="Book Antiqua" w:hAnsi="Book Antiqua"/>
          <w:i/>
          <w:iCs/>
        </w:rPr>
        <w:t>Ibd</w:t>
      </w:r>
      <w:proofErr w:type="spellEnd"/>
      <w:r w:rsidRPr="00F72628">
        <w:rPr>
          <w:rFonts w:ascii="Book Antiqua" w:hAnsi="Book Antiqua"/>
          <w:i/>
          <w:iCs/>
        </w:rPr>
        <w:t>.</w:t>
      </w:r>
      <w:r w:rsidRPr="00F72628">
        <w:rPr>
          <w:rFonts w:ascii="Book Antiqua" w:hAnsi="Book Antiqua"/>
        </w:rPr>
        <w:t xml:space="preserve"> </w:t>
      </w:r>
    </w:p>
  </w:footnote>
  <w:footnote w:id="19">
    <w:p w14:paraId="1AD2F714"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Capacidades  estatais: avanços e  tendências. Caderno Enap. Capacidades estatais em </w:t>
      </w:r>
      <w:proofErr w:type="spellStart"/>
      <w:r w:rsidRPr="00F72628">
        <w:rPr>
          <w:rFonts w:ascii="Book Antiqua" w:hAnsi="Book Antiqua"/>
        </w:rPr>
        <w:t>ação</w:t>
      </w:r>
      <w:proofErr w:type="spellEnd"/>
      <w:r w:rsidRPr="00F72628">
        <w:rPr>
          <w:rFonts w:ascii="Book Antiqua" w:hAnsi="Book Antiqua"/>
        </w:rPr>
        <w:t xml:space="preserve">: a abordagem dos arranjos de </w:t>
      </w:r>
      <w:proofErr w:type="spellStart"/>
      <w:r w:rsidRPr="00F72628">
        <w:rPr>
          <w:rFonts w:ascii="Book Antiqua" w:hAnsi="Book Antiqua"/>
        </w:rPr>
        <w:t>implementação</w:t>
      </w:r>
      <w:proofErr w:type="spellEnd"/>
      <w:r w:rsidRPr="00F72628">
        <w:rPr>
          <w:rFonts w:ascii="Book Antiqua" w:hAnsi="Book Antiqua"/>
        </w:rPr>
        <w:t xml:space="preserve"> de políticas públicas. P. 36; PIRES, Roberto Rocha Coelho et al. Arranjos de implementação e ativação de capacidades estatais para políticas públicas: uma abordagem analítica. Revista de Sociologia e Política, v. 32, p. e022, 2024. P. 10-15; GOMIDE, Alexandre de Ávila; PIRES, Roberto Rocha Coelho. Capacidades estatais para o desenvolvimento no século XXI. 2012.Pág. 27. </w:t>
      </w:r>
    </w:p>
  </w:footnote>
  <w:footnote w:id="20">
    <w:p w14:paraId="2A5D89FE"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Wu, X., </w:t>
      </w:r>
      <w:proofErr w:type="spellStart"/>
      <w:r w:rsidRPr="00F72628">
        <w:rPr>
          <w:rFonts w:ascii="Book Antiqua" w:hAnsi="Book Antiqua"/>
        </w:rPr>
        <w:t>Ramesh</w:t>
      </w:r>
      <w:proofErr w:type="spellEnd"/>
      <w:r w:rsidRPr="00F72628">
        <w:rPr>
          <w:rFonts w:ascii="Book Antiqua" w:hAnsi="Book Antiqua"/>
        </w:rPr>
        <w:t xml:space="preserve">, M. &amp; Howlett, M. (2015) </w:t>
      </w:r>
      <w:proofErr w:type="spellStart"/>
      <w:r w:rsidRPr="00F72628">
        <w:rPr>
          <w:rFonts w:ascii="Book Antiqua" w:hAnsi="Book Antiqua"/>
        </w:rPr>
        <w:t>Policy</w:t>
      </w:r>
      <w:proofErr w:type="spellEnd"/>
      <w:r w:rsidRPr="00F72628">
        <w:rPr>
          <w:rFonts w:ascii="Book Antiqua" w:hAnsi="Book Antiqua"/>
        </w:rPr>
        <w:t xml:space="preserve"> </w:t>
      </w:r>
      <w:proofErr w:type="spellStart"/>
      <w:r w:rsidRPr="00F72628">
        <w:rPr>
          <w:rFonts w:ascii="Book Antiqua" w:hAnsi="Book Antiqua"/>
        </w:rPr>
        <w:t>capacity</w:t>
      </w:r>
      <w:proofErr w:type="spellEnd"/>
      <w:r w:rsidRPr="00F72628">
        <w:rPr>
          <w:rFonts w:ascii="Book Antiqua" w:hAnsi="Book Antiqua"/>
        </w:rPr>
        <w:t xml:space="preserve">: a conceptual framework for </w:t>
      </w:r>
      <w:proofErr w:type="spellStart"/>
      <w:r w:rsidRPr="00F72628">
        <w:rPr>
          <w:rFonts w:ascii="Book Antiqua" w:hAnsi="Book Antiqua"/>
        </w:rPr>
        <w:t>understanding</w:t>
      </w:r>
      <w:proofErr w:type="spellEnd"/>
      <w:r w:rsidRPr="00F72628">
        <w:rPr>
          <w:rFonts w:ascii="Book Antiqua" w:hAnsi="Book Antiqua"/>
        </w:rPr>
        <w:t xml:space="preserve"> </w:t>
      </w:r>
      <w:proofErr w:type="spellStart"/>
      <w:r w:rsidRPr="00F72628">
        <w:rPr>
          <w:rFonts w:ascii="Book Antiqua" w:hAnsi="Book Antiqua"/>
        </w:rPr>
        <w:t>policy</w:t>
      </w:r>
      <w:proofErr w:type="spellEnd"/>
      <w:r w:rsidRPr="00F72628">
        <w:rPr>
          <w:rFonts w:ascii="Book Antiqua" w:hAnsi="Book Antiqua"/>
        </w:rPr>
        <w:t xml:space="preserve"> </w:t>
      </w:r>
      <w:proofErr w:type="spellStart"/>
      <w:r w:rsidRPr="00F72628">
        <w:rPr>
          <w:rFonts w:ascii="Book Antiqua" w:hAnsi="Book Antiqua"/>
        </w:rPr>
        <w:t>competences</w:t>
      </w:r>
      <w:proofErr w:type="spellEnd"/>
      <w:r w:rsidRPr="00F72628">
        <w:rPr>
          <w:rFonts w:ascii="Book Antiqua" w:hAnsi="Book Antiqua"/>
        </w:rPr>
        <w:t xml:space="preserve"> </w:t>
      </w:r>
      <w:proofErr w:type="spellStart"/>
      <w:r w:rsidRPr="00F72628">
        <w:rPr>
          <w:rFonts w:ascii="Book Antiqua" w:hAnsi="Book Antiqua"/>
        </w:rPr>
        <w:t>and</w:t>
      </w:r>
      <w:proofErr w:type="spellEnd"/>
      <w:r w:rsidRPr="00F72628">
        <w:rPr>
          <w:rFonts w:ascii="Book Antiqua" w:hAnsi="Book Antiqua"/>
        </w:rPr>
        <w:t xml:space="preserve"> </w:t>
      </w:r>
      <w:proofErr w:type="spellStart"/>
      <w:r w:rsidRPr="00F72628">
        <w:rPr>
          <w:rFonts w:ascii="Book Antiqua" w:hAnsi="Book Antiqua"/>
        </w:rPr>
        <w:t>capabilities</w:t>
      </w:r>
      <w:proofErr w:type="spellEnd"/>
      <w:r w:rsidRPr="00F72628">
        <w:rPr>
          <w:rFonts w:ascii="Book Antiqua" w:hAnsi="Book Antiqua"/>
        </w:rPr>
        <w:t xml:space="preserve">. </w:t>
      </w:r>
      <w:proofErr w:type="spellStart"/>
      <w:r w:rsidRPr="00F72628">
        <w:rPr>
          <w:rFonts w:ascii="Book Antiqua" w:hAnsi="Book Antiqua"/>
        </w:rPr>
        <w:t>Policy</w:t>
      </w:r>
      <w:proofErr w:type="spellEnd"/>
      <w:r w:rsidRPr="00F72628">
        <w:rPr>
          <w:rFonts w:ascii="Book Antiqua" w:hAnsi="Book Antiqua"/>
        </w:rPr>
        <w:t xml:space="preserve"> </w:t>
      </w:r>
      <w:proofErr w:type="spellStart"/>
      <w:r w:rsidRPr="00F72628">
        <w:rPr>
          <w:rFonts w:ascii="Book Antiqua" w:hAnsi="Book Antiqua"/>
        </w:rPr>
        <w:t>and</w:t>
      </w:r>
      <w:proofErr w:type="spellEnd"/>
      <w:r w:rsidRPr="00F72628">
        <w:rPr>
          <w:rFonts w:ascii="Book Antiqua" w:hAnsi="Book Antiqua"/>
        </w:rPr>
        <w:t xml:space="preserve"> Society, 34(3-4), pp. 165-171;  PIRES, Roberto Rocha Coelho et al. Arranjos de implementação e ativação de capacidades estatais para políticas públicas: uma abordagem analítica. </w:t>
      </w:r>
      <w:r w:rsidRPr="00F72628">
        <w:rPr>
          <w:rFonts w:ascii="Book Antiqua" w:hAnsi="Book Antiqua"/>
          <w:b/>
          <w:bCs/>
        </w:rPr>
        <w:t>Revista de Sociologia e Política</w:t>
      </w:r>
      <w:r w:rsidRPr="00F72628">
        <w:rPr>
          <w:rFonts w:ascii="Book Antiqua" w:hAnsi="Book Antiqua"/>
        </w:rPr>
        <w:t xml:space="preserve">, v. 32, p. e022, 2024; </w:t>
      </w:r>
      <w:proofErr w:type="spellStart"/>
      <w:r w:rsidRPr="00F72628">
        <w:rPr>
          <w:rFonts w:ascii="Book Antiqua" w:hAnsi="Book Antiqua"/>
        </w:rPr>
        <w:t>Cingolani</w:t>
      </w:r>
      <w:proofErr w:type="spellEnd"/>
      <w:r w:rsidRPr="00F72628">
        <w:rPr>
          <w:rFonts w:ascii="Book Antiqua" w:hAnsi="Book Antiqua"/>
        </w:rPr>
        <w:t xml:space="preserve">, L. (2013) The </w:t>
      </w:r>
      <w:proofErr w:type="spellStart"/>
      <w:r w:rsidRPr="00F72628">
        <w:rPr>
          <w:rFonts w:ascii="Book Antiqua" w:hAnsi="Book Antiqua"/>
        </w:rPr>
        <w:t>state</w:t>
      </w:r>
      <w:proofErr w:type="spellEnd"/>
      <w:r w:rsidRPr="00F72628">
        <w:rPr>
          <w:rFonts w:ascii="Book Antiqua" w:hAnsi="Book Antiqua"/>
        </w:rPr>
        <w:t xml:space="preserve"> </w:t>
      </w:r>
      <w:proofErr w:type="spellStart"/>
      <w:r w:rsidRPr="00F72628">
        <w:rPr>
          <w:rFonts w:ascii="Book Antiqua" w:hAnsi="Book Antiqua"/>
        </w:rPr>
        <w:t>of</w:t>
      </w:r>
      <w:proofErr w:type="spellEnd"/>
      <w:r w:rsidRPr="00F72628">
        <w:rPr>
          <w:rFonts w:ascii="Book Antiqua" w:hAnsi="Book Antiqua"/>
        </w:rPr>
        <w:t xml:space="preserve"> </w:t>
      </w:r>
      <w:proofErr w:type="spellStart"/>
      <w:r w:rsidRPr="00F72628">
        <w:rPr>
          <w:rFonts w:ascii="Book Antiqua" w:hAnsi="Book Antiqua"/>
        </w:rPr>
        <w:t>state</w:t>
      </w:r>
      <w:proofErr w:type="spellEnd"/>
      <w:r w:rsidRPr="00F72628">
        <w:rPr>
          <w:rFonts w:ascii="Book Antiqua" w:hAnsi="Book Antiqua"/>
        </w:rPr>
        <w:t xml:space="preserve"> </w:t>
      </w:r>
      <w:proofErr w:type="spellStart"/>
      <w:r w:rsidRPr="00F72628">
        <w:rPr>
          <w:rFonts w:ascii="Book Antiqua" w:hAnsi="Book Antiqua"/>
        </w:rPr>
        <w:t>capacity</w:t>
      </w:r>
      <w:proofErr w:type="spellEnd"/>
      <w:r w:rsidRPr="00F72628">
        <w:rPr>
          <w:rFonts w:ascii="Book Antiqua" w:hAnsi="Book Antiqua"/>
        </w:rPr>
        <w:t xml:space="preserve">: a review </w:t>
      </w:r>
      <w:proofErr w:type="spellStart"/>
      <w:r w:rsidRPr="00F72628">
        <w:rPr>
          <w:rFonts w:ascii="Book Antiqua" w:hAnsi="Book Antiqua"/>
        </w:rPr>
        <w:t>of</w:t>
      </w:r>
      <w:proofErr w:type="spellEnd"/>
      <w:r w:rsidRPr="00F72628">
        <w:rPr>
          <w:rFonts w:ascii="Book Antiqua" w:hAnsi="Book Antiqua"/>
        </w:rPr>
        <w:t xml:space="preserve"> </w:t>
      </w:r>
      <w:proofErr w:type="spellStart"/>
      <w:r w:rsidRPr="00F72628">
        <w:rPr>
          <w:rFonts w:ascii="Book Antiqua" w:hAnsi="Book Antiqua"/>
        </w:rPr>
        <w:t>concepts</w:t>
      </w:r>
      <w:proofErr w:type="spellEnd"/>
      <w:r w:rsidRPr="00F72628">
        <w:rPr>
          <w:rFonts w:ascii="Book Antiqua" w:hAnsi="Book Antiqua"/>
        </w:rPr>
        <w:t xml:space="preserve">, </w:t>
      </w:r>
      <w:proofErr w:type="spellStart"/>
      <w:r w:rsidRPr="00F72628">
        <w:rPr>
          <w:rFonts w:ascii="Book Antiqua" w:hAnsi="Book Antiqua"/>
        </w:rPr>
        <w:t>evidence</w:t>
      </w:r>
      <w:proofErr w:type="spellEnd"/>
      <w:r w:rsidRPr="00F72628">
        <w:rPr>
          <w:rFonts w:ascii="Book Antiqua" w:hAnsi="Book Antiqua"/>
        </w:rPr>
        <w:t xml:space="preserve"> </w:t>
      </w:r>
      <w:proofErr w:type="spellStart"/>
      <w:r w:rsidRPr="00F72628">
        <w:rPr>
          <w:rFonts w:ascii="Book Antiqua" w:hAnsi="Book Antiqua"/>
        </w:rPr>
        <w:t>and</w:t>
      </w:r>
      <w:proofErr w:type="spellEnd"/>
      <w:r w:rsidRPr="00F72628">
        <w:rPr>
          <w:rFonts w:ascii="Book Antiqua" w:hAnsi="Book Antiqua"/>
        </w:rPr>
        <w:t xml:space="preserve"> </w:t>
      </w:r>
      <w:proofErr w:type="spellStart"/>
      <w:r w:rsidRPr="00F72628">
        <w:rPr>
          <w:rFonts w:ascii="Book Antiqua" w:hAnsi="Book Antiqua"/>
        </w:rPr>
        <w:t>measures</w:t>
      </w:r>
      <w:proofErr w:type="spellEnd"/>
      <w:r w:rsidRPr="00F72628">
        <w:rPr>
          <w:rFonts w:ascii="Book Antiqua" w:hAnsi="Book Antiqua"/>
        </w:rPr>
        <w:t xml:space="preserve">. MERIT </w:t>
      </w:r>
      <w:proofErr w:type="spellStart"/>
      <w:r w:rsidRPr="00F72628">
        <w:rPr>
          <w:rFonts w:ascii="Book Antiqua" w:hAnsi="Book Antiqua"/>
        </w:rPr>
        <w:t>Working</w:t>
      </w:r>
      <w:proofErr w:type="spellEnd"/>
      <w:r w:rsidRPr="00F72628">
        <w:rPr>
          <w:rFonts w:ascii="Book Antiqua" w:hAnsi="Book Antiqua"/>
        </w:rPr>
        <w:t xml:space="preserve"> Papers, 2013053. United </w:t>
      </w:r>
      <w:proofErr w:type="spellStart"/>
      <w:r w:rsidRPr="00F72628">
        <w:rPr>
          <w:rFonts w:ascii="Book Antiqua" w:hAnsi="Book Antiqua"/>
        </w:rPr>
        <w:t>Nations</w:t>
      </w:r>
      <w:proofErr w:type="spellEnd"/>
      <w:r w:rsidRPr="00F72628">
        <w:rPr>
          <w:rFonts w:ascii="Book Antiqua" w:hAnsi="Book Antiqua"/>
        </w:rPr>
        <w:t xml:space="preserve"> </w:t>
      </w:r>
      <w:proofErr w:type="spellStart"/>
      <w:r w:rsidRPr="00F72628">
        <w:rPr>
          <w:rFonts w:ascii="Book Antiqua" w:hAnsi="Book Antiqua"/>
        </w:rPr>
        <w:t>University</w:t>
      </w:r>
      <w:proofErr w:type="spellEnd"/>
      <w:r w:rsidRPr="00F72628">
        <w:rPr>
          <w:rFonts w:ascii="Book Antiqua" w:hAnsi="Book Antiqua"/>
        </w:rPr>
        <w:t xml:space="preserve">. </w:t>
      </w:r>
      <w:proofErr w:type="spellStart"/>
      <w:r w:rsidRPr="00F72628">
        <w:rPr>
          <w:rFonts w:ascii="Book Antiqua" w:hAnsi="Book Antiqua"/>
        </w:rPr>
        <w:t>Cingolani</w:t>
      </w:r>
      <w:proofErr w:type="spellEnd"/>
      <w:r w:rsidRPr="00F72628">
        <w:rPr>
          <w:rFonts w:ascii="Book Antiqua" w:hAnsi="Book Antiqua"/>
        </w:rPr>
        <w:t xml:space="preserve">, L. (2018) The role </w:t>
      </w:r>
      <w:proofErr w:type="spellStart"/>
      <w:r w:rsidRPr="00F72628">
        <w:rPr>
          <w:rFonts w:ascii="Book Antiqua" w:hAnsi="Book Antiqua"/>
        </w:rPr>
        <w:t>of</w:t>
      </w:r>
      <w:proofErr w:type="spellEnd"/>
      <w:r w:rsidRPr="00F72628">
        <w:rPr>
          <w:rFonts w:ascii="Book Antiqua" w:hAnsi="Book Antiqua"/>
        </w:rPr>
        <w:t xml:space="preserve"> </w:t>
      </w:r>
      <w:proofErr w:type="spellStart"/>
      <w:r w:rsidRPr="00F72628">
        <w:rPr>
          <w:rFonts w:ascii="Book Antiqua" w:hAnsi="Book Antiqua"/>
        </w:rPr>
        <w:t>state</w:t>
      </w:r>
      <w:proofErr w:type="spellEnd"/>
      <w:r w:rsidRPr="00F72628">
        <w:rPr>
          <w:rFonts w:ascii="Book Antiqua" w:hAnsi="Book Antiqua"/>
        </w:rPr>
        <w:t xml:space="preserve"> </w:t>
      </w:r>
      <w:proofErr w:type="spellStart"/>
      <w:r w:rsidRPr="00F72628">
        <w:rPr>
          <w:rFonts w:ascii="Book Antiqua" w:hAnsi="Book Antiqua"/>
        </w:rPr>
        <w:t>capacity</w:t>
      </w:r>
      <w:proofErr w:type="spellEnd"/>
      <w:r w:rsidRPr="00F72628">
        <w:rPr>
          <w:rFonts w:ascii="Book Antiqua" w:hAnsi="Book Antiqua"/>
        </w:rPr>
        <w:t xml:space="preserve"> in </w:t>
      </w:r>
      <w:proofErr w:type="spellStart"/>
      <w:r w:rsidRPr="00F72628">
        <w:rPr>
          <w:rFonts w:ascii="Book Antiqua" w:hAnsi="Book Antiqua"/>
        </w:rPr>
        <w:t>development</w:t>
      </w:r>
      <w:proofErr w:type="spellEnd"/>
      <w:r w:rsidRPr="00F72628">
        <w:rPr>
          <w:rFonts w:ascii="Book Antiqua" w:hAnsi="Book Antiqua"/>
        </w:rPr>
        <w:t xml:space="preserve"> </w:t>
      </w:r>
      <w:proofErr w:type="spellStart"/>
      <w:r w:rsidRPr="00F72628">
        <w:rPr>
          <w:rFonts w:ascii="Book Antiqua" w:hAnsi="Book Antiqua"/>
        </w:rPr>
        <w:t>studies</w:t>
      </w:r>
      <w:proofErr w:type="spellEnd"/>
      <w:r w:rsidRPr="00F72628">
        <w:rPr>
          <w:rFonts w:ascii="Book Antiqua" w:hAnsi="Book Antiqua"/>
        </w:rPr>
        <w:t xml:space="preserve">. </w:t>
      </w:r>
      <w:proofErr w:type="spellStart"/>
      <w:r w:rsidRPr="00F72628">
        <w:rPr>
          <w:rFonts w:ascii="Book Antiqua" w:hAnsi="Book Antiqua"/>
        </w:rPr>
        <w:t>Journal</w:t>
      </w:r>
      <w:proofErr w:type="spellEnd"/>
      <w:r w:rsidRPr="00F72628">
        <w:rPr>
          <w:rFonts w:ascii="Book Antiqua" w:hAnsi="Book Antiqua"/>
        </w:rPr>
        <w:t xml:space="preserve"> </w:t>
      </w:r>
      <w:proofErr w:type="spellStart"/>
      <w:r w:rsidRPr="00F72628">
        <w:rPr>
          <w:rFonts w:ascii="Book Antiqua" w:hAnsi="Book Antiqua"/>
        </w:rPr>
        <w:t>of</w:t>
      </w:r>
      <w:proofErr w:type="spellEnd"/>
      <w:r w:rsidRPr="00F72628">
        <w:rPr>
          <w:rFonts w:ascii="Book Antiqua" w:hAnsi="Book Antiqua"/>
        </w:rPr>
        <w:t xml:space="preserve"> </w:t>
      </w:r>
      <w:proofErr w:type="spellStart"/>
      <w:r w:rsidRPr="00F72628">
        <w:rPr>
          <w:rFonts w:ascii="Book Antiqua" w:hAnsi="Book Antiqua"/>
        </w:rPr>
        <w:t>Development</w:t>
      </w:r>
      <w:proofErr w:type="spellEnd"/>
      <w:r w:rsidRPr="00F72628">
        <w:rPr>
          <w:rFonts w:ascii="Book Antiqua" w:hAnsi="Book Antiqua"/>
        </w:rPr>
        <w:t xml:space="preserve"> Perspectives, 2(1-2), pp. 88114. Pires, R. (2016) Arranjos institucionais para </w:t>
      </w:r>
      <w:proofErr w:type="spellStart"/>
      <w:r w:rsidRPr="00F72628">
        <w:rPr>
          <w:rFonts w:ascii="Book Antiqua" w:hAnsi="Book Antiqua"/>
        </w:rPr>
        <w:t>implementação</w:t>
      </w:r>
      <w:proofErr w:type="spellEnd"/>
      <w:r w:rsidRPr="00F72628">
        <w:rPr>
          <w:rFonts w:ascii="Book Antiqua" w:hAnsi="Book Antiqua"/>
        </w:rPr>
        <w:t xml:space="preserve"> de políticas e </w:t>
      </w:r>
      <w:proofErr w:type="spellStart"/>
      <w:r w:rsidRPr="00F72628">
        <w:rPr>
          <w:rFonts w:ascii="Book Antiqua" w:hAnsi="Book Antiqua"/>
        </w:rPr>
        <w:t>ações</w:t>
      </w:r>
      <w:proofErr w:type="spellEnd"/>
      <w:r w:rsidRPr="00F72628">
        <w:rPr>
          <w:rFonts w:ascii="Book Antiqua" w:hAnsi="Book Antiqua"/>
        </w:rPr>
        <w:t xml:space="preserve"> governamentais em direitos humanos. In: A.L. Delgado, C.I. Gatto, M.S. Reis &amp; P.A. Alves (</w:t>
      </w:r>
      <w:proofErr w:type="spellStart"/>
      <w:r w:rsidRPr="00F72628">
        <w:rPr>
          <w:rFonts w:ascii="Book Antiqua" w:hAnsi="Book Antiqua"/>
        </w:rPr>
        <w:t>eds</w:t>
      </w:r>
      <w:proofErr w:type="spellEnd"/>
      <w:r w:rsidRPr="00F72628">
        <w:rPr>
          <w:rFonts w:ascii="Book Antiqua" w:hAnsi="Book Antiqua"/>
        </w:rPr>
        <w:t xml:space="preserve">) </w:t>
      </w:r>
      <w:proofErr w:type="spellStart"/>
      <w:r w:rsidRPr="00F72628">
        <w:rPr>
          <w:rFonts w:ascii="Book Antiqua" w:hAnsi="Book Antiqua"/>
        </w:rPr>
        <w:t>Gestão</w:t>
      </w:r>
      <w:proofErr w:type="spellEnd"/>
      <w:r w:rsidRPr="00F72628">
        <w:rPr>
          <w:rFonts w:ascii="Book Antiqua" w:hAnsi="Book Antiqua"/>
        </w:rPr>
        <w:t xml:space="preserve"> de políticas públicas de direitos humanos. Brasília: Enap, pp. 189-210. Pires, R. &amp; Gomide, A. (2016) Governança e capacidades estatais: uma análise comparativa de programas federais. Revista de Sociologia e Política, 24(58), pp. 121-143.</w:t>
      </w:r>
    </w:p>
  </w:footnote>
  <w:footnote w:id="21">
    <w:p w14:paraId="618392F0"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PIRES, Roberto Rocha Coelho; GOMIDE, Alexandre de Ávila. Governança e capacidades estatais: uma análise comparativa de programas federais. </w:t>
      </w:r>
      <w:r w:rsidRPr="00F72628">
        <w:rPr>
          <w:rFonts w:ascii="Book Antiqua" w:hAnsi="Book Antiqua"/>
          <w:b/>
          <w:bCs/>
        </w:rPr>
        <w:t>Revista de sociologia e política</w:t>
      </w:r>
      <w:r w:rsidRPr="00F72628">
        <w:rPr>
          <w:rFonts w:ascii="Book Antiqua" w:hAnsi="Book Antiqua"/>
        </w:rPr>
        <w:t>, v. 24, n. 58, p. 121-143, 2016. Pág. 123</w:t>
      </w:r>
    </w:p>
  </w:footnote>
  <w:footnote w:id="22">
    <w:p w14:paraId="0FA8EDD6"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PIRES, Roberto Rocha Coelho et al. Arranjos de implementação e ativação de capacidades estatais para políticas públicas: uma abordagem analítica. </w:t>
      </w:r>
      <w:r w:rsidRPr="00F72628">
        <w:rPr>
          <w:rFonts w:ascii="Book Antiqua" w:hAnsi="Book Antiqua"/>
          <w:b/>
          <w:bCs/>
        </w:rPr>
        <w:t>Revista de Sociologia e Política</w:t>
      </w:r>
      <w:r w:rsidRPr="00F72628">
        <w:rPr>
          <w:rFonts w:ascii="Book Antiqua" w:hAnsi="Book Antiqua"/>
        </w:rPr>
        <w:t>, v. 32, p. e022, 2024. Págs. 3-10</w:t>
      </w:r>
    </w:p>
  </w:footnote>
  <w:footnote w:id="23">
    <w:p w14:paraId="5EB8ECC1"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PIRES, Roberto Rocha Coelho; GOMIDE, Alexandre de Ávila. Governança e capacidades estatais: uma análise comparativa de programas federais. </w:t>
      </w:r>
      <w:r w:rsidRPr="00F72628">
        <w:rPr>
          <w:rFonts w:ascii="Book Antiqua" w:hAnsi="Book Antiqua"/>
          <w:b/>
          <w:bCs/>
        </w:rPr>
        <w:t>Revista de sociologia e política</w:t>
      </w:r>
      <w:r w:rsidRPr="00F72628">
        <w:rPr>
          <w:rFonts w:ascii="Book Antiqua" w:hAnsi="Book Antiqua"/>
        </w:rPr>
        <w:t>, v. 24, n. 58, p. 121-143, 2016. Pág. 123</w:t>
      </w:r>
    </w:p>
  </w:footnote>
  <w:footnote w:id="24">
    <w:p w14:paraId="775F82EC"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DE ÁVILA GOMIDE, Alexandre; PEREIRA, Ana Karine; MACHADO, Raphael. </w:t>
      </w:r>
      <w:proofErr w:type="spellStart"/>
      <w:r w:rsidRPr="00F72628">
        <w:rPr>
          <w:rFonts w:ascii="Book Antiqua" w:hAnsi="Book Antiqua"/>
        </w:rPr>
        <w:t>Apresentação-O</w:t>
      </w:r>
      <w:proofErr w:type="spellEnd"/>
      <w:r w:rsidRPr="00F72628">
        <w:rPr>
          <w:rFonts w:ascii="Book Antiqua" w:hAnsi="Book Antiqua"/>
        </w:rPr>
        <w:t xml:space="preserve"> conceito de capacidade estatal e a pesquisa científica. </w:t>
      </w:r>
      <w:r w:rsidRPr="00F72628">
        <w:rPr>
          <w:rFonts w:ascii="Book Antiqua" w:hAnsi="Book Antiqua"/>
          <w:b/>
          <w:bCs/>
        </w:rPr>
        <w:t>Sociedade e Cultura</w:t>
      </w:r>
      <w:r w:rsidRPr="00F72628">
        <w:rPr>
          <w:rFonts w:ascii="Book Antiqua" w:hAnsi="Book Antiqua"/>
        </w:rPr>
        <w:t>, v. 20, n. 1, 2017. Págs. 5-10</w:t>
      </w:r>
    </w:p>
  </w:footnote>
  <w:footnote w:id="25">
    <w:p w14:paraId="262E9DA2"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PIRES, Roberto Rocha Coelho; GOMIDE, Alexandre de Ávila. Governança e capacidades estatais: uma análise comparativa de programas federais. </w:t>
      </w:r>
      <w:r w:rsidRPr="00F72628">
        <w:rPr>
          <w:rFonts w:ascii="Book Antiqua" w:hAnsi="Book Antiqua"/>
          <w:b/>
          <w:bCs/>
        </w:rPr>
        <w:t>Revista de sociologia e política</w:t>
      </w:r>
      <w:r w:rsidRPr="00F72628">
        <w:rPr>
          <w:rFonts w:ascii="Book Antiqua" w:hAnsi="Book Antiqua"/>
        </w:rPr>
        <w:t>, v. 24, n. 58, p. 121-143, 2016. Pág. 129</w:t>
      </w:r>
    </w:p>
  </w:footnote>
  <w:footnote w:id="26">
    <w:p w14:paraId="65621A1B"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A distinção entre capacidades em estoque e capacidades ativadas emerge precisamente da insuficiência analítica das formulações tradicionais que tratavam “capacidade estatal” como uma propriedade estável, latente e quase ontológica do Estado. Essas formulações eram atraentes, mas conceitualmente frágeis: confundiam dotação com desempenho e, ao fazê-lo, produziam explicações circulares (</w:t>
      </w:r>
      <w:r w:rsidRPr="00F72628">
        <w:rPr>
          <w:rFonts w:ascii="Book Antiqua" w:hAnsi="Book Antiqua"/>
          <w:i/>
          <w:iCs/>
        </w:rPr>
        <w:t>o Estado funciona porque tem capacidade; sabemos que tem capacidade porque funcionou</w:t>
      </w:r>
      <w:r w:rsidRPr="00F72628">
        <w:rPr>
          <w:rFonts w:ascii="Book Antiqua" w:hAnsi="Book Antiqua"/>
        </w:rPr>
        <w:t xml:space="preserve">). A clivagem entre estoque e ativação rompe com essa tautologia ao deslocar o olhar para o plano processual e relacional da ação estatal. Centeno et al. já enfatizam que burocracias qualificadas não “se ativam sozinhas”: é a política, com seus incentivos, disputas e prioridades, que aciona (ou neutraliza) mecanismos organizacionais. Assim, o que importa não é apenas o que o Estado possui, mas o que ele mobiliza, quando, por quem e contra quais resistências. A ativação é, portanto, um conceito de fricção: revela zonas de inércia, silêncios institucionais e capacidades que existem apenas no papel. É nesse ponto que a opção pelos arranjos de implementação não é apenas metodológica, mas epistemológica. Outras formas de enquadramento permanecem presas às limitações originais: a tradição histórico-comparativa segue excessivamente Estado-cêntrica e pouco sensível à ecologia de atores que participa da produção da ação pública; já a </w:t>
      </w:r>
      <w:proofErr w:type="spellStart"/>
      <w:r w:rsidRPr="00F72628">
        <w:rPr>
          <w:rFonts w:ascii="Book Antiqua" w:hAnsi="Book Antiqua"/>
          <w:i/>
          <w:iCs/>
        </w:rPr>
        <w:t>policy</w:t>
      </w:r>
      <w:proofErr w:type="spellEnd"/>
      <w:r w:rsidRPr="00F72628">
        <w:rPr>
          <w:rFonts w:ascii="Book Antiqua" w:hAnsi="Book Antiqua"/>
          <w:i/>
          <w:iCs/>
        </w:rPr>
        <w:t xml:space="preserve"> </w:t>
      </w:r>
      <w:proofErr w:type="spellStart"/>
      <w:r w:rsidRPr="00F72628">
        <w:rPr>
          <w:rFonts w:ascii="Book Antiqua" w:hAnsi="Book Antiqua"/>
          <w:i/>
          <w:iCs/>
        </w:rPr>
        <w:t>capacity</w:t>
      </w:r>
      <w:proofErr w:type="spellEnd"/>
      <w:r w:rsidRPr="00F72628">
        <w:rPr>
          <w:rFonts w:ascii="Book Antiqua" w:hAnsi="Book Antiqua"/>
        </w:rPr>
        <w:t xml:space="preserve"> amplia o conceito, mas o amplia demais, produzindo um estoque mais sofisticado, porém ainda um estoque. Falta-lhe o momento da passagem, o instante em que capacidades deixam de ser atributos e tornam-se práticas. Os arranjos preenchem precisamente essa lacuna ao oferecer um nível analítico capaz de mostrar como recursos são acionados, por meio de quais instrumentos, em que rotinas, sob quais incentivos e com que efeitos. Eles deslocam a pergunta clássica (“o Estado tem </w:t>
      </w:r>
      <w:r w:rsidRPr="00403B4C">
        <w:rPr>
          <w:rFonts w:ascii="Book Antiqua" w:hAnsi="Book Antiqua"/>
        </w:rPr>
        <w:t>capacidade?”) para uma pergunta substantivamente mais exigente: “quando, onde e por que a capacidade é (ou não) ativada?”. É essa</w:t>
      </w:r>
      <w:r w:rsidRPr="00F72628">
        <w:rPr>
          <w:rFonts w:ascii="Book Antiqua" w:hAnsi="Book Antiqua"/>
        </w:rPr>
        <w:t xml:space="preserve"> virada que permite observar, no caso do </w:t>
      </w:r>
      <w:proofErr w:type="spellStart"/>
      <w:r w:rsidRPr="00F72628">
        <w:rPr>
          <w:rFonts w:ascii="Book Antiqua" w:hAnsi="Book Antiqua"/>
          <w:i/>
          <w:iCs/>
        </w:rPr>
        <w:t>insider</w:t>
      </w:r>
      <w:proofErr w:type="spellEnd"/>
      <w:r w:rsidRPr="00F72628">
        <w:rPr>
          <w:rFonts w:ascii="Book Antiqua" w:hAnsi="Book Antiqua"/>
          <w:i/>
          <w:iCs/>
        </w:rPr>
        <w:t xml:space="preserve"> trading</w:t>
      </w:r>
      <w:r w:rsidRPr="00F72628">
        <w:rPr>
          <w:rFonts w:ascii="Book Antiqua" w:hAnsi="Book Antiqua"/>
        </w:rPr>
        <w:t xml:space="preserve">, não apenas o desenho institucional, mas o que efetivamente se ativa, e o que se perde, no trajeto entre a comunicação administrativa e a responsabilização penal. </w:t>
      </w:r>
      <w:r w:rsidRPr="00F72628">
        <w:rPr>
          <w:rFonts w:ascii="Book Antiqua" w:hAnsi="Book Antiqua"/>
          <w:i/>
          <w:iCs/>
        </w:rPr>
        <w:t xml:space="preserve">Cf. </w:t>
      </w:r>
      <w:r w:rsidRPr="00F72628">
        <w:rPr>
          <w:rFonts w:ascii="Book Antiqua" w:hAnsi="Book Antiqua"/>
        </w:rPr>
        <w:t xml:space="preserve">Centeno, M., </w:t>
      </w:r>
      <w:proofErr w:type="spellStart"/>
      <w:r w:rsidRPr="00F72628">
        <w:rPr>
          <w:rFonts w:ascii="Book Antiqua" w:hAnsi="Book Antiqua"/>
        </w:rPr>
        <w:t>Kohli</w:t>
      </w:r>
      <w:proofErr w:type="spellEnd"/>
      <w:r w:rsidRPr="00F72628">
        <w:rPr>
          <w:rFonts w:ascii="Book Antiqua" w:hAnsi="Book Antiqua"/>
        </w:rPr>
        <w:t xml:space="preserve">, A. &amp; </w:t>
      </w:r>
      <w:proofErr w:type="spellStart"/>
      <w:r w:rsidRPr="00F72628">
        <w:rPr>
          <w:rFonts w:ascii="Book Antiqua" w:hAnsi="Book Antiqua"/>
        </w:rPr>
        <w:t>Yashar</w:t>
      </w:r>
      <w:proofErr w:type="spellEnd"/>
      <w:r w:rsidRPr="00F72628">
        <w:rPr>
          <w:rFonts w:ascii="Book Antiqua" w:hAnsi="Book Antiqua"/>
        </w:rPr>
        <w:t xml:space="preserve">, D. (2017) </w:t>
      </w:r>
      <w:proofErr w:type="spellStart"/>
      <w:r w:rsidRPr="00F72628">
        <w:rPr>
          <w:rFonts w:ascii="Book Antiqua" w:hAnsi="Book Antiqua"/>
        </w:rPr>
        <w:t>Unpacking</w:t>
      </w:r>
      <w:proofErr w:type="spellEnd"/>
      <w:r w:rsidRPr="00F72628">
        <w:rPr>
          <w:rFonts w:ascii="Book Antiqua" w:hAnsi="Book Antiqua"/>
        </w:rPr>
        <w:t xml:space="preserve"> </w:t>
      </w:r>
      <w:proofErr w:type="spellStart"/>
      <w:r w:rsidRPr="00F72628">
        <w:rPr>
          <w:rFonts w:ascii="Book Antiqua" w:hAnsi="Book Antiqua"/>
        </w:rPr>
        <w:t>states</w:t>
      </w:r>
      <w:proofErr w:type="spellEnd"/>
      <w:r w:rsidRPr="00F72628">
        <w:rPr>
          <w:rFonts w:ascii="Book Antiqua" w:hAnsi="Book Antiqua"/>
        </w:rPr>
        <w:t xml:space="preserve"> in </w:t>
      </w:r>
      <w:proofErr w:type="spellStart"/>
      <w:r w:rsidRPr="00F72628">
        <w:rPr>
          <w:rFonts w:ascii="Book Antiqua" w:hAnsi="Book Antiqua"/>
        </w:rPr>
        <w:t>the</w:t>
      </w:r>
      <w:proofErr w:type="spellEnd"/>
      <w:r w:rsidRPr="00F72628">
        <w:rPr>
          <w:rFonts w:ascii="Book Antiqua" w:hAnsi="Book Antiqua"/>
        </w:rPr>
        <w:t xml:space="preserve"> </w:t>
      </w:r>
      <w:proofErr w:type="spellStart"/>
      <w:r w:rsidRPr="00F72628">
        <w:rPr>
          <w:rFonts w:ascii="Book Antiqua" w:hAnsi="Book Antiqua"/>
        </w:rPr>
        <w:t>developing</w:t>
      </w:r>
      <w:proofErr w:type="spellEnd"/>
      <w:r w:rsidRPr="00F72628">
        <w:rPr>
          <w:rFonts w:ascii="Book Antiqua" w:hAnsi="Book Antiqua"/>
        </w:rPr>
        <w:t xml:space="preserve"> world: </w:t>
      </w:r>
      <w:proofErr w:type="spellStart"/>
      <w:r w:rsidRPr="00F72628">
        <w:rPr>
          <w:rFonts w:ascii="Book Antiqua" w:hAnsi="Book Antiqua"/>
        </w:rPr>
        <w:t>capacity</w:t>
      </w:r>
      <w:proofErr w:type="spellEnd"/>
      <w:r w:rsidRPr="00F72628">
        <w:rPr>
          <w:rFonts w:ascii="Book Antiqua" w:hAnsi="Book Antiqua"/>
        </w:rPr>
        <w:t xml:space="preserve">, performance, </w:t>
      </w:r>
      <w:proofErr w:type="spellStart"/>
      <w:r w:rsidRPr="00F72628">
        <w:rPr>
          <w:rFonts w:ascii="Book Antiqua" w:hAnsi="Book Antiqua"/>
        </w:rPr>
        <w:t>and</w:t>
      </w:r>
      <w:proofErr w:type="spellEnd"/>
      <w:r w:rsidRPr="00F72628">
        <w:rPr>
          <w:rFonts w:ascii="Book Antiqua" w:hAnsi="Book Antiqua"/>
        </w:rPr>
        <w:t xml:space="preserve"> </w:t>
      </w:r>
      <w:proofErr w:type="spellStart"/>
      <w:r w:rsidRPr="00F72628">
        <w:rPr>
          <w:rFonts w:ascii="Book Antiqua" w:hAnsi="Book Antiqua"/>
        </w:rPr>
        <w:t>politics</w:t>
      </w:r>
      <w:proofErr w:type="spellEnd"/>
      <w:r w:rsidRPr="00F72628">
        <w:rPr>
          <w:rFonts w:ascii="Book Antiqua" w:hAnsi="Book Antiqua"/>
        </w:rPr>
        <w:t xml:space="preserve">. In: D. </w:t>
      </w:r>
      <w:proofErr w:type="spellStart"/>
      <w:r w:rsidRPr="00F72628">
        <w:rPr>
          <w:rFonts w:ascii="Book Antiqua" w:hAnsi="Book Antiqua"/>
        </w:rPr>
        <w:t>Mistree</w:t>
      </w:r>
      <w:proofErr w:type="spellEnd"/>
      <w:r w:rsidRPr="00F72628">
        <w:rPr>
          <w:rFonts w:ascii="Book Antiqua" w:hAnsi="Book Antiqua"/>
        </w:rPr>
        <w:t xml:space="preserve">, M. Centeno, A. </w:t>
      </w:r>
      <w:proofErr w:type="spellStart"/>
      <w:r w:rsidRPr="00F72628">
        <w:rPr>
          <w:rFonts w:ascii="Book Antiqua" w:hAnsi="Book Antiqua"/>
        </w:rPr>
        <w:t>Kohli</w:t>
      </w:r>
      <w:proofErr w:type="spellEnd"/>
      <w:r w:rsidRPr="00F72628">
        <w:rPr>
          <w:rFonts w:ascii="Book Antiqua" w:hAnsi="Book Antiqua"/>
        </w:rPr>
        <w:t xml:space="preserve"> &amp; D. </w:t>
      </w:r>
      <w:proofErr w:type="spellStart"/>
      <w:r w:rsidRPr="00F72628">
        <w:rPr>
          <w:rFonts w:ascii="Book Antiqua" w:hAnsi="Book Antiqua"/>
        </w:rPr>
        <w:t>Yashar</w:t>
      </w:r>
      <w:proofErr w:type="spellEnd"/>
      <w:r w:rsidRPr="00F72628">
        <w:rPr>
          <w:rFonts w:ascii="Book Antiqua" w:hAnsi="Book Antiqua"/>
        </w:rPr>
        <w:t xml:space="preserve"> (</w:t>
      </w:r>
      <w:proofErr w:type="spellStart"/>
      <w:r w:rsidRPr="00F72628">
        <w:rPr>
          <w:rFonts w:ascii="Book Antiqua" w:hAnsi="Book Antiqua"/>
        </w:rPr>
        <w:t>eds</w:t>
      </w:r>
      <w:proofErr w:type="spellEnd"/>
      <w:r w:rsidRPr="00F72628">
        <w:rPr>
          <w:rFonts w:ascii="Book Antiqua" w:hAnsi="Book Antiqua"/>
        </w:rPr>
        <w:t xml:space="preserve">) States in </w:t>
      </w:r>
      <w:proofErr w:type="spellStart"/>
      <w:r w:rsidRPr="00F72628">
        <w:rPr>
          <w:rFonts w:ascii="Book Antiqua" w:hAnsi="Book Antiqua"/>
        </w:rPr>
        <w:t>the</w:t>
      </w:r>
      <w:proofErr w:type="spellEnd"/>
      <w:r w:rsidRPr="00F72628">
        <w:rPr>
          <w:rFonts w:ascii="Book Antiqua" w:hAnsi="Book Antiqua"/>
        </w:rPr>
        <w:t xml:space="preserve"> </w:t>
      </w:r>
      <w:proofErr w:type="spellStart"/>
      <w:r w:rsidRPr="00F72628">
        <w:rPr>
          <w:rFonts w:ascii="Book Antiqua" w:hAnsi="Book Antiqua"/>
        </w:rPr>
        <w:t>developing</w:t>
      </w:r>
      <w:proofErr w:type="spellEnd"/>
      <w:r w:rsidRPr="00F72628">
        <w:rPr>
          <w:rFonts w:ascii="Book Antiqua" w:hAnsi="Book Antiqua"/>
        </w:rPr>
        <w:t xml:space="preserve"> world. Cambridge: </w:t>
      </w:r>
      <w:r w:rsidRPr="00F72628">
        <w:rPr>
          <w:rFonts w:ascii="Book Antiqua" w:hAnsi="Book Antiqua"/>
          <w:b/>
          <w:bCs/>
        </w:rPr>
        <w:t xml:space="preserve">Cambridge </w:t>
      </w:r>
      <w:proofErr w:type="spellStart"/>
      <w:r w:rsidRPr="00F72628">
        <w:rPr>
          <w:rFonts w:ascii="Book Antiqua" w:hAnsi="Book Antiqua"/>
          <w:b/>
          <w:bCs/>
        </w:rPr>
        <w:t>University</w:t>
      </w:r>
      <w:proofErr w:type="spellEnd"/>
      <w:r w:rsidRPr="00F72628">
        <w:rPr>
          <w:rFonts w:ascii="Book Antiqua" w:hAnsi="Book Antiqua"/>
          <w:b/>
          <w:bCs/>
        </w:rPr>
        <w:t xml:space="preserve"> Press</w:t>
      </w:r>
      <w:r w:rsidRPr="00F72628">
        <w:rPr>
          <w:rFonts w:ascii="Book Antiqua" w:hAnsi="Book Antiqua"/>
        </w:rPr>
        <w:t xml:space="preserve">, pp. 1-32. E </w:t>
      </w:r>
      <w:proofErr w:type="spellStart"/>
      <w:r w:rsidRPr="00F72628">
        <w:rPr>
          <w:rFonts w:ascii="Book Antiqua" w:hAnsi="Book Antiqua"/>
        </w:rPr>
        <w:t>Capano</w:t>
      </w:r>
      <w:proofErr w:type="spellEnd"/>
      <w:r w:rsidRPr="00F72628">
        <w:rPr>
          <w:rFonts w:ascii="Book Antiqua" w:hAnsi="Book Antiqua"/>
        </w:rPr>
        <w:t xml:space="preserve">, G., Howlett, M., </w:t>
      </w:r>
      <w:proofErr w:type="spellStart"/>
      <w:r w:rsidRPr="00F72628">
        <w:rPr>
          <w:rFonts w:ascii="Book Antiqua" w:hAnsi="Book Antiqua"/>
        </w:rPr>
        <w:t>Ramesh</w:t>
      </w:r>
      <w:proofErr w:type="spellEnd"/>
      <w:r w:rsidRPr="00F72628">
        <w:rPr>
          <w:rFonts w:ascii="Book Antiqua" w:hAnsi="Book Antiqua"/>
        </w:rPr>
        <w:t xml:space="preserve">, M. &amp; </w:t>
      </w:r>
      <w:proofErr w:type="spellStart"/>
      <w:r w:rsidRPr="00F72628">
        <w:rPr>
          <w:rFonts w:ascii="Book Antiqua" w:hAnsi="Book Antiqua"/>
        </w:rPr>
        <w:t>Virani</w:t>
      </w:r>
      <w:proofErr w:type="spellEnd"/>
      <w:r w:rsidRPr="00F72628">
        <w:rPr>
          <w:rFonts w:ascii="Book Antiqua" w:hAnsi="Book Antiqua"/>
        </w:rPr>
        <w:t xml:space="preserve">, A. (2019) Making policies </w:t>
      </w:r>
      <w:proofErr w:type="spellStart"/>
      <w:r w:rsidRPr="00F72628">
        <w:rPr>
          <w:rFonts w:ascii="Book Antiqua" w:hAnsi="Book Antiqua"/>
        </w:rPr>
        <w:t>work</w:t>
      </w:r>
      <w:proofErr w:type="spellEnd"/>
      <w:r w:rsidRPr="00F72628">
        <w:rPr>
          <w:rFonts w:ascii="Book Antiqua" w:hAnsi="Book Antiqua"/>
        </w:rPr>
        <w:t xml:space="preserve">: </w:t>
      </w:r>
      <w:proofErr w:type="spellStart"/>
      <w:r w:rsidRPr="00F72628">
        <w:rPr>
          <w:rFonts w:ascii="Book Antiqua" w:hAnsi="Book Antiqua"/>
        </w:rPr>
        <w:t>first</w:t>
      </w:r>
      <w:proofErr w:type="spellEnd"/>
      <w:r w:rsidRPr="00F72628">
        <w:rPr>
          <w:rFonts w:ascii="Book Antiqua" w:hAnsi="Book Antiqua"/>
        </w:rPr>
        <w:t xml:space="preserve">- </w:t>
      </w:r>
      <w:proofErr w:type="spellStart"/>
      <w:r w:rsidRPr="00F72628">
        <w:rPr>
          <w:rFonts w:ascii="Book Antiqua" w:hAnsi="Book Antiqua"/>
        </w:rPr>
        <w:t>and</w:t>
      </w:r>
      <w:proofErr w:type="spellEnd"/>
      <w:r w:rsidRPr="00F72628">
        <w:rPr>
          <w:rFonts w:ascii="Book Antiqua" w:hAnsi="Book Antiqua"/>
        </w:rPr>
        <w:t xml:space="preserve"> </w:t>
      </w:r>
      <w:proofErr w:type="spellStart"/>
      <w:r w:rsidRPr="00F72628">
        <w:rPr>
          <w:rFonts w:ascii="Book Antiqua" w:hAnsi="Book Antiqua"/>
        </w:rPr>
        <w:t>second-order</w:t>
      </w:r>
      <w:proofErr w:type="spellEnd"/>
      <w:r w:rsidRPr="00F72628">
        <w:rPr>
          <w:rFonts w:ascii="Book Antiqua" w:hAnsi="Book Antiqua"/>
        </w:rPr>
        <w:t xml:space="preserve"> </w:t>
      </w:r>
      <w:proofErr w:type="spellStart"/>
      <w:r w:rsidRPr="00F72628">
        <w:rPr>
          <w:rFonts w:ascii="Book Antiqua" w:hAnsi="Book Antiqua"/>
        </w:rPr>
        <w:t>mechanisms</w:t>
      </w:r>
      <w:proofErr w:type="spellEnd"/>
      <w:r w:rsidRPr="00F72628">
        <w:rPr>
          <w:rFonts w:ascii="Book Antiqua" w:hAnsi="Book Antiqua"/>
        </w:rPr>
        <w:t xml:space="preserve"> in </w:t>
      </w:r>
      <w:proofErr w:type="spellStart"/>
      <w:r w:rsidRPr="00F72628">
        <w:rPr>
          <w:rFonts w:ascii="Book Antiqua" w:hAnsi="Book Antiqua"/>
        </w:rPr>
        <w:t>policy</w:t>
      </w:r>
      <w:proofErr w:type="spellEnd"/>
      <w:r w:rsidRPr="00F72628">
        <w:rPr>
          <w:rFonts w:ascii="Book Antiqua" w:hAnsi="Book Antiqua"/>
        </w:rPr>
        <w:t xml:space="preserve"> design. </w:t>
      </w:r>
      <w:proofErr w:type="spellStart"/>
      <w:r w:rsidRPr="00F72628">
        <w:rPr>
          <w:rFonts w:ascii="Book Antiqua" w:hAnsi="Book Antiqua"/>
        </w:rPr>
        <w:t>Cheltenham</w:t>
      </w:r>
      <w:proofErr w:type="spellEnd"/>
      <w:r w:rsidRPr="00F72628">
        <w:rPr>
          <w:rFonts w:ascii="Book Antiqua" w:hAnsi="Book Antiqua"/>
        </w:rPr>
        <w:t xml:space="preserve">: Edward </w:t>
      </w:r>
      <w:proofErr w:type="spellStart"/>
      <w:r w:rsidRPr="00F72628">
        <w:rPr>
          <w:rFonts w:ascii="Book Antiqua" w:hAnsi="Book Antiqua"/>
        </w:rPr>
        <w:t>Elgar</w:t>
      </w:r>
      <w:proofErr w:type="spellEnd"/>
      <w:r w:rsidRPr="00F72628">
        <w:rPr>
          <w:rFonts w:ascii="Book Antiqua" w:hAnsi="Book Antiqua"/>
        </w:rPr>
        <w:t xml:space="preserve"> </w:t>
      </w:r>
      <w:proofErr w:type="spellStart"/>
      <w:r w:rsidRPr="00F72628">
        <w:rPr>
          <w:rFonts w:ascii="Book Antiqua" w:hAnsi="Book Antiqua"/>
        </w:rPr>
        <w:t>Publications</w:t>
      </w:r>
      <w:proofErr w:type="spellEnd"/>
      <w:r w:rsidRPr="00F72628">
        <w:rPr>
          <w:rFonts w:ascii="Book Antiqua" w:hAnsi="Book Antiqua"/>
        </w:rPr>
        <w:t xml:space="preserve">; e Gomide, A. &amp; Pires, R. (2024) Capacidades estatais em </w:t>
      </w:r>
      <w:proofErr w:type="spellStart"/>
      <w:r w:rsidRPr="00F72628">
        <w:rPr>
          <w:rFonts w:ascii="Book Antiqua" w:hAnsi="Book Antiqua"/>
        </w:rPr>
        <w:t>ação</w:t>
      </w:r>
      <w:proofErr w:type="spellEnd"/>
      <w:r w:rsidRPr="00F72628">
        <w:rPr>
          <w:rFonts w:ascii="Book Antiqua" w:hAnsi="Book Antiqua"/>
        </w:rPr>
        <w:t xml:space="preserve">: a abordagem dos arranjos de </w:t>
      </w:r>
      <w:proofErr w:type="spellStart"/>
      <w:r w:rsidRPr="00F72628">
        <w:rPr>
          <w:rFonts w:ascii="Book Antiqua" w:hAnsi="Book Antiqua"/>
        </w:rPr>
        <w:t>implementação</w:t>
      </w:r>
      <w:proofErr w:type="spellEnd"/>
      <w:r w:rsidRPr="00F72628">
        <w:rPr>
          <w:rFonts w:ascii="Book Antiqua" w:hAnsi="Book Antiqua"/>
        </w:rPr>
        <w:t xml:space="preserve"> de políticas públicas. In: A. Gomide &amp; A. Marenco (</w:t>
      </w:r>
      <w:proofErr w:type="spellStart"/>
      <w:r w:rsidRPr="00F72628">
        <w:rPr>
          <w:rFonts w:ascii="Book Antiqua" w:hAnsi="Book Antiqua"/>
        </w:rPr>
        <w:t>eds</w:t>
      </w:r>
      <w:proofErr w:type="spellEnd"/>
      <w:r w:rsidRPr="00F72628">
        <w:rPr>
          <w:rFonts w:ascii="Book Antiqua" w:hAnsi="Book Antiqua"/>
        </w:rPr>
        <w:t xml:space="preserve">) </w:t>
      </w:r>
      <w:r w:rsidRPr="00F72628">
        <w:rPr>
          <w:rFonts w:ascii="Book Antiqua" w:hAnsi="Book Antiqua"/>
          <w:b/>
          <w:bCs/>
        </w:rPr>
        <w:t>Capacidades estatais: avanços e tendências</w:t>
      </w:r>
      <w:r w:rsidRPr="00F72628">
        <w:rPr>
          <w:rFonts w:ascii="Book Antiqua" w:hAnsi="Book Antiqua"/>
        </w:rPr>
        <w:t>. Brasília: Enap, pp. 31-42.</w:t>
      </w:r>
    </w:p>
  </w:footnote>
  <w:footnote w:id="27">
    <w:p w14:paraId="7F9057DE"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PIRES, Roberto Rocha Coelho et al. Arranjos de implementação e ativação de capacidades estatais para políticas públicas: uma abordagem analítica. </w:t>
      </w:r>
      <w:r w:rsidRPr="00F72628">
        <w:rPr>
          <w:rFonts w:ascii="Book Antiqua" w:hAnsi="Book Antiqua"/>
          <w:b/>
          <w:bCs/>
        </w:rPr>
        <w:t>Revista de Sociologia e Política</w:t>
      </w:r>
      <w:r w:rsidRPr="00F72628">
        <w:rPr>
          <w:rFonts w:ascii="Book Antiqua" w:hAnsi="Book Antiqua"/>
        </w:rPr>
        <w:t>, v. 32, p. e022, 2024.Pág. 8</w:t>
      </w:r>
    </w:p>
  </w:footnote>
  <w:footnote w:id="28">
    <w:p w14:paraId="5F87EC96" w14:textId="77777777" w:rsidR="003D00D8" w:rsidRPr="00F72628" w:rsidRDefault="003D00D8" w:rsidP="003D00D8">
      <w:pPr>
        <w:pStyle w:val="Textodenotaderodap"/>
        <w:spacing w:line="276" w:lineRule="auto"/>
        <w:rPr>
          <w:rFonts w:ascii="Book Antiqua" w:hAnsi="Book Antiqua"/>
        </w:rPr>
      </w:pPr>
      <w:r w:rsidRPr="00F72628">
        <w:rPr>
          <w:rStyle w:val="Refdenotaderodap"/>
          <w:rFonts w:ascii="Book Antiqua" w:hAnsi="Book Antiqua"/>
        </w:rPr>
        <w:footnoteRef/>
      </w:r>
      <w:r w:rsidRPr="00F72628">
        <w:rPr>
          <w:rFonts w:ascii="Book Antiqua" w:hAnsi="Book Antiqua"/>
        </w:rPr>
        <w:t xml:space="preserve"> Cavalcante, P. &amp; Pires, R. (2018) Governança pública: das </w:t>
      </w:r>
      <w:proofErr w:type="spellStart"/>
      <w:r w:rsidRPr="00F72628">
        <w:rPr>
          <w:rFonts w:ascii="Book Antiqua" w:hAnsi="Book Antiqua"/>
        </w:rPr>
        <w:t>prescrições</w:t>
      </w:r>
      <w:proofErr w:type="spellEnd"/>
      <w:r w:rsidRPr="00F72628">
        <w:rPr>
          <w:rFonts w:ascii="Book Antiqua" w:hAnsi="Book Antiqua"/>
        </w:rPr>
        <w:t xml:space="preserve"> formais à </w:t>
      </w:r>
      <w:proofErr w:type="spellStart"/>
      <w:r w:rsidRPr="00F72628">
        <w:rPr>
          <w:rFonts w:ascii="Book Antiqua" w:hAnsi="Book Antiqua"/>
        </w:rPr>
        <w:t>construção</w:t>
      </w:r>
      <w:proofErr w:type="spellEnd"/>
      <w:r w:rsidRPr="00F72628">
        <w:rPr>
          <w:rFonts w:ascii="Book Antiqua" w:hAnsi="Book Antiqua"/>
        </w:rPr>
        <w:t xml:space="preserve"> de uma perspectiva estratégica para a </w:t>
      </w:r>
      <w:proofErr w:type="spellStart"/>
      <w:r w:rsidRPr="00F72628">
        <w:rPr>
          <w:rFonts w:ascii="Book Antiqua" w:hAnsi="Book Antiqua"/>
        </w:rPr>
        <w:t>ação</w:t>
      </w:r>
      <w:proofErr w:type="spellEnd"/>
      <w:r w:rsidRPr="00F72628">
        <w:rPr>
          <w:rFonts w:ascii="Book Antiqua" w:hAnsi="Book Antiqua"/>
        </w:rPr>
        <w:t xml:space="preserve"> governamental. Boletim de Análise Político-Institucional, 19, pp. 9-16.</w:t>
      </w:r>
    </w:p>
  </w:footnote>
  <w:footnote w:id="29">
    <w:p w14:paraId="7C8C29F4" w14:textId="77777777" w:rsidR="003D00D8" w:rsidRPr="00F72628" w:rsidRDefault="003D00D8" w:rsidP="003D00D8">
      <w:pPr>
        <w:pStyle w:val="Textodenotaderodap"/>
        <w:spacing w:line="276" w:lineRule="auto"/>
        <w:rPr>
          <w:rFonts w:ascii="Book Antiqua" w:hAnsi="Book Antiqua"/>
        </w:rPr>
      </w:pPr>
      <w:r w:rsidRPr="00F72628">
        <w:rPr>
          <w:rStyle w:val="Refdenotaderodap"/>
          <w:rFonts w:ascii="Book Antiqua" w:hAnsi="Book Antiqua"/>
        </w:rPr>
        <w:footnoteRef/>
      </w:r>
      <w:r w:rsidRPr="00F72628">
        <w:rPr>
          <w:rFonts w:ascii="Book Antiqua" w:hAnsi="Book Antiqua"/>
        </w:rPr>
        <w:t xml:space="preserve"> BRUNET, Emiliano Rodrigues; BUCCI, Maria Paula Dallari. Os desafios para a reconstrução do Estado social no Brasil pós pandemia: aprendizados a partir das políticas públicas e capacidades estatais. </w:t>
      </w:r>
      <w:r w:rsidRPr="00F72628">
        <w:rPr>
          <w:rFonts w:ascii="Book Antiqua" w:hAnsi="Book Antiqua"/>
          <w:b/>
          <w:bCs/>
        </w:rPr>
        <w:t>Direito Público</w:t>
      </w:r>
      <w:r w:rsidRPr="00F72628">
        <w:rPr>
          <w:rFonts w:ascii="Book Antiqua" w:hAnsi="Book Antiqua"/>
        </w:rPr>
        <w:t>, v. 18, n. 98, 203021. Pág. 530</w:t>
      </w:r>
    </w:p>
  </w:footnote>
  <w:footnote w:id="30">
    <w:p w14:paraId="28327253" w14:textId="77777777" w:rsidR="003D00D8" w:rsidRPr="00F72628" w:rsidRDefault="003D00D8" w:rsidP="003D00D8">
      <w:pPr>
        <w:pStyle w:val="Textodenotaderodap"/>
        <w:spacing w:line="276" w:lineRule="auto"/>
        <w:rPr>
          <w:rFonts w:ascii="Book Antiqua" w:hAnsi="Book Antiqua"/>
        </w:rPr>
      </w:pPr>
      <w:r w:rsidRPr="00F72628">
        <w:rPr>
          <w:rStyle w:val="Refdenotaderodap"/>
          <w:rFonts w:ascii="Book Antiqua" w:hAnsi="Book Antiqua"/>
        </w:rPr>
        <w:footnoteRef/>
      </w:r>
      <w:r w:rsidRPr="00F72628">
        <w:rPr>
          <w:rFonts w:ascii="Book Antiqua" w:hAnsi="Book Antiqua"/>
        </w:rPr>
        <w:t xml:space="preserve"> Schneider, V. (2005) Redes de políticas públicas e a </w:t>
      </w:r>
      <w:proofErr w:type="spellStart"/>
      <w:r w:rsidRPr="00F72628">
        <w:rPr>
          <w:rFonts w:ascii="Book Antiqua" w:hAnsi="Book Antiqua"/>
        </w:rPr>
        <w:t>condução</w:t>
      </w:r>
      <w:proofErr w:type="spellEnd"/>
      <w:r w:rsidRPr="00F72628">
        <w:rPr>
          <w:rFonts w:ascii="Book Antiqua" w:hAnsi="Book Antiqua"/>
        </w:rPr>
        <w:t xml:space="preserve"> de sociedades complexas. </w:t>
      </w:r>
      <w:proofErr w:type="spellStart"/>
      <w:r w:rsidRPr="00F72628">
        <w:rPr>
          <w:rFonts w:ascii="Book Antiqua" w:hAnsi="Book Antiqua"/>
        </w:rPr>
        <w:t>Civitas</w:t>
      </w:r>
      <w:proofErr w:type="spellEnd"/>
      <w:r w:rsidRPr="00F72628">
        <w:rPr>
          <w:rFonts w:ascii="Book Antiqua" w:hAnsi="Book Antiqua"/>
        </w:rPr>
        <w:t>, 5(1), pp. 29-58.</w:t>
      </w:r>
    </w:p>
  </w:footnote>
  <w:footnote w:id="31">
    <w:p w14:paraId="32589738"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PIRES, Roberto Rocha Coelho et al. Arranjos de implementação e ativação de capacidades estatais para políticas públicas: uma abordagem analítica. </w:t>
      </w:r>
      <w:r w:rsidRPr="00F72628">
        <w:rPr>
          <w:rFonts w:ascii="Book Antiqua" w:hAnsi="Book Antiqua"/>
          <w:b/>
          <w:bCs/>
        </w:rPr>
        <w:t>Revista de Sociologia e Política</w:t>
      </w:r>
      <w:r w:rsidRPr="00F72628">
        <w:rPr>
          <w:rFonts w:ascii="Book Antiqua" w:hAnsi="Book Antiqua"/>
        </w:rPr>
        <w:t>, v. 32, p. e022, 2024.Pág. 9-10</w:t>
      </w:r>
    </w:p>
    <w:p w14:paraId="0BAE1A9C" w14:textId="77777777" w:rsidR="003D00D8" w:rsidRPr="00F72628" w:rsidRDefault="003D00D8" w:rsidP="003D00D8">
      <w:pPr>
        <w:pStyle w:val="Textodenotaderodap"/>
        <w:spacing w:line="276" w:lineRule="auto"/>
        <w:rPr>
          <w:rFonts w:ascii="Book Antiqua" w:hAnsi="Book Antiqua"/>
        </w:rPr>
      </w:pPr>
    </w:p>
  </w:footnote>
  <w:footnote w:id="32">
    <w:p w14:paraId="313F8F4A" w14:textId="77777777" w:rsidR="003D00D8" w:rsidRPr="00F72628" w:rsidRDefault="003D00D8" w:rsidP="003D00D8">
      <w:pPr>
        <w:pStyle w:val="Textodenotaderodap"/>
        <w:spacing w:line="276" w:lineRule="auto"/>
        <w:rPr>
          <w:rFonts w:ascii="Book Antiqua" w:hAnsi="Book Antiqua"/>
        </w:rPr>
      </w:pPr>
      <w:r w:rsidRPr="00F72628">
        <w:rPr>
          <w:rStyle w:val="Refdenotaderodap"/>
          <w:rFonts w:ascii="Book Antiqua" w:hAnsi="Book Antiqua"/>
        </w:rPr>
        <w:footnoteRef/>
      </w:r>
      <w:r w:rsidRPr="00F72628">
        <w:rPr>
          <w:rFonts w:ascii="Book Antiqua" w:hAnsi="Book Antiqua"/>
        </w:rPr>
        <w:t xml:space="preserve"> PIRES, Roberto Rocha Coelho et al. Arranjos de implementação e ativação de capacidades estatais para políticas públicas: uma abordagem analítica. </w:t>
      </w:r>
      <w:r w:rsidRPr="00F72628">
        <w:rPr>
          <w:rFonts w:ascii="Book Antiqua" w:hAnsi="Book Antiqua"/>
          <w:b/>
          <w:bCs/>
        </w:rPr>
        <w:t>Revista de Sociologia e Política</w:t>
      </w:r>
      <w:r w:rsidRPr="00F72628">
        <w:rPr>
          <w:rFonts w:ascii="Book Antiqua" w:hAnsi="Book Antiqua"/>
        </w:rPr>
        <w:t>, v. 32, p. e022, 2024.Pág. 9-10</w:t>
      </w:r>
    </w:p>
  </w:footnote>
  <w:footnote w:id="33">
    <w:p w14:paraId="6E68E1B2" w14:textId="77777777" w:rsidR="003D00D8" w:rsidRPr="00F72628" w:rsidRDefault="003D00D8" w:rsidP="003D00D8">
      <w:pPr>
        <w:pStyle w:val="Textodenotaderodap"/>
        <w:spacing w:line="276" w:lineRule="auto"/>
        <w:rPr>
          <w:rFonts w:ascii="Book Antiqua" w:hAnsi="Book Antiqua"/>
        </w:rPr>
      </w:pPr>
      <w:r w:rsidRPr="00F72628">
        <w:rPr>
          <w:rStyle w:val="Refdenotaderodap"/>
          <w:rFonts w:ascii="Book Antiqua" w:hAnsi="Book Antiqua"/>
        </w:rPr>
        <w:footnoteRef/>
      </w:r>
      <w:r w:rsidRPr="00F72628">
        <w:rPr>
          <w:rFonts w:ascii="Book Antiqua" w:hAnsi="Book Antiqua"/>
        </w:rPr>
        <w:t xml:space="preserve"> PIRES, Roberto Rocha Coelho; GOMIDE, Alexandre de Ávila. Governança e capacidades estatais: uma análise comparativa de programas federais. </w:t>
      </w:r>
      <w:r w:rsidRPr="00F72628">
        <w:rPr>
          <w:rFonts w:ascii="Book Antiqua" w:hAnsi="Book Antiqua"/>
          <w:b/>
          <w:bCs/>
        </w:rPr>
        <w:t>Revista de sociologia e política</w:t>
      </w:r>
      <w:r w:rsidRPr="00F72628">
        <w:rPr>
          <w:rFonts w:ascii="Book Antiqua" w:hAnsi="Book Antiqua"/>
        </w:rPr>
        <w:t>, v. 24, n. 58, p. 121-143, 2016. Págs. 129-135</w:t>
      </w:r>
    </w:p>
  </w:footnote>
  <w:footnote w:id="34">
    <w:p w14:paraId="48A7655F" w14:textId="77777777" w:rsidR="003D00D8" w:rsidRPr="00F72628" w:rsidRDefault="003D00D8" w:rsidP="003D00D8">
      <w:pPr>
        <w:pStyle w:val="Textodenotaderodap"/>
        <w:spacing w:line="276" w:lineRule="auto"/>
        <w:rPr>
          <w:rFonts w:ascii="Book Antiqua" w:hAnsi="Book Antiqua"/>
        </w:rPr>
      </w:pPr>
      <w:r w:rsidRPr="00F72628">
        <w:rPr>
          <w:rStyle w:val="Refdenotaderodap"/>
          <w:rFonts w:ascii="Book Antiqua" w:hAnsi="Book Antiqua"/>
        </w:rPr>
        <w:footnoteRef/>
      </w:r>
      <w:r w:rsidRPr="00F72628">
        <w:rPr>
          <w:rFonts w:ascii="Book Antiqua" w:hAnsi="Book Antiqua"/>
        </w:rPr>
        <w:t xml:space="preserve"> PIRES, Roberto Rocha Coelho; GOMIDE, Alexandre de Ávila. Governança e capacidades estatais: uma análise comparativa de programas federais. </w:t>
      </w:r>
      <w:r w:rsidRPr="00F72628">
        <w:rPr>
          <w:rFonts w:ascii="Book Antiqua" w:hAnsi="Book Antiqua"/>
          <w:b/>
          <w:bCs/>
        </w:rPr>
        <w:t>Revista de sociologia e política</w:t>
      </w:r>
      <w:r w:rsidRPr="00F72628">
        <w:rPr>
          <w:rFonts w:ascii="Book Antiqua" w:hAnsi="Book Antiqua"/>
        </w:rPr>
        <w:t>, v. 24, n. 58, p. 121-143, 2016. Págs. 129-135</w:t>
      </w:r>
    </w:p>
  </w:footnote>
  <w:footnote w:id="35">
    <w:p w14:paraId="58E8C327" w14:textId="77777777" w:rsidR="003D00D8" w:rsidRPr="00663A74" w:rsidRDefault="003D00D8" w:rsidP="003D00D8">
      <w:pPr>
        <w:pStyle w:val="Textodenotaderodap"/>
        <w:jc w:val="both"/>
        <w:rPr>
          <w:rFonts w:ascii="Book Antiqua" w:hAnsi="Book Antiqua"/>
          <w:color w:val="000000" w:themeColor="text1"/>
        </w:rPr>
      </w:pPr>
      <w:r w:rsidRPr="000C75FC">
        <w:rPr>
          <w:rStyle w:val="Refdenotaderodap"/>
          <w:rFonts w:ascii="Book Antiqua" w:hAnsi="Book Antiqua"/>
        </w:rPr>
        <w:footnoteRef/>
      </w:r>
      <w:r w:rsidRPr="000C75FC">
        <w:rPr>
          <w:rFonts w:ascii="Book Antiqua" w:hAnsi="Book Antiqua"/>
        </w:rPr>
        <w:t xml:space="preserve"> Essa invisibilidade é empiricamente observável nos documentos institucionais da CVM. Entre 2019 e 2025, as Agendas Regulatórias publicadas anualmente pela autarquia não mencionam qualquer iniciativa normativa voltada ao aprimoramento da detecção, prevenção ou repressão ao uso de informação privilegiada – mesmo em anos de alta volatilidade informacional no mercado e de casos amplamente noticiados. Da mesma forma, os Relatórios de Gestão, os Relatórios de Atividade Sancionadora e os Painéis Técnico-Executivos da CVM, embora tratem com recorrência de temas como </w:t>
      </w:r>
      <w:proofErr w:type="spellStart"/>
      <w:r w:rsidRPr="000C75FC">
        <w:rPr>
          <w:rFonts w:ascii="Book Antiqua" w:hAnsi="Book Antiqua"/>
          <w:i/>
          <w:iCs/>
        </w:rPr>
        <w:t>suitability</w:t>
      </w:r>
      <w:proofErr w:type="spellEnd"/>
      <w:r w:rsidRPr="000C75FC">
        <w:rPr>
          <w:rFonts w:ascii="Book Antiqua" w:hAnsi="Book Antiqua"/>
        </w:rPr>
        <w:t xml:space="preserve">, governança, fintechs e mercado digital, fazem referências esparsas e </w:t>
      </w:r>
      <w:r w:rsidRPr="00663A74">
        <w:rPr>
          <w:rFonts w:ascii="Book Antiqua" w:hAnsi="Book Antiqua"/>
          <w:color w:val="000000" w:themeColor="text1"/>
        </w:rPr>
        <w:t xml:space="preserve">quase sempre periféricas ao </w:t>
      </w:r>
      <w:proofErr w:type="spellStart"/>
      <w:r w:rsidRPr="00663A74">
        <w:rPr>
          <w:rFonts w:ascii="Book Antiqua" w:hAnsi="Book Antiqua"/>
          <w:i/>
          <w:iCs/>
          <w:color w:val="000000" w:themeColor="text1"/>
        </w:rPr>
        <w:t>insider</w:t>
      </w:r>
      <w:proofErr w:type="spellEnd"/>
      <w:r w:rsidRPr="00663A74">
        <w:rPr>
          <w:rFonts w:ascii="Book Antiqua" w:hAnsi="Book Antiqua"/>
          <w:i/>
          <w:iCs/>
          <w:color w:val="000000" w:themeColor="text1"/>
        </w:rPr>
        <w:t xml:space="preserve"> trading</w:t>
      </w:r>
      <w:r w:rsidRPr="00663A74">
        <w:rPr>
          <w:rFonts w:ascii="Book Antiqua" w:hAnsi="Book Antiqua"/>
          <w:color w:val="000000" w:themeColor="text1"/>
        </w:rPr>
        <w:t>.</w:t>
      </w:r>
    </w:p>
  </w:footnote>
  <w:footnote w:id="36">
    <w:p w14:paraId="7493A09B" w14:textId="77777777" w:rsidR="003D00D8" w:rsidRPr="00663A74" w:rsidRDefault="003D00D8" w:rsidP="003D00D8">
      <w:pPr>
        <w:pStyle w:val="Textodenotaderodap"/>
        <w:jc w:val="both"/>
        <w:rPr>
          <w:rFonts w:ascii="Book Antiqua" w:hAnsi="Book Antiqua"/>
          <w:color w:val="000000" w:themeColor="text1"/>
        </w:rPr>
      </w:pPr>
      <w:r w:rsidRPr="00663A74">
        <w:rPr>
          <w:rStyle w:val="Refdenotaderodap"/>
          <w:rFonts w:ascii="Book Antiqua" w:hAnsi="Book Antiqua"/>
          <w:color w:val="000000" w:themeColor="text1"/>
        </w:rPr>
        <w:footnoteRef/>
      </w:r>
      <w:r w:rsidRPr="00663A74">
        <w:rPr>
          <w:rFonts w:ascii="Book Antiqua" w:hAnsi="Book Antiqua"/>
          <w:color w:val="000000" w:themeColor="text1"/>
        </w:rPr>
        <w:t xml:space="preserve"> BRASIL. Polícia Federal. </w:t>
      </w:r>
      <w:r w:rsidRPr="00663A74">
        <w:rPr>
          <w:rFonts w:ascii="Book Antiqua" w:hAnsi="Book Antiqua"/>
          <w:b/>
          <w:bCs/>
          <w:color w:val="000000" w:themeColor="text1"/>
        </w:rPr>
        <w:t xml:space="preserve">PF deflagra segunda fase de operação para combater crime de </w:t>
      </w:r>
      <w:proofErr w:type="spellStart"/>
      <w:r w:rsidRPr="00663A74">
        <w:rPr>
          <w:rFonts w:ascii="Book Antiqua" w:hAnsi="Book Antiqua"/>
          <w:b/>
          <w:bCs/>
          <w:color w:val="000000" w:themeColor="text1"/>
        </w:rPr>
        <w:t>insider</w:t>
      </w:r>
      <w:proofErr w:type="spellEnd"/>
      <w:r w:rsidRPr="00663A74">
        <w:rPr>
          <w:rFonts w:ascii="Book Antiqua" w:hAnsi="Book Antiqua"/>
          <w:b/>
          <w:bCs/>
          <w:color w:val="000000" w:themeColor="text1"/>
        </w:rPr>
        <w:t xml:space="preserve"> trading</w:t>
      </w:r>
      <w:r w:rsidRPr="00663A74">
        <w:rPr>
          <w:rFonts w:ascii="Book Antiqua" w:hAnsi="Book Antiqua"/>
          <w:color w:val="000000" w:themeColor="text1"/>
        </w:rPr>
        <w:t xml:space="preserve">. Brasília, 21 mar. 2023. Disponível em: </w:t>
      </w:r>
      <w:hyperlink r:id="rId3" w:tgtFrame="_new" w:history="1">
        <w:r w:rsidRPr="00663A74">
          <w:rPr>
            <w:rStyle w:val="Hyperlink"/>
            <w:rFonts w:ascii="Book Antiqua" w:hAnsi="Book Antiqua"/>
            <w:color w:val="000000" w:themeColor="text1"/>
          </w:rPr>
          <w:t>https://www.gov.br/pf/pt-br/assuntos/noticias/2023/03/pf-deflagra-segunda-fase-de-operacao-para-combater-crime-de-insider-trading</w:t>
        </w:r>
      </w:hyperlink>
      <w:r w:rsidRPr="00663A74">
        <w:rPr>
          <w:rFonts w:ascii="Book Antiqua" w:hAnsi="Book Antiqua"/>
          <w:color w:val="000000" w:themeColor="text1"/>
        </w:rPr>
        <w:t>. Acesso em: 1 dez. 2025.</w:t>
      </w:r>
    </w:p>
  </w:footnote>
  <w:footnote w:id="37">
    <w:p w14:paraId="5E855AA9" w14:textId="77777777" w:rsidR="003D00D8" w:rsidRDefault="003D00D8" w:rsidP="003D00D8">
      <w:pPr>
        <w:pStyle w:val="Textodenotaderodap"/>
        <w:jc w:val="both"/>
      </w:pPr>
      <w:r w:rsidRPr="00663A74">
        <w:rPr>
          <w:rStyle w:val="Refdenotaderodap"/>
          <w:rFonts w:ascii="Book Antiqua" w:hAnsi="Book Antiqua"/>
          <w:color w:val="000000" w:themeColor="text1"/>
        </w:rPr>
        <w:footnoteRef/>
      </w:r>
      <w:r w:rsidRPr="00663A74">
        <w:rPr>
          <w:rFonts w:ascii="Book Antiqua" w:hAnsi="Book Antiqua"/>
          <w:color w:val="000000" w:themeColor="text1"/>
        </w:rPr>
        <w:t xml:space="preserve"> BRASIL. Polícia Federal. </w:t>
      </w:r>
      <w:r w:rsidRPr="00663A74">
        <w:rPr>
          <w:rFonts w:ascii="Book Antiqua" w:hAnsi="Book Antiqua"/>
          <w:b/>
          <w:bCs/>
          <w:color w:val="000000" w:themeColor="text1"/>
        </w:rPr>
        <w:t>PF deflagra operação para elucidar fraudes contábeis da empresa Americanas</w:t>
      </w:r>
      <w:r w:rsidRPr="00663A74">
        <w:rPr>
          <w:rFonts w:ascii="Book Antiqua" w:hAnsi="Book Antiqua"/>
          <w:color w:val="000000" w:themeColor="text1"/>
        </w:rPr>
        <w:t xml:space="preserve">. Brasília, 28 jun. 2024. Disponível em: </w:t>
      </w:r>
      <w:hyperlink r:id="rId4" w:tgtFrame="_new" w:history="1">
        <w:r w:rsidRPr="00663A74">
          <w:rPr>
            <w:rStyle w:val="Hyperlink"/>
            <w:rFonts w:ascii="Book Antiqua" w:hAnsi="Book Antiqua"/>
            <w:color w:val="000000" w:themeColor="text1"/>
          </w:rPr>
          <w:t>https://www.gov.br/pf/pt-br/assuntos/noticias/2024/06/pf-deflagra-operacao-para-elucidar-fraudes-contabeis-da-empresa-americanas</w:t>
        </w:r>
      </w:hyperlink>
      <w:r w:rsidRPr="00663A74">
        <w:rPr>
          <w:rFonts w:ascii="Book Antiqua" w:hAnsi="Book Antiqua"/>
          <w:color w:val="000000" w:themeColor="text1"/>
        </w:rPr>
        <w:t>. Acesso em: 1 dez. 2025.</w:t>
      </w:r>
    </w:p>
  </w:footnote>
  <w:footnote w:id="38">
    <w:p w14:paraId="3CF3E514" w14:textId="77777777" w:rsidR="003D00D8" w:rsidRDefault="003D00D8" w:rsidP="003D00D8">
      <w:pPr>
        <w:pStyle w:val="Textodenotaderodap"/>
        <w:jc w:val="both"/>
      </w:pPr>
      <w:r>
        <w:rPr>
          <w:rStyle w:val="Refdenotaderodap"/>
        </w:rPr>
        <w:footnoteRef/>
      </w:r>
      <w:r w:rsidRPr="00A87222">
        <w:rPr>
          <w:rFonts w:ascii="Book Antiqua" w:hAnsi="Book Antiqua"/>
        </w:rPr>
        <w:t xml:space="preserve"> No contexto da Tese, responsividade institucional é a habilidade de uma organização pública responder de forma tempestiva, racional e coerente às demandas que emergem do sistema de justiça, do ambiente regulado e das pressões sociais e políticas.</w:t>
      </w:r>
    </w:p>
  </w:footnote>
  <w:footnote w:id="39">
    <w:p w14:paraId="73A80861"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Veja-se: https://www.mfcap-fgv.com.br/projects-8 e https://www.mfcap-fgv.com.br/general-9.; PRADO, Viviane Muller; CAVALLI, Marcelo; RACHMAN, Nora; VILELA, Renato. Insider Trading: normas, instituições e mecanismos de combate no Brasil. 2. ed. Belo Horizonte: Arraes, 20 20; PRADO, Viviane Muller; DUTRA, Marcos Galileu Lorena. A Lei nº 13.506/2017 e os desafios na transição para a nova dosimetria da pena: estudo dos julgamentos da CVM em 2021. In: Processo Administrativo Sancionador, 2023.</w:t>
      </w:r>
    </w:p>
  </w:footnote>
  <w:footnote w:id="40">
    <w:p w14:paraId="10566275" w14:textId="77777777" w:rsidR="003D00D8" w:rsidRPr="00C34433" w:rsidRDefault="003D00D8" w:rsidP="003D00D8">
      <w:pPr>
        <w:pStyle w:val="Textodenotaderodap"/>
        <w:rPr>
          <w:rFonts w:ascii="Book Antiqua" w:hAnsi="Book Antiqua"/>
        </w:rPr>
      </w:pPr>
      <w:r w:rsidRPr="00C34433">
        <w:rPr>
          <w:rStyle w:val="Refdenotaderodap"/>
          <w:rFonts w:ascii="Book Antiqua" w:hAnsi="Book Antiqua"/>
        </w:rPr>
        <w:footnoteRef/>
      </w:r>
      <w:r w:rsidRPr="00C34433">
        <w:rPr>
          <w:rFonts w:ascii="Book Antiqua" w:hAnsi="Book Antiqua"/>
        </w:rPr>
        <w:t xml:space="preserve"> O recorte normativo para se chegar nesse número foi a Instrução CVM 358/02, a primeira que trata de modo expresso da proibição ao uso de informação privilegiada. </w:t>
      </w:r>
    </w:p>
  </w:footnote>
  <w:footnote w:id="41">
    <w:p w14:paraId="5D0BE7A9" w14:textId="77777777" w:rsidR="003D00D8" w:rsidRPr="00F72628" w:rsidRDefault="003D00D8" w:rsidP="003D00D8">
      <w:pPr>
        <w:pStyle w:val="Textodenotaderodap"/>
        <w:spacing w:line="276" w:lineRule="auto"/>
        <w:jc w:val="both"/>
        <w:rPr>
          <w:rFonts w:ascii="Book Antiqua" w:hAnsi="Book Antiqua"/>
        </w:rPr>
      </w:pPr>
      <w:r w:rsidRPr="00C34433">
        <w:rPr>
          <w:rStyle w:val="Refdenotaderodap"/>
          <w:rFonts w:ascii="Book Antiqua" w:hAnsi="Book Antiqua"/>
        </w:rPr>
        <w:footnoteRef/>
      </w:r>
      <w:r w:rsidRPr="00C34433">
        <w:rPr>
          <w:rFonts w:ascii="Book Antiqua" w:hAnsi="Book Antiqua"/>
        </w:rPr>
        <w:t xml:space="preserve"> E puderam ser rastreadas.</w:t>
      </w:r>
      <w:r>
        <w:rPr>
          <w:rFonts w:ascii="Book Antiqua" w:hAnsi="Book Antiqua"/>
        </w:rPr>
        <w:t xml:space="preserve"> </w:t>
      </w:r>
    </w:p>
  </w:footnote>
  <w:footnote w:id="42">
    <w:p w14:paraId="2CC33156"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Sistema de inquéritos da CVM </w:t>
      </w:r>
    </w:p>
  </w:footnote>
  <w:footnote w:id="43">
    <w:p w14:paraId="57487C25" w14:textId="77777777" w:rsidR="003D00D8" w:rsidRPr="00F72628" w:rsidRDefault="003D00D8" w:rsidP="003D00D8">
      <w:pPr>
        <w:pStyle w:val="Textodenotaderodap"/>
        <w:spacing w:line="276" w:lineRule="auto"/>
        <w:jc w:val="both"/>
        <w:rPr>
          <w:rFonts w:ascii="Book Antiqua" w:hAnsi="Book Antiqua"/>
        </w:rPr>
      </w:pPr>
      <w:r w:rsidRPr="00F72628">
        <w:rPr>
          <w:rStyle w:val="Refdenotaderodap"/>
          <w:rFonts w:ascii="Book Antiqua" w:hAnsi="Book Antiqua"/>
        </w:rPr>
        <w:footnoteRef/>
      </w:r>
      <w:r w:rsidRPr="00F72628">
        <w:rPr>
          <w:rFonts w:ascii="Book Antiqua" w:hAnsi="Book Antiqua"/>
        </w:rPr>
        <w:t xml:space="preserve">  Sistema Sancionador Integrado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3245"/>
    <w:multiLevelType w:val="hybridMultilevel"/>
    <w:tmpl w:val="647A0D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FF95D89"/>
    <w:multiLevelType w:val="multilevel"/>
    <w:tmpl w:val="4438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C93F3B"/>
    <w:multiLevelType w:val="hybridMultilevel"/>
    <w:tmpl w:val="CAC80D04"/>
    <w:lvl w:ilvl="0" w:tplc="FAF04D6E">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 w15:restartNumberingAfterBreak="0">
    <w:nsid w:val="23C27799"/>
    <w:multiLevelType w:val="multilevel"/>
    <w:tmpl w:val="17F20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6811C2"/>
    <w:multiLevelType w:val="multilevel"/>
    <w:tmpl w:val="F820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4F105A"/>
    <w:multiLevelType w:val="multilevel"/>
    <w:tmpl w:val="EE3AE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9D0777"/>
    <w:multiLevelType w:val="hybridMultilevel"/>
    <w:tmpl w:val="22D25A0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F067D4C"/>
    <w:multiLevelType w:val="multilevel"/>
    <w:tmpl w:val="6582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4335529">
    <w:abstractNumId w:val="6"/>
  </w:num>
  <w:num w:numId="2" w16cid:durableId="1629897931">
    <w:abstractNumId w:val="4"/>
  </w:num>
  <w:num w:numId="3" w16cid:durableId="1298099471">
    <w:abstractNumId w:val="7"/>
  </w:num>
  <w:num w:numId="4" w16cid:durableId="882599364">
    <w:abstractNumId w:val="1"/>
  </w:num>
  <w:num w:numId="5" w16cid:durableId="673411313">
    <w:abstractNumId w:val="5"/>
  </w:num>
  <w:num w:numId="6" w16cid:durableId="1711146911">
    <w:abstractNumId w:val="0"/>
  </w:num>
  <w:num w:numId="7" w16cid:durableId="594947871">
    <w:abstractNumId w:val="2"/>
  </w:num>
  <w:num w:numId="8" w16cid:durableId="2974942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0D8"/>
    <w:rsid w:val="00137917"/>
    <w:rsid w:val="003D00D8"/>
    <w:rsid w:val="004271DA"/>
    <w:rsid w:val="005B04A8"/>
    <w:rsid w:val="007744CF"/>
    <w:rsid w:val="00850842"/>
    <w:rsid w:val="00862B45"/>
    <w:rsid w:val="00D85780"/>
    <w:rsid w:val="00DB77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766D7"/>
  <w15:chartTrackingRefBased/>
  <w15:docId w15:val="{0A243382-4D58-47B7-91B8-F43696752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D8"/>
  </w:style>
  <w:style w:type="paragraph" w:styleId="Ttulo1">
    <w:name w:val="heading 1"/>
    <w:basedOn w:val="Normal"/>
    <w:next w:val="Normal"/>
    <w:link w:val="Ttulo1Char"/>
    <w:uiPriority w:val="9"/>
    <w:qFormat/>
    <w:rsid w:val="003D00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D00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D00D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D00D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D00D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D00D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D00D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D00D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D00D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D00D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D00D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D00D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D00D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D00D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D00D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D00D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D00D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D00D8"/>
    <w:rPr>
      <w:rFonts w:eastAsiaTheme="majorEastAsia" w:cstheme="majorBidi"/>
      <w:color w:val="272727" w:themeColor="text1" w:themeTint="D8"/>
    </w:rPr>
  </w:style>
  <w:style w:type="paragraph" w:styleId="Ttulo">
    <w:name w:val="Title"/>
    <w:basedOn w:val="Normal"/>
    <w:next w:val="Normal"/>
    <w:link w:val="TtuloChar"/>
    <w:uiPriority w:val="10"/>
    <w:qFormat/>
    <w:rsid w:val="003D00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D00D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D00D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D00D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D00D8"/>
    <w:pPr>
      <w:spacing w:before="160"/>
      <w:jc w:val="center"/>
    </w:pPr>
    <w:rPr>
      <w:i/>
      <w:iCs/>
      <w:color w:val="404040" w:themeColor="text1" w:themeTint="BF"/>
    </w:rPr>
  </w:style>
  <w:style w:type="character" w:customStyle="1" w:styleId="CitaoChar">
    <w:name w:val="Citação Char"/>
    <w:basedOn w:val="Fontepargpadro"/>
    <w:link w:val="Citao"/>
    <w:uiPriority w:val="29"/>
    <w:rsid w:val="003D00D8"/>
    <w:rPr>
      <w:i/>
      <w:iCs/>
      <w:color w:val="404040" w:themeColor="text1" w:themeTint="BF"/>
    </w:rPr>
  </w:style>
  <w:style w:type="paragraph" w:styleId="PargrafodaLista">
    <w:name w:val="List Paragraph"/>
    <w:basedOn w:val="Normal"/>
    <w:uiPriority w:val="34"/>
    <w:qFormat/>
    <w:rsid w:val="003D00D8"/>
    <w:pPr>
      <w:ind w:left="720"/>
      <w:contextualSpacing/>
    </w:pPr>
  </w:style>
  <w:style w:type="character" w:styleId="nfaseIntensa">
    <w:name w:val="Intense Emphasis"/>
    <w:basedOn w:val="Fontepargpadro"/>
    <w:uiPriority w:val="21"/>
    <w:qFormat/>
    <w:rsid w:val="003D00D8"/>
    <w:rPr>
      <w:i/>
      <w:iCs/>
      <w:color w:val="0F4761" w:themeColor="accent1" w:themeShade="BF"/>
    </w:rPr>
  </w:style>
  <w:style w:type="paragraph" w:styleId="CitaoIntensa">
    <w:name w:val="Intense Quote"/>
    <w:basedOn w:val="Normal"/>
    <w:next w:val="Normal"/>
    <w:link w:val="CitaoIntensaChar"/>
    <w:uiPriority w:val="30"/>
    <w:qFormat/>
    <w:rsid w:val="003D00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D00D8"/>
    <w:rPr>
      <w:i/>
      <w:iCs/>
      <w:color w:val="0F4761" w:themeColor="accent1" w:themeShade="BF"/>
    </w:rPr>
  </w:style>
  <w:style w:type="character" w:styleId="RefernciaIntensa">
    <w:name w:val="Intense Reference"/>
    <w:basedOn w:val="Fontepargpadro"/>
    <w:uiPriority w:val="32"/>
    <w:qFormat/>
    <w:rsid w:val="003D00D8"/>
    <w:rPr>
      <w:b/>
      <w:bCs/>
      <w:smallCaps/>
      <w:color w:val="0F4761" w:themeColor="accent1" w:themeShade="BF"/>
      <w:spacing w:val="5"/>
    </w:rPr>
  </w:style>
  <w:style w:type="paragraph" w:styleId="Textodenotaderodap">
    <w:name w:val="footnote text"/>
    <w:basedOn w:val="Normal"/>
    <w:link w:val="TextodenotaderodapChar"/>
    <w:uiPriority w:val="99"/>
    <w:unhideWhenUsed/>
    <w:rsid w:val="003D00D8"/>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3D00D8"/>
    <w:rPr>
      <w:sz w:val="20"/>
      <w:szCs w:val="20"/>
    </w:rPr>
  </w:style>
  <w:style w:type="character" w:styleId="Refdenotaderodap">
    <w:name w:val="footnote reference"/>
    <w:basedOn w:val="Fontepargpadro"/>
    <w:uiPriority w:val="99"/>
    <w:unhideWhenUsed/>
    <w:rsid w:val="003D00D8"/>
    <w:rPr>
      <w:vertAlign w:val="superscript"/>
    </w:rPr>
  </w:style>
  <w:style w:type="character" w:styleId="Hyperlink">
    <w:name w:val="Hyperlink"/>
    <w:basedOn w:val="Fontepargpadro"/>
    <w:uiPriority w:val="99"/>
    <w:unhideWhenUsed/>
    <w:rsid w:val="003D00D8"/>
    <w:rPr>
      <w:color w:val="467886" w:themeColor="hyperlink"/>
      <w:u w:val="single"/>
    </w:rPr>
  </w:style>
  <w:style w:type="paragraph" w:styleId="SemEspaamento">
    <w:name w:val="No Spacing"/>
    <w:uiPriority w:val="1"/>
    <w:qFormat/>
    <w:rsid w:val="003D00D8"/>
    <w:pPr>
      <w:spacing w:after="0" w:line="240" w:lineRule="auto"/>
    </w:pPr>
  </w:style>
  <w:style w:type="table" w:styleId="TabeladeGrade4-nfase1">
    <w:name w:val="Grid Table 4 Accent 1"/>
    <w:basedOn w:val="Tabelanormal"/>
    <w:uiPriority w:val="49"/>
    <w:rsid w:val="003D00D8"/>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gov.br/pf/pt-br/assuntos/noticias/2023/03/pf-deflagra-segunda-fase-de-operacao-para-combater-crime-de-insider-trading" TargetMode="External"/><Relationship Id="rId2" Type="http://schemas.openxmlformats.org/officeDocument/2006/relationships/hyperlink" Target="https://revista.ibraspp.com.br/RBDPP/article/view/1210" TargetMode="External"/><Relationship Id="rId1" Type="http://schemas.openxmlformats.org/officeDocument/2006/relationships/hyperlink" Target="https://doi.org/10.22197/rbdpp.v11i3.1210" TargetMode="External"/><Relationship Id="rId4" Type="http://schemas.openxmlformats.org/officeDocument/2006/relationships/hyperlink" Target="https://www.gov.br/pf/pt-br/assuntos/noticias/2024/06/pf-deflagra-operacao-para-elucidar-fraudes-contabeis-da-empresa-americana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8062</Words>
  <Characters>43540</Characters>
  <DocSecurity>0</DocSecurity>
  <Lines>362</Lines>
  <Paragraphs>102</Paragraphs>
  <ScaleCrop>false</ScaleCrop>
  <Company/>
  <LinksUpToDate>false</LinksUpToDate>
  <CharactersWithSpaces>51500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2026-04-01T01:48:00Z</dcterms:created>
  <dcterms:modified xsi:type="dcterms:W3CDTF">2026-04-01T01:49:00Z</dcterms:modified>
</cp:coreProperties>
</file>