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5DE3E" w14:textId="1A39AE86" w:rsidR="00F021EF" w:rsidRDefault="00F021EF" w:rsidP="00F021EF">
      <w:pPr>
        <w:spacing w:after="0"/>
        <w:jc w:val="center"/>
        <w:rPr>
          <w:rFonts w:ascii="Times New Roman" w:hAnsi="Times New Roman" w:cs="Times New Roman"/>
          <w:b/>
          <w:szCs w:val="44"/>
        </w:rPr>
      </w:pPr>
      <w:r w:rsidRPr="00A04B57">
        <w:rPr>
          <w:rFonts w:ascii="Times New Roman" w:hAnsi="Times New Roman" w:cs="Times New Roman"/>
          <w:b/>
          <w:szCs w:val="44"/>
        </w:rPr>
        <w:t>MODELO ORÇAMENTÁRIO MULTIDIMENSIONAL DE MONITORAMENTO E AVALIAÇÃO (MOMMA) DOS FUNDOS DE COMBATE À POBREZA</w:t>
      </w:r>
    </w:p>
    <w:p w14:paraId="31E9098C" w14:textId="5420028B" w:rsidR="00C77707" w:rsidRDefault="00C77707" w:rsidP="00F021EF">
      <w:pPr>
        <w:spacing w:after="0"/>
        <w:jc w:val="center"/>
        <w:rPr>
          <w:rFonts w:ascii="Times New Roman" w:hAnsi="Times New Roman" w:cs="Times New Roman"/>
          <w:b/>
          <w:szCs w:val="44"/>
        </w:rPr>
      </w:pPr>
    </w:p>
    <w:p w14:paraId="641FD9CC" w14:textId="34F3455F" w:rsidR="00F021EF" w:rsidRPr="00A04B57" w:rsidRDefault="00F021EF" w:rsidP="00F021EF">
      <w:pPr>
        <w:spacing w:after="0"/>
        <w:jc w:val="center"/>
        <w:rPr>
          <w:rFonts w:ascii="Times New Roman" w:hAnsi="Times New Roman" w:cs="Times New Roman"/>
          <w:b/>
          <w:szCs w:val="44"/>
        </w:rPr>
      </w:pPr>
      <w:bookmarkStart w:id="0" w:name="_GoBack"/>
      <w:bookmarkEnd w:id="0"/>
    </w:p>
    <w:p w14:paraId="68B533AF" w14:textId="77777777" w:rsidR="00F021EF" w:rsidRPr="00A04B57" w:rsidRDefault="00F021EF" w:rsidP="00F021EF">
      <w:pPr>
        <w:spacing w:after="0"/>
        <w:jc w:val="center"/>
        <w:rPr>
          <w:rFonts w:ascii="Times New Roman" w:hAnsi="Times New Roman" w:cs="Times New Roman"/>
          <w:b/>
          <w:sz w:val="14"/>
        </w:rPr>
      </w:pPr>
    </w:p>
    <w:p w14:paraId="6FE17045" w14:textId="5A6571BA" w:rsidR="006C6B80" w:rsidRPr="00A04B57" w:rsidRDefault="00906C79" w:rsidP="006C6B80">
      <w:pPr>
        <w:spacing w:after="0" w:line="240" w:lineRule="auto"/>
        <w:jc w:val="both"/>
        <w:rPr>
          <w:rFonts w:ascii="Times New Roman" w:hAnsi="Times New Roman" w:cs="Times New Roman"/>
        </w:rPr>
      </w:pPr>
      <w:r w:rsidRPr="00A04B57">
        <w:rPr>
          <w:rFonts w:ascii="Times New Roman" w:hAnsi="Times New Roman" w:cs="Times New Roman"/>
        </w:rPr>
        <w:t xml:space="preserve">O estudo apresenta a aplicação do Modelo Orçamentário Multidimensional de Monitoramento e Avaliação dos Fundos de Combate à Pobreza dos Estados de São Paulo e Rio de Janeiro (2023-2025). Seu objetivo é mensurar, de forma integrada, o perfil, a maturidade institucional, a governança, a transparência, a efetividade e a sustentabilidade fiscal </w:t>
      </w:r>
      <w:r w:rsidR="006C6B80" w:rsidRPr="00A04B57">
        <w:rPr>
          <w:rFonts w:ascii="Times New Roman" w:hAnsi="Times New Roman" w:cs="Times New Roman"/>
        </w:rPr>
        <w:t>desses instrumentos destinados ao financiamento de políticas públicas de redução das desigualdades.</w:t>
      </w:r>
      <w:r w:rsidRPr="00A04B57">
        <w:rPr>
          <w:rFonts w:ascii="Times New Roman" w:hAnsi="Times New Roman" w:cs="Times New Roman"/>
        </w:rPr>
        <w:t xml:space="preserve"> Estrutura-se em três eixos analíticos (Responsabilidade Arrecadatória, Planejamento Orçamentário e Execução Orçamentária e Financeira), que, em conjunto, permitem compreender desde a base legal e arrecadatória até a programação orçamentária e, por fim, a efetividade na execução dos recursos. Esses eixos se desdobram em sete dimensões diagnósticas: Jurídico-Estrutural, Financeira e Orçamentária, Político-Institucional, Participativa e de Transparência, Institucional e Organizacional, Avaliativa e Histórico-Evolutiva. </w:t>
      </w:r>
      <w:r w:rsidR="006C6B80" w:rsidRPr="00A04B57">
        <w:rPr>
          <w:rFonts w:ascii="Times New Roman" w:hAnsi="Times New Roman" w:cs="Times New Roman"/>
        </w:rPr>
        <w:t>O núcleo metodológico consiste em um protocolo de verificação composto por setenta e três perguntas estruturadas, associadas a indicadores, pesos e graus de criticidade classificados como essenciais, estratégicos ou complementares. Essa lógica permite identificar fragilidades institucionais, estimar níveis de maturidade administrativa e produzir diagnósticos comparáveis entre unidades federativas. A aplicação revelou um paradoxo institucional. Embora exista arcabouço normativo estruturado e conselho gestor formalmente instituído, persistem fragilidades relevantes que comprometem a legitimidade e a efetividade da aplicação dos recursos. Entre os achados, destacam-se a ausência de planos de ação e de aplicação financeira, a inexistência de critérios redistributivos consistentes e a baixa transparência na gestão das receitas e despesas. Também foram observados superávits financeiros recorrentes não direcionados a políticas finalísticas e incertezas na previsão de receitas atípicas, como restituições e rendimentos financeiros. Os resultados indicam riscos de subexecução, desvio de finalidade e utilização inadequada de recursos, além de evidenciar capacidade institucional limitada. O estudo demonstra que o modelo contribui para superar a fragmentação metodológica na avaliação de fundos públicos, ao oferecer instrumento analítico comparável baseado em evidências.</w:t>
      </w:r>
    </w:p>
    <w:p w14:paraId="3F46E9BF" w14:textId="77777777" w:rsidR="006C6B80" w:rsidRPr="00A04B57" w:rsidRDefault="006C6B80" w:rsidP="00906C79">
      <w:pPr>
        <w:spacing w:after="0" w:line="240" w:lineRule="auto"/>
        <w:jc w:val="both"/>
        <w:rPr>
          <w:rFonts w:ascii="Times New Roman" w:hAnsi="Times New Roman" w:cs="Times New Roman"/>
        </w:rPr>
      </w:pPr>
    </w:p>
    <w:p w14:paraId="26AAF887" w14:textId="1D965D63" w:rsidR="00906C79" w:rsidRPr="00A04B57" w:rsidRDefault="00906C79" w:rsidP="00906C79">
      <w:pPr>
        <w:spacing w:after="0" w:line="240" w:lineRule="auto"/>
        <w:jc w:val="both"/>
        <w:rPr>
          <w:rFonts w:ascii="Times New Roman" w:hAnsi="Times New Roman" w:cs="Times New Roman"/>
        </w:rPr>
      </w:pPr>
      <w:r w:rsidRPr="00A04B57">
        <w:rPr>
          <w:rFonts w:ascii="Times New Roman" w:hAnsi="Times New Roman" w:cs="Times New Roman"/>
          <w:b/>
        </w:rPr>
        <w:t>Palavras-chave:</w:t>
      </w:r>
      <w:r w:rsidRPr="00A04B57">
        <w:rPr>
          <w:rFonts w:ascii="Times New Roman" w:hAnsi="Times New Roman" w:cs="Times New Roman"/>
        </w:rPr>
        <w:t xml:space="preserve"> Fundo de Combate à Pobreza; monitoramento e avaliação de políticas públicas; governança orçamentária; arranjo jurídico-institucional; gestão de riscos.</w:t>
      </w:r>
    </w:p>
    <w:p w14:paraId="7A82E2A9" w14:textId="77777777" w:rsidR="00906C79" w:rsidRPr="00A04B57" w:rsidRDefault="00906C79" w:rsidP="00906C79">
      <w:pPr>
        <w:spacing w:after="0" w:line="240" w:lineRule="auto"/>
        <w:jc w:val="both"/>
        <w:rPr>
          <w:rFonts w:ascii="Times New Roman" w:hAnsi="Times New Roman" w:cs="Times New Roman"/>
        </w:rPr>
      </w:pPr>
    </w:p>
    <w:p w14:paraId="29220A2F" w14:textId="77777777" w:rsidR="00906C79" w:rsidRPr="00A04B57" w:rsidRDefault="00906C79" w:rsidP="00906C79">
      <w:pPr>
        <w:spacing w:after="0" w:line="240" w:lineRule="auto"/>
        <w:jc w:val="both"/>
        <w:rPr>
          <w:rFonts w:ascii="Times New Roman" w:hAnsi="Times New Roman" w:cs="Times New Roman"/>
        </w:rPr>
      </w:pPr>
    </w:p>
    <w:p w14:paraId="4BC32860" w14:textId="33C6A85F" w:rsidR="00106C6F" w:rsidRPr="00DB0181" w:rsidRDefault="00106AE0" w:rsidP="00215D71">
      <w:pPr>
        <w:pStyle w:val="Ttulo1"/>
      </w:pPr>
      <w:r w:rsidRPr="00A04B57">
        <w:br w:type="page"/>
      </w:r>
      <w:bookmarkStart w:id="1" w:name="_Toc33168735"/>
      <w:bookmarkStart w:id="2" w:name="_Toc41775396"/>
      <w:bookmarkStart w:id="3" w:name="_Toc41775866"/>
      <w:bookmarkStart w:id="4" w:name="_Toc210287294"/>
      <w:r w:rsidR="00046203" w:rsidRPr="00DB0181">
        <w:lastRenderedPageBreak/>
        <w:t>I</w:t>
      </w:r>
      <w:r w:rsidR="00046203" w:rsidRPr="00DB0181">
        <w:rPr>
          <w:rStyle w:val="Ttulo1Char"/>
          <w:b/>
        </w:rPr>
        <w:t>NTRODUÇÃ</w:t>
      </w:r>
      <w:r w:rsidR="00046203" w:rsidRPr="00DB0181">
        <w:t>O</w:t>
      </w:r>
      <w:bookmarkEnd w:id="1"/>
      <w:bookmarkEnd w:id="2"/>
      <w:bookmarkEnd w:id="3"/>
      <w:bookmarkEnd w:id="4"/>
    </w:p>
    <w:p w14:paraId="5917E696" w14:textId="0A333BCA" w:rsidR="00BE2F7C" w:rsidRPr="00A04B57" w:rsidRDefault="00BE2F7C" w:rsidP="00D375BA">
      <w:pPr>
        <w:pStyle w:val="PargrafodaLista"/>
        <w:rPr>
          <w:rFonts w:ascii="Times New Roman" w:hAnsi="Times New Roman" w:cs="Times New Roman"/>
        </w:rPr>
      </w:pPr>
      <w:r w:rsidRPr="00A04B57">
        <w:rPr>
          <w:rFonts w:ascii="Times New Roman" w:hAnsi="Times New Roman" w:cs="Times New Roman"/>
        </w:rPr>
        <w:t>Os Fundos de Combate à Pobreza (FCPs) foram instituídos como mecanismos essenciais de justiça social e distributiva, destinados a financiar políticas públicas voltadas à redução das desigualdades e à proteção de populações vulneráveis. Tradicionalmente financiados por adicionais tributários, como frações do ICMS, esses fundos mobilizam expressivos volumes de recursos. Contudo, apesar de sua capacidade arrecadatória e importância constitucional, a trajetória dos FCPs é frequentemente marcada por fragilidades operacionais. Em muitos contextos, eles se descaracterizam</w:t>
      </w:r>
      <w:r w:rsidRPr="00A04B57">
        <w:rPr>
          <w:rStyle w:val="Refdenotaderodap"/>
          <w:rFonts w:ascii="Times New Roman" w:hAnsi="Times New Roman" w:cs="Times New Roman"/>
        </w:rPr>
        <w:footnoteReference w:id="1"/>
      </w:r>
      <w:r w:rsidRPr="00A04B57">
        <w:rPr>
          <w:rFonts w:ascii="Times New Roman" w:hAnsi="Times New Roman" w:cs="Times New Roman"/>
        </w:rPr>
        <w:t>, atuando como meros "caixas financeiros" desvinculados de um planejamento integrado, o que compromete a rastreabilidade dos gastos e abre margem para distorções, como a captura orçamentária e a fungibilidade dos recursos.</w:t>
      </w:r>
    </w:p>
    <w:p w14:paraId="69CD3378" w14:textId="35C9846E" w:rsidR="00BE2F7C" w:rsidRPr="00A04B57" w:rsidRDefault="00BE2F7C" w:rsidP="00D375BA">
      <w:pPr>
        <w:pStyle w:val="PargrafodaLista"/>
        <w:rPr>
          <w:rFonts w:ascii="Times New Roman" w:hAnsi="Times New Roman" w:cs="Times New Roman"/>
        </w:rPr>
      </w:pPr>
      <w:r w:rsidRPr="00A04B57">
        <w:rPr>
          <w:rFonts w:ascii="Times New Roman" w:hAnsi="Times New Roman" w:cs="Times New Roman"/>
        </w:rPr>
        <w:t>O acompanhamento dos FCPs no Brasil esbarra na fragmentação metodológica e na assimetria de informações, fatores que dificultam a comparabilidade entre os entes federativos e limitam o exercício do controle institucional e social. A avaliação convencional costuma restringir-se a aspectos contábeis, negligenciando as dinâmicas políticas, participativas e institucionais que determinam a efetividade dos fundos. Assim, justifica-se a necessidade de implementar ferramentas de governança baseadas em evidências que superem o foco exclusivo na legalidade da arrecadação, garantindo que os recursos não apenas substituam o financiamento de despesas ordinárias do Estado, mas cumpram seu papel adicional e transformador na ponta.</w:t>
      </w:r>
    </w:p>
    <w:p w14:paraId="0EEA38F2" w14:textId="7E282028" w:rsidR="00BE2F7C" w:rsidRPr="00A04B57" w:rsidRDefault="00BE2F7C" w:rsidP="00D375BA">
      <w:pPr>
        <w:pStyle w:val="PargrafodaLista"/>
        <w:rPr>
          <w:rFonts w:ascii="Times New Roman" w:hAnsi="Times New Roman" w:cs="Times New Roman"/>
        </w:rPr>
      </w:pPr>
      <w:r w:rsidRPr="00A04B57">
        <w:rPr>
          <w:rFonts w:ascii="Times New Roman" w:hAnsi="Times New Roman" w:cs="Times New Roman"/>
        </w:rPr>
        <w:t>Diante das lacunas de monitoramento identificadas, a presente pesquisa orienta-se pela questão: como estruturar e validar empiricamente uma metodologia de monitoramento e avaliação que traduza a complexidade institucional dos FCPs, superando a visão restrita de caixa contábil, para mensurar a distância real entre a eficiência arrecadatória e a efetividade social na redução da pobreza?</w:t>
      </w:r>
    </w:p>
    <w:p w14:paraId="64668BC7" w14:textId="71755DB8" w:rsidR="00BE2F7C" w:rsidRPr="00A04B57" w:rsidRDefault="00BE2F7C" w:rsidP="00BE2F7C">
      <w:pPr>
        <w:pStyle w:val="PargrafodaLista"/>
        <w:rPr>
          <w:rFonts w:ascii="Times New Roman" w:hAnsi="Times New Roman" w:cs="Times New Roman"/>
        </w:rPr>
      </w:pPr>
      <w:r w:rsidRPr="00A04B57">
        <w:rPr>
          <w:rFonts w:ascii="Times New Roman" w:hAnsi="Times New Roman" w:cs="Times New Roman"/>
        </w:rPr>
        <w:t>O objetivo geral deste relato, portanto, é apresentar a formulação e os resultados da aplicação do Modelo Orçamentário Multidimensional de Monitoramento e Avaliação (MoMMA) aplicado aos FCPs de São Paulo (SP) e do Rio de Janeiro (RJ), nos ciclos orçamentários de 2023 a 2025.</w:t>
      </w:r>
    </w:p>
    <w:p w14:paraId="631A5D4F" w14:textId="77777777" w:rsidR="00860C95" w:rsidRPr="00A04B57" w:rsidRDefault="00860C95" w:rsidP="00860C95">
      <w:pPr>
        <w:pStyle w:val="PargrafodaLista"/>
        <w:rPr>
          <w:rFonts w:ascii="Times New Roman" w:hAnsi="Times New Roman" w:cs="Times New Roman"/>
        </w:rPr>
      </w:pPr>
      <w:r w:rsidRPr="00A04B57">
        <w:rPr>
          <w:rFonts w:ascii="Times New Roman" w:hAnsi="Times New Roman" w:cs="Times New Roman"/>
        </w:rPr>
        <w:t>Para alcançá-lo, delineiam-se os seguintes objetivos específicos:</w:t>
      </w:r>
    </w:p>
    <w:p w14:paraId="2EAF13A5" w14:textId="370DB773" w:rsidR="00860C95" w:rsidRPr="00A04B57" w:rsidRDefault="00860C95" w:rsidP="0032733E">
      <w:pPr>
        <w:pStyle w:val="PargrafodaLista"/>
        <w:numPr>
          <w:ilvl w:val="0"/>
          <w:numId w:val="38"/>
        </w:numPr>
        <w:ind w:left="426"/>
        <w:rPr>
          <w:rFonts w:ascii="Times New Roman" w:hAnsi="Times New Roman" w:cs="Times New Roman"/>
        </w:rPr>
      </w:pPr>
      <w:r w:rsidRPr="00A04B57">
        <w:rPr>
          <w:rFonts w:ascii="Times New Roman" w:hAnsi="Times New Roman" w:cs="Times New Roman"/>
        </w:rPr>
        <w:lastRenderedPageBreak/>
        <w:t>Testar a aplicabilidade e a replicabilidade do MoMMA por meio de um protocolo de verificação estruturado em três eixos (Responsabilidade Arrecadatória, Planejamento Orçamentário e Execução Orçamentária e Financeira);</w:t>
      </w:r>
    </w:p>
    <w:p w14:paraId="0D915E50" w14:textId="4E567E60" w:rsidR="00860C95" w:rsidRPr="00A04B57" w:rsidRDefault="00860C95" w:rsidP="0032733E">
      <w:pPr>
        <w:pStyle w:val="PargrafodaLista"/>
        <w:numPr>
          <w:ilvl w:val="0"/>
          <w:numId w:val="38"/>
        </w:numPr>
        <w:ind w:left="426"/>
        <w:rPr>
          <w:rFonts w:ascii="Times New Roman" w:hAnsi="Times New Roman" w:cs="Times New Roman"/>
        </w:rPr>
      </w:pPr>
      <w:r w:rsidRPr="00A04B57">
        <w:rPr>
          <w:rFonts w:ascii="Times New Roman" w:hAnsi="Times New Roman" w:cs="Times New Roman"/>
        </w:rPr>
        <w:t>Mensurar o grau de maturidade e o perfil institucional de cada fundo, identificando gargalos estruturais e riscos associados à subexecução e desvios de finalidade;</w:t>
      </w:r>
    </w:p>
    <w:p w14:paraId="1DDB62F0" w14:textId="41AAFBA1" w:rsidR="00860C95" w:rsidRPr="00A04B57" w:rsidRDefault="00860C95" w:rsidP="0032733E">
      <w:pPr>
        <w:pStyle w:val="PargrafodaLista"/>
        <w:numPr>
          <w:ilvl w:val="0"/>
          <w:numId w:val="38"/>
        </w:numPr>
        <w:ind w:left="426"/>
        <w:rPr>
          <w:rFonts w:ascii="Times New Roman" w:hAnsi="Times New Roman" w:cs="Times New Roman"/>
        </w:rPr>
      </w:pPr>
      <w:r w:rsidRPr="00A04B57">
        <w:rPr>
          <w:rFonts w:ascii="Times New Roman" w:hAnsi="Times New Roman" w:cs="Times New Roman"/>
        </w:rPr>
        <w:t>Fornecer evidências e diagnósticos comparáveis que sirvam como base probatória e estratégica para apoiar o aperfeiçoamento da tomada de decisões por gestores, conselhos e órgãos de controle.</w:t>
      </w:r>
    </w:p>
    <w:p w14:paraId="4FF32BE3" w14:textId="7101B847" w:rsidR="00860C95" w:rsidRPr="00A04B57" w:rsidRDefault="00D375BA" w:rsidP="00D375BA">
      <w:pPr>
        <w:pStyle w:val="PargrafodaLista"/>
        <w:rPr>
          <w:rFonts w:ascii="Times New Roman" w:hAnsi="Times New Roman" w:cs="Times New Roman"/>
        </w:rPr>
      </w:pPr>
      <w:r w:rsidRPr="00A04B57">
        <w:rPr>
          <w:rFonts w:ascii="Times New Roman" w:hAnsi="Times New Roman" w:cs="Times New Roman"/>
        </w:rPr>
        <w:t xml:space="preserve">O modelo busca padronizar análises, organizar informações e ampliar a capacidade de acompanhamento dos fundos em diferentes entes federativos. </w:t>
      </w:r>
      <w:r w:rsidR="00860C95" w:rsidRPr="00A04B57">
        <w:rPr>
          <w:rFonts w:ascii="Times New Roman" w:hAnsi="Times New Roman" w:cs="Times New Roman"/>
        </w:rPr>
        <w:t>E</w:t>
      </w:r>
      <w:r w:rsidRPr="00A04B57">
        <w:rPr>
          <w:rFonts w:ascii="Times New Roman" w:hAnsi="Times New Roman" w:cs="Times New Roman"/>
        </w:rPr>
        <w:t>xamina não apenas a existência formal dos mecanismos de arrecadação e aplicação de recursos, mas também sua coerência com os objetivos constitucionais e sua capacidade de produzir impacto social.</w:t>
      </w:r>
      <w:r w:rsidR="00860C95" w:rsidRPr="00A04B57">
        <w:rPr>
          <w:rFonts w:ascii="Times New Roman" w:hAnsi="Times New Roman" w:cs="Times New Roman"/>
        </w:rPr>
        <w:t xml:space="preserve"> Sua </w:t>
      </w:r>
      <w:r w:rsidRPr="00A04B57">
        <w:rPr>
          <w:rFonts w:ascii="Times New Roman" w:hAnsi="Times New Roman" w:cs="Times New Roman"/>
        </w:rPr>
        <w:t xml:space="preserve">estrutura </w:t>
      </w:r>
      <w:r w:rsidR="00860C95" w:rsidRPr="00A04B57">
        <w:rPr>
          <w:rFonts w:ascii="Times New Roman" w:hAnsi="Times New Roman" w:cs="Times New Roman"/>
        </w:rPr>
        <w:t>está organizada</w:t>
      </w:r>
      <w:r w:rsidRPr="00A04B57">
        <w:rPr>
          <w:rFonts w:ascii="Times New Roman" w:hAnsi="Times New Roman" w:cs="Times New Roman"/>
        </w:rPr>
        <w:t xml:space="preserve"> em eixos, dimensões de análise e elementos de verificação</w:t>
      </w:r>
      <w:r w:rsidR="00860C95" w:rsidRPr="00A04B57">
        <w:rPr>
          <w:rFonts w:ascii="Times New Roman" w:hAnsi="Times New Roman" w:cs="Times New Roman"/>
        </w:rPr>
        <w:t xml:space="preserve"> que permitem </w:t>
      </w:r>
      <w:r w:rsidRPr="00A04B57">
        <w:rPr>
          <w:rFonts w:ascii="Times New Roman" w:hAnsi="Times New Roman" w:cs="Times New Roman"/>
        </w:rPr>
        <w:t>interpretar os FCPs como arranjos jurídico-institucionais</w:t>
      </w:r>
      <w:r w:rsidR="00A50E67">
        <w:rPr>
          <w:rFonts w:ascii="Times New Roman" w:hAnsi="Times New Roman" w:cs="Times New Roman"/>
        </w:rPr>
        <w:t xml:space="preserve"> (BUCCI; GASPARDO, 2024)</w:t>
      </w:r>
      <w:r w:rsidRPr="00A04B57">
        <w:rPr>
          <w:rFonts w:ascii="Times New Roman" w:hAnsi="Times New Roman" w:cs="Times New Roman"/>
        </w:rPr>
        <w:t xml:space="preserve"> complexos e não apenas como instrumentos financeiros. </w:t>
      </w:r>
    </w:p>
    <w:p w14:paraId="12474D6D" w14:textId="6E55F375" w:rsidR="00D375BA" w:rsidRPr="00A04B57" w:rsidRDefault="00D375BA" w:rsidP="00D375BA">
      <w:pPr>
        <w:pStyle w:val="PargrafodaLista"/>
        <w:rPr>
          <w:rFonts w:ascii="Times New Roman" w:hAnsi="Times New Roman" w:cs="Times New Roman"/>
        </w:rPr>
      </w:pPr>
      <w:r w:rsidRPr="00A04B57">
        <w:rPr>
          <w:rFonts w:ascii="Times New Roman" w:hAnsi="Times New Roman" w:cs="Times New Roman"/>
        </w:rPr>
        <w:t xml:space="preserve">O núcleo operacional </w:t>
      </w:r>
      <w:r w:rsidR="00BE2F7C" w:rsidRPr="00A04B57">
        <w:rPr>
          <w:rFonts w:ascii="Times New Roman" w:hAnsi="Times New Roman" w:cs="Times New Roman"/>
        </w:rPr>
        <w:t>do modelo</w:t>
      </w:r>
      <w:r w:rsidRPr="00A04B57">
        <w:rPr>
          <w:rFonts w:ascii="Times New Roman" w:hAnsi="Times New Roman" w:cs="Times New Roman"/>
        </w:rPr>
        <w:t xml:space="preserve"> é o </w:t>
      </w:r>
      <w:r w:rsidR="00BE2F7C" w:rsidRPr="00A04B57">
        <w:rPr>
          <w:rFonts w:ascii="Times New Roman" w:hAnsi="Times New Roman" w:cs="Times New Roman"/>
        </w:rPr>
        <w:t xml:space="preserve">protocolo de verificação, </w:t>
      </w:r>
      <w:r w:rsidRPr="00A04B57">
        <w:rPr>
          <w:rFonts w:ascii="Times New Roman" w:hAnsi="Times New Roman" w:cs="Times New Roman"/>
        </w:rPr>
        <w:t>composto por setenta e três questões avaliativas associadas a indicadores</w:t>
      </w:r>
      <w:r w:rsidR="00BE2F7C" w:rsidRPr="00A04B57">
        <w:rPr>
          <w:rFonts w:ascii="Times New Roman" w:hAnsi="Times New Roman" w:cs="Times New Roman"/>
        </w:rPr>
        <w:t>,</w:t>
      </w:r>
      <w:r w:rsidRPr="00A04B57">
        <w:rPr>
          <w:rFonts w:ascii="Times New Roman" w:hAnsi="Times New Roman" w:cs="Times New Roman"/>
        </w:rPr>
        <w:t xml:space="preserve"> evidências documentais e graus de criticidade classificados como essenciais</w:t>
      </w:r>
      <w:r w:rsidR="00BE2F7C" w:rsidRPr="00A04B57">
        <w:rPr>
          <w:rFonts w:ascii="Times New Roman" w:hAnsi="Times New Roman" w:cs="Times New Roman"/>
        </w:rPr>
        <w:t>,</w:t>
      </w:r>
      <w:r w:rsidRPr="00A04B57">
        <w:rPr>
          <w:rFonts w:ascii="Times New Roman" w:hAnsi="Times New Roman" w:cs="Times New Roman"/>
        </w:rPr>
        <w:t xml:space="preserve"> estratégicos ou complementares. Essa arquitetura permite produzir diagnósticos comparáveis</w:t>
      </w:r>
      <w:r w:rsidR="00BE2F7C" w:rsidRPr="00A04B57">
        <w:rPr>
          <w:rFonts w:ascii="Times New Roman" w:hAnsi="Times New Roman" w:cs="Times New Roman"/>
        </w:rPr>
        <w:t>,</w:t>
      </w:r>
      <w:r w:rsidRPr="00A04B57">
        <w:rPr>
          <w:rFonts w:ascii="Times New Roman" w:hAnsi="Times New Roman" w:cs="Times New Roman"/>
        </w:rPr>
        <w:t xml:space="preserve"> identificar fragilidades institucionais e estabelecer níveis de maturidade administrativa.</w:t>
      </w:r>
    </w:p>
    <w:p w14:paraId="79991FEC" w14:textId="21809EDC" w:rsidR="00157F89" w:rsidRPr="00A04B57" w:rsidRDefault="001B29FB" w:rsidP="00B40789">
      <w:pPr>
        <w:pStyle w:val="PargrafodaLista"/>
        <w:rPr>
          <w:rFonts w:ascii="Times New Roman" w:hAnsi="Times New Roman" w:cs="Times New Roman"/>
        </w:rPr>
      </w:pPr>
      <w:r w:rsidRPr="00A04B57">
        <w:rPr>
          <w:rFonts w:ascii="Times New Roman" w:hAnsi="Times New Roman" w:cs="Times New Roman"/>
        </w:rPr>
        <w:t xml:space="preserve">Como hipótese de valor, </w:t>
      </w:r>
      <w:r w:rsidR="00860C95" w:rsidRPr="00A04B57">
        <w:rPr>
          <w:rFonts w:ascii="Times New Roman" w:hAnsi="Times New Roman" w:cs="Times New Roman"/>
        </w:rPr>
        <w:t>a metodologia</w:t>
      </w:r>
      <w:r w:rsidRPr="00A04B57">
        <w:rPr>
          <w:rFonts w:ascii="Times New Roman" w:hAnsi="Times New Roman" w:cs="Times New Roman"/>
        </w:rPr>
        <w:t xml:space="preserve"> </w:t>
      </w:r>
      <w:r w:rsidR="00860C95" w:rsidRPr="00A04B57">
        <w:rPr>
          <w:rFonts w:ascii="Times New Roman" w:hAnsi="Times New Roman" w:cs="Times New Roman"/>
        </w:rPr>
        <w:t xml:space="preserve">também </w:t>
      </w:r>
      <w:r w:rsidRPr="00A04B57">
        <w:rPr>
          <w:rFonts w:ascii="Times New Roman" w:hAnsi="Times New Roman" w:cs="Times New Roman"/>
        </w:rPr>
        <w:t>avalia se a alta maturidade arrecadatória observada se converte em entregas finalísticas e redução de desigualdades. A aplicação simultânea em SP e RJ evidencia padrões e assimetrias e permite isolar gargalos institucionais e avaliativos que afetam a conve</w:t>
      </w:r>
      <w:r w:rsidR="000943FD" w:rsidRPr="00A04B57">
        <w:rPr>
          <w:rFonts w:ascii="Times New Roman" w:hAnsi="Times New Roman" w:cs="Times New Roman"/>
        </w:rPr>
        <w:t>rsão de receita em resultados. L</w:t>
      </w:r>
      <w:r w:rsidRPr="00A04B57">
        <w:rPr>
          <w:rFonts w:ascii="Times New Roman" w:hAnsi="Times New Roman" w:cs="Times New Roman"/>
        </w:rPr>
        <w:t xml:space="preserve">imitações típicas </w:t>
      </w:r>
      <w:r w:rsidR="000943FD" w:rsidRPr="00A04B57">
        <w:rPr>
          <w:rFonts w:ascii="Times New Roman" w:hAnsi="Times New Roman" w:cs="Times New Roman"/>
        </w:rPr>
        <w:t>como</w:t>
      </w:r>
      <w:r w:rsidRPr="00A04B57">
        <w:rPr>
          <w:rFonts w:ascii="Times New Roman" w:hAnsi="Times New Roman" w:cs="Times New Roman"/>
        </w:rPr>
        <w:t xml:space="preserve"> heterogeneidade de sistemas, lacunas de dados históricos e mudanças normativas </w:t>
      </w:r>
      <w:r w:rsidR="000943FD" w:rsidRPr="00A04B57">
        <w:rPr>
          <w:rFonts w:ascii="Times New Roman" w:hAnsi="Times New Roman" w:cs="Times New Roman"/>
        </w:rPr>
        <w:t>foram</w:t>
      </w:r>
      <w:r w:rsidRPr="00A04B57">
        <w:rPr>
          <w:rFonts w:ascii="Times New Roman" w:hAnsi="Times New Roman" w:cs="Times New Roman"/>
        </w:rPr>
        <w:t xml:space="preserve"> mitigadas por critérios conservadores de atribuição</w:t>
      </w:r>
      <w:r w:rsidR="000943FD" w:rsidRPr="00A04B57">
        <w:rPr>
          <w:rFonts w:ascii="Times New Roman" w:hAnsi="Times New Roman" w:cs="Times New Roman"/>
        </w:rPr>
        <w:t xml:space="preserve"> e pelo </w:t>
      </w:r>
      <w:r w:rsidRPr="00A04B57">
        <w:rPr>
          <w:rFonts w:ascii="Times New Roman" w:hAnsi="Times New Roman" w:cs="Times New Roman"/>
        </w:rPr>
        <w:t>uso de faixas de confi</w:t>
      </w:r>
      <w:r w:rsidR="000943FD" w:rsidRPr="00A04B57">
        <w:rPr>
          <w:rFonts w:ascii="Times New Roman" w:hAnsi="Times New Roman" w:cs="Times New Roman"/>
        </w:rPr>
        <w:t xml:space="preserve">ança para indicadores sensíveis, além da adoção de opção de resposta “Não se </w:t>
      </w:r>
      <w:r w:rsidR="008B3290" w:rsidRPr="00A04B57">
        <w:rPr>
          <w:rFonts w:ascii="Times New Roman" w:hAnsi="Times New Roman" w:cs="Times New Roman"/>
        </w:rPr>
        <w:t>a</w:t>
      </w:r>
      <w:r w:rsidR="000943FD" w:rsidRPr="00A04B57">
        <w:rPr>
          <w:rFonts w:ascii="Times New Roman" w:hAnsi="Times New Roman" w:cs="Times New Roman"/>
        </w:rPr>
        <w:t>plica</w:t>
      </w:r>
      <w:r w:rsidR="008B3290" w:rsidRPr="00A04B57">
        <w:rPr>
          <w:rFonts w:ascii="Times New Roman" w:hAnsi="Times New Roman" w:cs="Times New Roman"/>
        </w:rPr>
        <w:t xml:space="preserve"> (N/A)</w:t>
      </w:r>
      <w:r w:rsidR="000943FD" w:rsidRPr="00A04B57">
        <w:rPr>
          <w:rFonts w:ascii="Times New Roman" w:hAnsi="Times New Roman" w:cs="Times New Roman"/>
        </w:rPr>
        <w:t>”, em caso de situações específicas em que o critério avaliado não pode ser mensurado ou não encontr</w:t>
      </w:r>
      <w:r w:rsidR="00860C95" w:rsidRPr="00A04B57">
        <w:rPr>
          <w:rFonts w:ascii="Times New Roman" w:hAnsi="Times New Roman" w:cs="Times New Roman"/>
        </w:rPr>
        <w:t>ou</w:t>
      </w:r>
      <w:r w:rsidR="000943FD" w:rsidRPr="00A04B57">
        <w:rPr>
          <w:rFonts w:ascii="Times New Roman" w:hAnsi="Times New Roman" w:cs="Times New Roman"/>
        </w:rPr>
        <w:t xml:space="preserve"> correspondência no arranjo jurídico-institucional do </w:t>
      </w:r>
      <w:r w:rsidR="00860C95" w:rsidRPr="00A04B57">
        <w:rPr>
          <w:rFonts w:ascii="Times New Roman" w:hAnsi="Times New Roman" w:cs="Times New Roman"/>
        </w:rPr>
        <w:t xml:space="preserve">fundo. </w:t>
      </w:r>
    </w:p>
    <w:p w14:paraId="472718B8" w14:textId="411CF4FF" w:rsidR="00735108" w:rsidRPr="00A04B57" w:rsidRDefault="00BE702A" w:rsidP="00774F87">
      <w:pPr>
        <w:pStyle w:val="PargrafodaLista"/>
        <w:spacing w:after="0"/>
        <w:rPr>
          <w:rFonts w:ascii="Times New Roman" w:hAnsi="Times New Roman" w:cs="Times New Roman"/>
        </w:rPr>
      </w:pPr>
      <w:r w:rsidRPr="00A04B57">
        <w:rPr>
          <w:rFonts w:ascii="Times New Roman" w:hAnsi="Times New Roman" w:cs="Times New Roman"/>
        </w:rPr>
        <w:t xml:space="preserve">Para tanto, esse </w:t>
      </w:r>
      <w:r w:rsidR="00860C95" w:rsidRPr="00A04B57">
        <w:rPr>
          <w:rFonts w:ascii="Times New Roman" w:hAnsi="Times New Roman" w:cs="Times New Roman"/>
        </w:rPr>
        <w:t>estudo</w:t>
      </w:r>
      <w:r w:rsidRPr="00A04B57">
        <w:rPr>
          <w:rFonts w:ascii="Times New Roman" w:hAnsi="Times New Roman" w:cs="Times New Roman"/>
        </w:rPr>
        <w:t xml:space="preserve"> n</w:t>
      </w:r>
      <w:r w:rsidR="00157F89" w:rsidRPr="00A04B57">
        <w:rPr>
          <w:rFonts w:ascii="Times New Roman" w:hAnsi="Times New Roman" w:cs="Times New Roman"/>
        </w:rPr>
        <w:t>ão se restringe à descrição conceitual</w:t>
      </w:r>
      <w:r w:rsidRPr="00A04B57">
        <w:rPr>
          <w:rFonts w:ascii="Times New Roman" w:hAnsi="Times New Roman" w:cs="Times New Roman"/>
        </w:rPr>
        <w:t xml:space="preserve"> da metodologia</w:t>
      </w:r>
      <w:r w:rsidR="00157F89" w:rsidRPr="00A04B57">
        <w:rPr>
          <w:rFonts w:ascii="Times New Roman" w:hAnsi="Times New Roman" w:cs="Times New Roman"/>
        </w:rPr>
        <w:t>. Sua validação depende da aplicação em cenários concretos, capazes de revelar tanto o potencial explicativo quanto os limites do modelo. Por essa razão, o estudo</w:t>
      </w:r>
      <w:r w:rsidRPr="00A04B57">
        <w:rPr>
          <w:rFonts w:ascii="Times New Roman" w:hAnsi="Times New Roman" w:cs="Times New Roman"/>
        </w:rPr>
        <w:t>-piloto</w:t>
      </w:r>
      <w:r w:rsidR="00157F89" w:rsidRPr="00A04B57">
        <w:rPr>
          <w:rFonts w:ascii="Times New Roman" w:hAnsi="Times New Roman" w:cs="Times New Roman"/>
        </w:rPr>
        <w:t xml:space="preserve"> aplica o MoMMA </w:t>
      </w:r>
      <w:r w:rsidR="00735108" w:rsidRPr="00A04B57">
        <w:rPr>
          <w:rFonts w:ascii="Times New Roman" w:hAnsi="Times New Roman" w:cs="Times New Roman"/>
        </w:rPr>
        <w:t>nos Estados</w:t>
      </w:r>
      <w:r w:rsidRPr="00A04B57">
        <w:rPr>
          <w:rFonts w:ascii="Times New Roman" w:hAnsi="Times New Roman" w:cs="Times New Roman"/>
        </w:rPr>
        <w:t xml:space="preserve"> </w:t>
      </w:r>
      <w:r w:rsidR="00157F89" w:rsidRPr="00A04B57">
        <w:rPr>
          <w:rFonts w:ascii="Times New Roman" w:hAnsi="Times New Roman" w:cs="Times New Roman"/>
        </w:rPr>
        <w:t xml:space="preserve">de São Paulo e Rio de Janeiro, dois dos maiores e mais relevantes </w:t>
      </w:r>
      <w:r w:rsidR="00735108" w:rsidRPr="00A04B57">
        <w:rPr>
          <w:rFonts w:ascii="Times New Roman" w:hAnsi="Times New Roman" w:cs="Times New Roman"/>
        </w:rPr>
        <w:t xml:space="preserve">FCPs </w:t>
      </w:r>
      <w:r w:rsidR="00157F89" w:rsidRPr="00A04B57">
        <w:rPr>
          <w:rFonts w:ascii="Times New Roman" w:hAnsi="Times New Roman" w:cs="Times New Roman"/>
        </w:rPr>
        <w:t xml:space="preserve">do país, </w:t>
      </w:r>
      <w:r w:rsidR="00B83319" w:rsidRPr="00A04B57">
        <w:rPr>
          <w:rFonts w:ascii="Times New Roman" w:hAnsi="Times New Roman" w:cs="Times New Roman"/>
        </w:rPr>
        <w:t>seja</w:t>
      </w:r>
      <w:r w:rsidR="00157F89" w:rsidRPr="00A04B57">
        <w:rPr>
          <w:rFonts w:ascii="Times New Roman" w:hAnsi="Times New Roman" w:cs="Times New Roman"/>
        </w:rPr>
        <w:t xml:space="preserve"> pela magnitude de suas economias</w:t>
      </w:r>
      <w:r w:rsidR="00B83319" w:rsidRPr="00A04B57">
        <w:rPr>
          <w:rFonts w:ascii="Times New Roman" w:hAnsi="Times New Roman" w:cs="Times New Roman"/>
        </w:rPr>
        <w:t>, seja</w:t>
      </w:r>
      <w:r w:rsidR="00157F89" w:rsidRPr="00A04B57">
        <w:rPr>
          <w:rFonts w:ascii="Times New Roman" w:hAnsi="Times New Roman" w:cs="Times New Roman"/>
        </w:rPr>
        <w:t xml:space="preserve"> pelo volume de recursos arrecadados. </w:t>
      </w:r>
      <w:r w:rsidR="00B83319" w:rsidRPr="00A04B57">
        <w:rPr>
          <w:rFonts w:ascii="Times New Roman" w:hAnsi="Times New Roman" w:cs="Times New Roman"/>
        </w:rPr>
        <w:t>A</w:t>
      </w:r>
      <w:r w:rsidR="008B3290" w:rsidRPr="00A04B57">
        <w:rPr>
          <w:rFonts w:ascii="Times New Roman" w:hAnsi="Times New Roman" w:cs="Times New Roman"/>
        </w:rPr>
        <w:t xml:space="preserve"> escolha </w:t>
      </w:r>
      <w:r w:rsidR="00735108" w:rsidRPr="00A04B57">
        <w:rPr>
          <w:rFonts w:ascii="Times New Roman" w:hAnsi="Times New Roman" w:cs="Times New Roman"/>
        </w:rPr>
        <w:t xml:space="preserve">não </w:t>
      </w:r>
      <w:r w:rsidR="00735108" w:rsidRPr="00A04B57">
        <w:rPr>
          <w:rFonts w:ascii="Times New Roman" w:hAnsi="Times New Roman" w:cs="Times New Roman"/>
        </w:rPr>
        <w:lastRenderedPageBreak/>
        <w:t xml:space="preserve">foi arbitrária. Trata-se de entes federativos </w:t>
      </w:r>
      <w:r w:rsidR="00B83319" w:rsidRPr="00A04B57">
        <w:rPr>
          <w:rFonts w:ascii="Times New Roman" w:hAnsi="Times New Roman" w:cs="Times New Roman"/>
        </w:rPr>
        <w:t>com</w:t>
      </w:r>
      <w:r w:rsidR="00735108" w:rsidRPr="00A04B57">
        <w:rPr>
          <w:rFonts w:ascii="Times New Roman" w:hAnsi="Times New Roman" w:cs="Times New Roman"/>
        </w:rPr>
        <w:t xml:space="preserve"> diferentes trajetórias históricas, arranjos normativos e práticas institucionais, constituindo um campo fért</w:t>
      </w:r>
      <w:r w:rsidR="00B83319" w:rsidRPr="00A04B57">
        <w:rPr>
          <w:rFonts w:ascii="Times New Roman" w:hAnsi="Times New Roman" w:cs="Times New Roman"/>
        </w:rPr>
        <w:t xml:space="preserve">il para a comparação horizontal e vertical </w:t>
      </w:r>
      <w:r w:rsidR="00735108" w:rsidRPr="00A04B57">
        <w:rPr>
          <w:rFonts w:ascii="Times New Roman" w:hAnsi="Times New Roman" w:cs="Times New Roman"/>
        </w:rPr>
        <w:t>e análise das convergências e divergências.</w:t>
      </w:r>
    </w:p>
    <w:p w14:paraId="3C228559" w14:textId="77777777" w:rsidR="00774F87" w:rsidRPr="00A04B57" w:rsidRDefault="00157F89" w:rsidP="00774F87">
      <w:pPr>
        <w:pStyle w:val="03Pargrafo-Normal"/>
      </w:pPr>
      <w:r w:rsidRPr="00A04B57">
        <w:t xml:space="preserve">A avaliação </w:t>
      </w:r>
      <w:r w:rsidR="003F1FF8" w:rsidRPr="00A04B57">
        <w:t>dos</w:t>
      </w:r>
      <w:r w:rsidRPr="00A04B57">
        <w:t xml:space="preserve"> Fundos cumpre, portanto, uma dupla função. De um lado, fornece teste empírico </w:t>
      </w:r>
      <w:r w:rsidR="003F1FF8" w:rsidRPr="00A04B57">
        <w:t>para verificar a aplicabilidade</w:t>
      </w:r>
      <w:r w:rsidRPr="00A04B57">
        <w:t xml:space="preserve"> e capacidade do MoMMA </w:t>
      </w:r>
      <w:r w:rsidR="00BE702A" w:rsidRPr="00A04B57">
        <w:t xml:space="preserve">de atingir o seu objetivo e </w:t>
      </w:r>
      <w:r w:rsidRPr="00A04B57">
        <w:t xml:space="preserve">captar </w:t>
      </w:r>
      <w:r w:rsidR="00B45DF0" w:rsidRPr="00A04B57">
        <w:t>as principais características</w:t>
      </w:r>
      <w:r w:rsidRPr="00A04B57">
        <w:t xml:space="preserve"> institucionais </w:t>
      </w:r>
      <w:r w:rsidR="00B83319" w:rsidRPr="00A04B57">
        <w:t xml:space="preserve">e orçamentárias </w:t>
      </w:r>
      <w:r w:rsidR="00B45DF0" w:rsidRPr="00A04B57">
        <w:t xml:space="preserve">dos </w:t>
      </w:r>
      <w:r w:rsidR="003F1FF8" w:rsidRPr="00A04B57">
        <w:t>FCPs</w:t>
      </w:r>
      <w:r w:rsidRPr="00A04B57">
        <w:t>. De outro, produz diagnóstico comparado que ilumina as forças e fragilidades específicas de cada Fundo, oferecendo subsídios con</w:t>
      </w:r>
      <w:r w:rsidR="003F1FF8" w:rsidRPr="00A04B57">
        <w:t>cretos para gestores públicos, C</w:t>
      </w:r>
      <w:r w:rsidRPr="00A04B57">
        <w:t>onselhos</w:t>
      </w:r>
      <w:r w:rsidR="003F1FF8" w:rsidRPr="00A04B57">
        <w:t xml:space="preserve"> Gestores de Fundos (CGF), Órgãos Gestores de Fundos (OGF)</w:t>
      </w:r>
      <w:r w:rsidRPr="00A04B57">
        <w:t xml:space="preserve">, </w:t>
      </w:r>
      <w:r w:rsidR="003F1FF8" w:rsidRPr="00A04B57">
        <w:t xml:space="preserve">demais </w:t>
      </w:r>
      <w:r w:rsidRPr="00A04B57">
        <w:t xml:space="preserve">órgãos de controle </w:t>
      </w:r>
      <w:r w:rsidR="003F1FF8" w:rsidRPr="00A04B57">
        <w:t xml:space="preserve">(interno, externo e judicial) </w:t>
      </w:r>
      <w:r w:rsidRPr="00A04B57">
        <w:t>e sociedade civil.</w:t>
      </w:r>
    </w:p>
    <w:p w14:paraId="0350A11E" w14:textId="166502A1" w:rsidR="00157F89" w:rsidRPr="00A04B57" w:rsidRDefault="00157F89" w:rsidP="00774F87">
      <w:pPr>
        <w:pStyle w:val="03Pargrafo-Normal"/>
      </w:pPr>
      <w:r w:rsidRPr="00A04B57">
        <w:t>No caso de São Paulo, a aplicação da metodologia evidencia um Fundo de grande potencial arrecadatório, porém tensionado por desafios de transparência e integração plena ao ciclo orçamentário. No Rio de Janeiro, o MoMMA identifica uma institucionalidade marcada por avanços normativos, mas vulnerável a riscos de execução e de descontinuidade, associados à instabilidade fiscal do ente.</w:t>
      </w:r>
    </w:p>
    <w:p w14:paraId="27BE00C7" w14:textId="39FE76AF" w:rsidR="00774F87" w:rsidRPr="00A04B57" w:rsidRDefault="00157F89" w:rsidP="00DB0181">
      <w:pPr>
        <w:pStyle w:val="03Pargrafo-Normal"/>
      </w:pPr>
      <w:r w:rsidRPr="00A04B57">
        <w:t xml:space="preserve">Ao integrar </w:t>
      </w:r>
      <w:r w:rsidR="00BE702A" w:rsidRPr="00A04B57">
        <w:t>todas as evidências</w:t>
      </w:r>
      <w:r w:rsidR="00774F87" w:rsidRPr="00A04B57">
        <w:t xml:space="preserve">, a aplicação </w:t>
      </w:r>
      <w:r w:rsidRPr="00A04B57">
        <w:t>reforça a validade da metodologia como instrumento de diagnóstico</w:t>
      </w:r>
      <w:r w:rsidR="00BE702A" w:rsidRPr="00A04B57">
        <w:t>, inclusive para outros fundos públicos</w:t>
      </w:r>
      <w:r w:rsidRPr="00A04B57">
        <w:t xml:space="preserve">. O modelo </w:t>
      </w:r>
      <w:r w:rsidR="00BE702A" w:rsidRPr="00A04B57">
        <w:t xml:space="preserve">ainda </w:t>
      </w:r>
      <w:r w:rsidRPr="00A04B57">
        <w:t xml:space="preserve">demonstra ser capaz de diferenciar contextos, hierarquizar riscos, </w:t>
      </w:r>
      <w:r w:rsidR="00B45DF0" w:rsidRPr="00A04B57">
        <w:t>propor ações preventivas e de contingências</w:t>
      </w:r>
      <w:r w:rsidRPr="00A04B57">
        <w:t xml:space="preserve"> e, sobretudo, oferecer uma agenda estratégica de aprimoramento da governança dos FCPs. Dessa forma, São Paulo e Rio de Janeiro constituem os primeiros laboratórios d</w:t>
      </w:r>
      <w:r w:rsidR="00B45DF0" w:rsidRPr="00A04B57">
        <w:t>e</w:t>
      </w:r>
      <w:r w:rsidRPr="00A04B57">
        <w:t xml:space="preserve"> aplicação do MoMMA, servindo como marcos inaugurais para sua consolidação nacional.</w:t>
      </w:r>
      <w:bookmarkStart w:id="5" w:name="_Toc24814574"/>
      <w:bookmarkStart w:id="6" w:name="_Toc33168736"/>
      <w:bookmarkStart w:id="7" w:name="_Toc24814577"/>
      <w:bookmarkStart w:id="8" w:name="_Toc33168739"/>
      <w:bookmarkStart w:id="9" w:name="_Ref33599730"/>
      <w:bookmarkStart w:id="10" w:name="_Ref33599746"/>
      <w:bookmarkStart w:id="11" w:name="_Ref33599755"/>
      <w:bookmarkStart w:id="12" w:name="_Toc41775397"/>
      <w:bookmarkStart w:id="13" w:name="_Toc41775867"/>
    </w:p>
    <w:p w14:paraId="39D89B57" w14:textId="335FDEB9" w:rsidR="00774F87" w:rsidRPr="00DB0181" w:rsidRDefault="00DB0181" w:rsidP="00DB0181">
      <w:pPr>
        <w:pStyle w:val="Ttulo1"/>
      </w:pPr>
      <w:r>
        <w:t>O MoMMA</w:t>
      </w:r>
    </w:p>
    <w:p w14:paraId="60B74160" w14:textId="7B52784E" w:rsidR="001D640C" w:rsidRPr="00A04B57" w:rsidRDefault="0024148E" w:rsidP="001D640C">
      <w:pPr>
        <w:pStyle w:val="03Pargrafo-Normal"/>
      </w:pPr>
      <w:r w:rsidRPr="00A04B57">
        <w:t xml:space="preserve">O Modelo Orçamentário Multidimensional de Monitoramento e Avaliação </w:t>
      </w:r>
      <w:r w:rsidR="001D640C" w:rsidRPr="00A04B57">
        <w:t>adota uma abordagem aplicada, de natur</w:t>
      </w:r>
      <w:r w:rsidRPr="00A04B57">
        <w:t xml:space="preserve">eza qualitativa e quantitativa. </w:t>
      </w:r>
      <w:r w:rsidR="001D640C" w:rsidRPr="00A04B57">
        <w:t>Esta metodologia foi concebida como base estrutural, com o objetivo de superar problemas históricos na gestão dos Fundos de Combate à Pobreza</w:t>
      </w:r>
      <w:r w:rsidRPr="00A04B57">
        <w:t xml:space="preserve">. </w:t>
      </w:r>
      <w:r w:rsidR="001D640C" w:rsidRPr="00A04B57">
        <w:t>Seu propósito é transformar informações jurídicas, institucionais e orçamentárias em um diagnóstico estruturado capaz de orientar decisões públicas, ações de controle e processos de aprimoramento institucional.</w:t>
      </w:r>
    </w:p>
    <w:p w14:paraId="7153F9DB" w14:textId="77777777" w:rsidR="001D640C" w:rsidRPr="00A04B57" w:rsidRDefault="001D640C" w:rsidP="001D640C">
      <w:pPr>
        <w:pStyle w:val="03Pargrafo-Normal"/>
      </w:pPr>
    </w:p>
    <w:p w14:paraId="285BF90D" w14:textId="3BB5AEF2" w:rsidR="00DB0181" w:rsidRDefault="001D640C" w:rsidP="00DB0181">
      <w:pPr>
        <w:pStyle w:val="03Pargrafo-Normal"/>
        <w:spacing w:after="0"/>
      </w:pPr>
      <w:r w:rsidRPr="00A04B57">
        <w:t xml:space="preserve">A metodologia parte da premissa de que os fundos são arranjos jurídico-institucionais complexos que integram normas, instituições, fluxos financeiros e processos decisórios. Dessa </w:t>
      </w:r>
      <w:r w:rsidRPr="00A04B57">
        <w:lastRenderedPageBreak/>
        <w:t>forma, sua avaliação exige abordagem multidimensional que considere simultaneamente aspectos normativos, organizacionais, financeiros e participativos.</w:t>
      </w:r>
    </w:p>
    <w:p w14:paraId="44055660" w14:textId="77777777" w:rsidR="00DB0181" w:rsidRDefault="00DB0181" w:rsidP="00DB0181">
      <w:pPr>
        <w:pStyle w:val="03Pargrafo-Normal"/>
        <w:spacing w:after="0"/>
      </w:pPr>
    </w:p>
    <w:p w14:paraId="08CBF4FE" w14:textId="5323D27B" w:rsidR="00124F9C" w:rsidRPr="00DB0181" w:rsidRDefault="00124F9C" w:rsidP="00DB0181">
      <w:pPr>
        <w:pStyle w:val="Ttulo2"/>
      </w:pPr>
      <w:r w:rsidRPr="00DB0181">
        <w:t>Eixos Analíticos</w:t>
      </w:r>
    </w:p>
    <w:p w14:paraId="71A4CF7F" w14:textId="63A15178" w:rsidR="00124F9C" w:rsidRPr="00A04B57" w:rsidRDefault="001D640C" w:rsidP="001D640C">
      <w:pPr>
        <w:pStyle w:val="03Pargrafo-Normal"/>
      </w:pPr>
      <w:r w:rsidRPr="00A04B57">
        <w:t xml:space="preserve">Assim, o MoMMA está estruturado em </w:t>
      </w:r>
      <w:r w:rsidR="00124F9C" w:rsidRPr="00A04B57">
        <w:t>3 (três) eixos analíticos, que correspondem aos blocos centrais da governança orçamentária, e em 7 (sete) dimensões diagnósticas, que detalham os aspectos específicos de cada bloco. Essa arquitetura metodológica, a partir de 73 (setenta e três) elementos de análise, permite superar a visão meramente numérica, oferecendo uma leitura abrangente da exequibilidade, sustentabilidade e efetividade das políticas públicas financiadas pelos FCPs.</w:t>
      </w:r>
    </w:p>
    <w:p w14:paraId="246B9CA2" w14:textId="53C87684" w:rsidR="001D640C" w:rsidRPr="00A04B57" w:rsidRDefault="001D640C" w:rsidP="0032733E">
      <w:pPr>
        <w:pStyle w:val="03Pargrafo-Normal"/>
        <w:numPr>
          <w:ilvl w:val="0"/>
          <w:numId w:val="39"/>
        </w:numPr>
      </w:pPr>
      <w:r w:rsidRPr="00A04B57">
        <w:t>Responsabilidade arrecadatória</w:t>
      </w:r>
    </w:p>
    <w:p w14:paraId="33098F20" w14:textId="77777777" w:rsidR="00124F9C" w:rsidRPr="00A04B57" w:rsidRDefault="00124F9C" w:rsidP="001D640C">
      <w:pPr>
        <w:pStyle w:val="03Pargrafo-Normal"/>
      </w:pPr>
      <w:r w:rsidRPr="00A04B57">
        <w:t>Este eixo avalia a conformidade e a consistência da origem das receitas do Fundo, incluindo a normatização e o controle dos adicionais de ICMS ou ISS sobre produtos e serviços supérfluos, além de outros aportes previstos na legislação de regularidade da arrecadação e mecanismos de previsibilidade e rastreabilidade. A questão-chave aqui é: “Os recursos arrecadados são previsíveis, estáveis, legais e confiáveis?”</w:t>
      </w:r>
    </w:p>
    <w:p w14:paraId="15E09A86" w14:textId="054673B2" w:rsidR="001D640C" w:rsidRPr="00A04B57" w:rsidRDefault="001D640C" w:rsidP="0032733E">
      <w:pPr>
        <w:pStyle w:val="03Pargrafo-Normal"/>
        <w:numPr>
          <w:ilvl w:val="0"/>
          <w:numId w:val="39"/>
        </w:numPr>
      </w:pPr>
      <w:r w:rsidRPr="00A04B57">
        <w:t>Planejamento orçamentário</w:t>
      </w:r>
    </w:p>
    <w:p w14:paraId="50C15193" w14:textId="77777777" w:rsidR="00124F9C" w:rsidRPr="00A04B57" w:rsidRDefault="00124F9C" w:rsidP="001D640C">
      <w:pPr>
        <w:pStyle w:val="03Pargrafo-Normal"/>
      </w:pPr>
      <w:r w:rsidRPr="00A04B57">
        <w:t>O segundo eixo examina a inserção do Fundo nos instrumentos de planejamento governamental (Plano Plurianual (PPA), Lei de Diretrizes Orçamentárias (LDO) e Lei Orçamentária Anual (LOA)), verificando a coerência entre metas, indicadores, programação orçamentária e iniciativas financiadas. Considera ainda a atuação dos Conselhos Gestores dos FCPs e a integração com outras políticas públicas. A questão central é: “O Fundo está devidamente planejado e articulado com as prioridades públicas?”</w:t>
      </w:r>
    </w:p>
    <w:p w14:paraId="2F76DB3B" w14:textId="5F7DAC3E" w:rsidR="001D640C" w:rsidRPr="00A04B57" w:rsidRDefault="001D640C" w:rsidP="0032733E">
      <w:pPr>
        <w:pStyle w:val="03Pargrafo-Normal"/>
        <w:numPr>
          <w:ilvl w:val="0"/>
          <w:numId w:val="39"/>
        </w:numPr>
      </w:pPr>
      <w:r w:rsidRPr="00A04B57">
        <w:t>Execução orçamentária e financeira</w:t>
      </w:r>
    </w:p>
    <w:p w14:paraId="39E81C7D" w14:textId="36FFBECD" w:rsidR="001D640C" w:rsidRDefault="00124F9C" w:rsidP="00124F9C">
      <w:pPr>
        <w:pStyle w:val="03Pargrafo-Normal"/>
        <w:spacing w:after="0"/>
      </w:pPr>
      <w:r w:rsidRPr="00A04B57">
        <w:t>O terceiro eixo foca na aplicação prática dos recursos, observando execução física e financeira, conformidade legal, efetividade das ações e existência de mecanismos de controle, monitoramento e transparência. Esse eixo busca responder: “Os recursos arrecadados (quanto, quando e por quem) se transformam em resultados concretos para a sociedade?”</w:t>
      </w:r>
    </w:p>
    <w:p w14:paraId="0C477D6A" w14:textId="77777777" w:rsidR="00DB0181" w:rsidRPr="00A04B57" w:rsidRDefault="00DB0181" w:rsidP="00124F9C">
      <w:pPr>
        <w:pStyle w:val="03Pargrafo-Normal"/>
        <w:spacing w:after="0"/>
      </w:pPr>
    </w:p>
    <w:p w14:paraId="6CBDF129" w14:textId="4B618119" w:rsidR="00124F9C" w:rsidRPr="00A04B57" w:rsidRDefault="00124F9C" w:rsidP="00DB0181">
      <w:pPr>
        <w:pStyle w:val="Ttulo2"/>
      </w:pPr>
      <w:r w:rsidRPr="00A04B57">
        <w:t>Dimensões Diagnósticas</w:t>
      </w:r>
    </w:p>
    <w:p w14:paraId="1B1973FA" w14:textId="15969D05" w:rsidR="00DB0181" w:rsidRDefault="0024148E" w:rsidP="00DB0181">
      <w:pPr>
        <w:pStyle w:val="03Pargrafo-Normal"/>
        <w:spacing w:after="0"/>
      </w:pPr>
      <w:r w:rsidRPr="00A04B57">
        <w:t>Esses eixos são atravessados por sete dimensões diagnósticas (Jurídico-Estrutural, Histórico-Evolutiva, Institucional e Organizacional, Político-Institucional, Financeira e Orçamentária, Participativa e de Transparência e Avaliativa)</w:t>
      </w:r>
      <w:r w:rsidR="001D640C" w:rsidRPr="00A04B57">
        <w:t xml:space="preserve"> que permitem observar diferentes </w:t>
      </w:r>
      <w:r w:rsidR="001D640C" w:rsidRPr="00A04B57">
        <w:lastRenderedPageBreak/>
        <w:t>aspectos do funcionamento dos fundos</w:t>
      </w:r>
      <w:r w:rsidRPr="00A04B57">
        <w:t xml:space="preserve">. </w:t>
      </w:r>
      <w:r w:rsidR="001D640C" w:rsidRPr="00A04B57">
        <w:t xml:space="preserve">Cada dimensão reúne indicadores que capturam características específicas da governança e do desempenho institucional. </w:t>
      </w:r>
      <w:r w:rsidR="00C02C29" w:rsidRPr="00A04B57">
        <w:t>Essa perspectiva permite compreender como os Fundos se sustentam formalmente, como operam no cotidiano administrativo e como se proj</w:t>
      </w:r>
      <w:r w:rsidR="00DB0181">
        <w:t xml:space="preserve">etam em termos de efetividade. </w:t>
      </w:r>
    </w:p>
    <w:p w14:paraId="4E1287FB" w14:textId="77777777" w:rsidR="00DB0181" w:rsidRDefault="00DB0181" w:rsidP="00DB0181">
      <w:pPr>
        <w:pStyle w:val="03Pargrafo-Normal"/>
        <w:spacing w:after="0"/>
      </w:pPr>
    </w:p>
    <w:p w14:paraId="5CA96107" w14:textId="4F3CE17F" w:rsidR="00C02C29" w:rsidRPr="00DB0181" w:rsidRDefault="00C02C29" w:rsidP="00DB0181">
      <w:pPr>
        <w:pStyle w:val="Ttulo3"/>
      </w:pPr>
      <w:r w:rsidRPr="00DB0181">
        <w:t>Jurídico-Estrutural</w:t>
      </w:r>
    </w:p>
    <w:p w14:paraId="68FC1F2F" w14:textId="3A907784" w:rsidR="00C02C29" w:rsidRPr="00A04B57" w:rsidRDefault="00C02C29" w:rsidP="00C02C29">
      <w:pPr>
        <w:pStyle w:val="03Pargrafo-Normal"/>
      </w:pPr>
      <w:r w:rsidRPr="00A04B57">
        <w:t xml:space="preserve">O ponto de partida é normativo. Sem uma base legal sólida, não há legitimidade, nem segurança para o funcionamento do Fundo. Essa dimensão examina se o FCP foi criado conforme os requisitos constitucionais e legais (art. 82 do ADCT), se sua lei instituidora especifica objetivos, fontes de receita e mecanismos de governança e se está devidamente integrado ao ciclo orçamentário (PPA, LDO e LOA). Mais do que verificar a existência de um diploma legal, trata-se de avaliar sua densidade normativa: o Fundo existe apenas no plano formal ou sua lei contém regras claras que asseguram viabilidade operacional e transparência? </w:t>
      </w:r>
    </w:p>
    <w:p w14:paraId="2B453F84" w14:textId="7C82ECBA" w:rsidR="00C02C29" w:rsidRDefault="00C02C29" w:rsidP="00C02C29">
      <w:pPr>
        <w:pStyle w:val="03Pargrafo-Normal"/>
        <w:spacing w:after="0"/>
      </w:pPr>
      <w:r w:rsidRPr="00A04B57">
        <w:t>A força desta dimensão está em garantir que o Fundo não seja um ente jurídico meramente nominal, mas um instrumento efetivo do sistema de planejamento e finanças públicas. Em regra: avalia a base legal do Fundo, a clareza das fontes de receita e da destinação dos recursos, além da regulamentação existente.</w:t>
      </w:r>
    </w:p>
    <w:p w14:paraId="45C0A06B" w14:textId="77777777" w:rsidR="00F103BD" w:rsidRPr="00A04B57" w:rsidRDefault="00F103BD" w:rsidP="00C02C29">
      <w:pPr>
        <w:pStyle w:val="03Pargrafo-Normal"/>
        <w:spacing w:after="0"/>
      </w:pPr>
    </w:p>
    <w:p w14:paraId="1AA284F2" w14:textId="37B6D7D6" w:rsidR="00C02C29" w:rsidRPr="00F103BD" w:rsidRDefault="00C02C29" w:rsidP="00F103BD">
      <w:pPr>
        <w:pStyle w:val="Ttulo3"/>
      </w:pPr>
      <w:r w:rsidRPr="00F103BD">
        <w:t>Histórico-Evolutiva</w:t>
      </w:r>
    </w:p>
    <w:p w14:paraId="227A830B" w14:textId="35904A61" w:rsidR="00C02C29" w:rsidRPr="00A04B57" w:rsidRDefault="00C02C29" w:rsidP="00C02C29">
      <w:pPr>
        <w:pStyle w:val="03Pargrafo-Normal"/>
      </w:pPr>
      <w:r w:rsidRPr="00A04B57">
        <w:t>Nenhum Fundo é estático. A análise histórico-evolutiva busca captar o movimento institucional. Quando e em que contexto foi criado? Quais alterações normativas sofreu? Houve descontinuidade, judicialização ou momentos de esvaziamento? Reformulações legais, paralisações de conselhos gestores ou reconfiguração das fontes de receita não são apenas ajustes administrativos, mas indicativos de disputas de poder, mudanças de prioridades políticas e até de fragilidade institucional. Nesse sentido, a trajetória do Fundo se torna elemento explicativo de sua força ou fragilidade atual, revelando as condições históricas que moldaram seu desenho e funcionamento. Em regra: acompanha a trajetória do Fundo, reformas normativas, continuidade institucional e estabilidade no tempo.</w:t>
      </w:r>
    </w:p>
    <w:p w14:paraId="51020BF8" w14:textId="13DC7C5F" w:rsidR="00C02C29" w:rsidRPr="00DB0181" w:rsidRDefault="00C02C29" w:rsidP="00DB0181">
      <w:pPr>
        <w:pStyle w:val="Ttulo3"/>
      </w:pPr>
      <w:r w:rsidRPr="00DB0181">
        <w:t xml:space="preserve">Institucional e Organizacional </w:t>
      </w:r>
    </w:p>
    <w:p w14:paraId="3D1C7EC0" w14:textId="458DCE99" w:rsidR="00C02C29" w:rsidRPr="00A04B57" w:rsidRDefault="00C02C29" w:rsidP="00C02C29">
      <w:pPr>
        <w:pStyle w:val="03Pargrafo-Normal"/>
      </w:pPr>
      <w:r w:rsidRPr="00A04B57">
        <w:t xml:space="preserve">A governança aqui é o eixo central. Portanto, não basta que o Fundo exista juridicamente. É preciso que haja arranjos institucionais capazes de assegurar uma gestão eficiente, democrática e articulada. Examina-se a existência e o funcionamento de conselhos </w:t>
      </w:r>
      <w:r w:rsidRPr="00A04B57">
        <w:lastRenderedPageBreak/>
        <w:t>gestores, sua composição paritária, regularidade de deliberações e grau de influência efetiva sobre o destino dos recursos. Avalia-se também a capacidade técnico-administrativa dos órgãos gestores, sua infraestrutura de pessoal e sistemas de informação, além da estabilidade organizacional capaz de garantir continuidade mesmo em cenários de mudança política. Investiga se o Fundo opera como uma instituição consolidada ou como estrutura dependente de vontades circunstanciais. Em regra: examina a governança, a estrutura de gestão, a atuação e qualificação dos conselhos, bem como a articulação intersetorial.</w:t>
      </w:r>
    </w:p>
    <w:p w14:paraId="09377062" w14:textId="69C0D3A4" w:rsidR="00C02C29" w:rsidRPr="00DB0181" w:rsidRDefault="00C02C29" w:rsidP="00DB0181">
      <w:pPr>
        <w:pStyle w:val="Ttulo3"/>
      </w:pPr>
      <w:r w:rsidRPr="00DB0181">
        <w:t xml:space="preserve">Político-Institucional </w:t>
      </w:r>
    </w:p>
    <w:p w14:paraId="2EDF10E8" w14:textId="77777777" w:rsidR="00C02C29" w:rsidRPr="00A04B57" w:rsidRDefault="00C02C29" w:rsidP="00C02C29">
      <w:pPr>
        <w:pStyle w:val="03Pargrafo-Normal"/>
      </w:pPr>
      <w:r w:rsidRPr="00A04B57">
        <w:t>Todo instrumento financeiro está sujeito a pressões políticas. Esta dimensão evidencia os riscos de captura, desvio de finalidade, seletividade na alocação de recursos e esvaziamento deliberado. Quando recursos destinados ao combate à pobreza são direcionados para finalidades eleitorais, quando planos de ação não são atualizados ou quando conselhos gestores são desmobilizados, compromete-se a função constitucional do Fundo. A análise política, portanto, não se limita a identificar interferências, mas busca compreender: em que medida, tais dinâmicas corroem a legitimidade institucional e a percepção pública de justiça distributiva?</w:t>
      </w:r>
    </w:p>
    <w:p w14:paraId="3E985BB0" w14:textId="77777777" w:rsidR="00C02C29" w:rsidRPr="00A04B57" w:rsidRDefault="00C02C29" w:rsidP="00C02C29">
      <w:pPr>
        <w:pStyle w:val="03Pargrafo-Normal"/>
      </w:pPr>
      <w:r w:rsidRPr="00A04B57">
        <w:t>Em regra: analisa riscos de captura política, desvios de finalidade ou o uso do Fundo para substituir despesas ordinárias.</w:t>
      </w:r>
    </w:p>
    <w:p w14:paraId="76024CBF" w14:textId="3076DCA0" w:rsidR="00C02C29" w:rsidRPr="00DB0181" w:rsidRDefault="00C02C29" w:rsidP="00DB0181">
      <w:pPr>
        <w:pStyle w:val="Ttulo3"/>
      </w:pPr>
      <w:r w:rsidRPr="00DB0181">
        <w:t>Financeira e Orçamentária</w:t>
      </w:r>
    </w:p>
    <w:p w14:paraId="31678867" w14:textId="51DFEC0D" w:rsidR="00C02C29" w:rsidRDefault="00C02C29" w:rsidP="00C02C29">
      <w:pPr>
        <w:pStyle w:val="03Pargrafo-Normal"/>
      </w:pPr>
      <w:r w:rsidRPr="00A04B57">
        <w:t>Se o jurídico estabelece a existência e o político influencia prioridades, é no orçamento que se mede a concretude das ações. Esta dimensão avalia se há coerência entre arrecadação, alocação e execução dos recursos; previsibilidade dos fluxos de receita; e compatibilidade entre dotações orçamentárias e metas previstas. Fundos com arrecadação elevada mas execução reduzida revelam inércia, falta de planejamento ou uso estratégico da subexecução. Também se observa a presença de contingenciamentos, Restos a Pagar, desvinculações ou saldos inativos, todos elementos que fragilizam a efetividade fiscal do Fundo. A análise orçamentária, assim, mostra não apenas “quanto” se arrecada e se gasta, mas “como” se gasta, além de evidenciar se esse gasto é capaz de produzir resultados sociais. Em regra: monitora previsão, arrecadação, execução, contingenciamentos, desvinculações e saldos financeiros, verificando a aderência e compatibilidade (art. 16, inciso II da Lei de Responsabilidade Fiscal) com os objetivos estratégicos.</w:t>
      </w:r>
    </w:p>
    <w:p w14:paraId="166F92AE" w14:textId="77777777" w:rsidR="00164417" w:rsidRPr="00A04B57" w:rsidRDefault="00164417" w:rsidP="00C02C29">
      <w:pPr>
        <w:pStyle w:val="03Pargrafo-Normal"/>
      </w:pPr>
    </w:p>
    <w:p w14:paraId="6BE89A1A" w14:textId="75C05B21" w:rsidR="00C02C29" w:rsidRPr="00DB0181" w:rsidRDefault="00C02C29" w:rsidP="00DB0181">
      <w:pPr>
        <w:pStyle w:val="Ttulo3"/>
      </w:pPr>
      <w:r w:rsidRPr="00DB0181">
        <w:lastRenderedPageBreak/>
        <w:t>Participativa e de Transparência</w:t>
      </w:r>
    </w:p>
    <w:p w14:paraId="49A5A38E" w14:textId="21F4776F" w:rsidR="00C02C29" w:rsidRPr="00A04B57" w:rsidRDefault="00C02C29" w:rsidP="00C02C29">
      <w:pPr>
        <w:pStyle w:val="03Pargrafo-Normal"/>
      </w:pPr>
      <w:r w:rsidRPr="00A04B57">
        <w:t>A transparência ativa e passiva e os mecanismos de controle social são condições para a legitimidade. A existência de portais específicos, relatórios públicos, dados abertos, canais de denúncia e participação efetiva da sociedade civil fortalece o escrutínio democrático. Mais do que instrumentos formais, busca-se identificar se há cultura de transparência, se os dados são atualizados, acessíveis e compreensíveis; e se os responsáveis possibilitam que cidadãos, conselhos e órgãos de controle exerçam o monitoramento. A ausência de transparência e de participação não é apenas falha administrativa, mas risco institucional que fragiliza a confiança social no Fundo. Em regra: observa o grau de abertura, o detalhamento e a disponibilização de dados em tempo real e a efetividade dos mecanismos de participação social.</w:t>
      </w:r>
    </w:p>
    <w:p w14:paraId="7280531A" w14:textId="571B508B" w:rsidR="00C02C29" w:rsidRPr="00DB0181" w:rsidRDefault="00C02C29" w:rsidP="00DB0181">
      <w:pPr>
        <w:pStyle w:val="Ttulo3"/>
      </w:pPr>
      <w:r w:rsidRPr="00DB0181">
        <w:t xml:space="preserve">Avaliativa </w:t>
      </w:r>
    </w:p>
    <w:p w14:paraId="527B0961" w14:textId="5E0FE2A4" w:rsidR="00C02C29" w:rsidRPr="00A04B57" w:rsidRDefault="00C02C29" w:rsidP="00C02C29">
      <w:pPr>
        <w:pStyle w:val="03Pargrafo-Normal"/>
      </w:pPr>
      <w:r w:rsidRPr="00A04B57">
        <w:t xml:space="preserve">Por fim, a dimensão avaliativa desloca o foco da legalidade e da execução para a efetividade. Aqui a pergunta central não é apenas “quanto foi gasto?”, mas “o que foi alcançado com o que foi gasto?”. A análise recai sobre a existência de indicadores de desempenho, sistemas de monitoramento, rotinas de avaliação e mecanismos de </w:t>
      </w:r>
      <w:r w:rsidRPr="00A04B57">
        <w:rPr>
          <w:i/>
        </w:rPr>
        <w:t>accountability</w:t>
      </w:r>
      <w:r w:rsidRPr="00A04B57">
        <w:t xml:space="preserve"> orientados a resultados. Fundos que não avaliam seus impactos tendem à irrelevância ou à captura, pois carecem de evidências para justificar sua manutenção. A avaliação, ao contrário, permite correções de rumo, difusão de boas práticas e fortalecimento da legitimidade institucional, ao mostrar que os recursos foram capazes de reduzir a pobreza, ampliar direitos e transformar realidades sociais. Em regra: verifica a existência e a qualidade de sistemas de monitoramento e avaliação, indicadores de impacto e sua incorporação ao planejamento orçamentário.</w:t>
      </w:r>
    </w:p>
    <w:p w14:paraId="56273F97" w14:textId="77777777" w:rsidR="00C02C29" w:rsidRPr="00A04B57" w:rsidRDefault="00C02C29" w:rsidP="00C02C29">
      <w:pPr>
        <w:pStyle w:val="03Pargrafo-Normal"/>
      </w:pPr>
    </w:p>
    <w:p w14:paraId="108DDC98" w14:textId="765B7BE7" w:rsidR="00C02C29" w:rsidRPr="00A04B57" w:rsidRDefault="00C02C29" w:rsidP="00DB0181">
      <w:pPr>
        <w:pStyle w:val="Ttulo2"/>
      </w:pPr>
      <w:r w:rsidRPr="00A04B57">
        <w:t>Elementos de Análise, Criticidade e Peso dos Indicadores</w:t>
      </w:r>
    </w:p>
    <w:p w14:paraId="1A128B93" w14:textId="10B8CBC2" w:rsidR="0024148E" w:rsidRPr="00A04B57" w:rsidRDefault="001D640C" w:rsidP="00C02C29">
      <w:pPr>
        <w:pStyle w:val="03Pargrafo-Normal"/>
      </w:pPr>
      <w:r w:rsidRPr="00A04B57">
        <w:t xml:space="preserve">O núcleo operacional do modelo é o protocolo de verificação composto por setenta e três questões avaliativas. Cada questão corresponde a um elemento observável associado a evidências documentais verificáveis. </w:t>
      </w:r>
      <w:r w:rsidR="0024148E" w:rsidRPr="00A04B57">
        <w:t>Para garantir rigor técnico, os elementos utilizam Indicadores de Conformidade (IC) e Indicadores de Resultado (IR). Essas perguntas orientam a coleta de dados, permitem padronizar a análise e reduzem a subjetividade do diagnóstico.</w:t>
      </w:r>
    </w:p>
    <w:p w14:paraId="64C9626D" w14:textId="40F2C645" w:rsidR="0024148E" w:rsidRPr="00A04B57" w:rsidRDefault="001D640C" w:rsidP="0024148E">
      <w:pPr>
        <w:pStyle w:val="03Pargrafo-Normal"/>
      </w:pPr>
      <w:r w:rsidRPr="00A04B57">
        <w:t xml:space="preserve">Cada item avaliado recebe uma pontuação associada a graus de criticidade classificados como essenciais, estratégicos ou complementares. A partir dessa classificação é possível </w:t>
      </w:r>
      <w:r w:rsidRPr="00A04B57">
        <w:lastRenderedPageBreak/>
        <w:t>identificar níveis de maturidade inst</w:t>
      </w:r>
      <w:r w:rsidR="0024148E" w:rsidRPr="00A04B57">
        <w:t>itucional e hierarquizar riscos, impedindo que falhas estruturais graves sejam mascaradas por boas práticas periféricas:</w:t>
      </w:r>
    </w:p>
    <w:p w14:paraId="2B7D1F09" w14:textId="77777777" w:rsidR="00C02C29" w:rsidRPr="00A04B57" w:rsidRDefault="00C02C29" w:rsidP="00C02C29">
      <w:pPr>
        <w:keepNext/>
        <w:pBdr>
          <w:top w:val="nil"/>
          <w:left w:val="nil"/>
          <w:bottom w:val="nil"/>
          <w:right w:val="nil"/>
          <w:between w:val="nil"/>
        </w:pBdr>
        <w:spacing w:after="0" w:line="360" w:lineRule="auto"/>
        <w:rPr>
          <w:rFonts w:ascii="Times New Roman" w:eastAsia="Arial" w:hAnsi="Times New Roman" w:cs="Times New Roman"/>
          <w:color w:val="000000"/>
          <w:sz w:val="20"/>
          <w:szCs w:val="20"/>
        </w:rPr>
      </w:pPr>
      <w:r w:rsidRPr="00A04B57">
        <w:rPr>
          <w:rFonts w:ascii="Times New Roman" w:eastAsia="Arial" w:hAnsi="Times New Roman" w:cs="Times New Roman"/>
          <w:color w:val="000000"/>
          <w:sz w:val="20"/>
          <w:szCs w:val="20"/>
        </w:rPr>
        <w:t>Quadro 1 - Criticidade e Peso dos Elementos de Análise</w:t>
      </w:r>
    </w:p>
    <w:tbl>
      <w:tblPr>
        <w:tblW w:w="906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40"/>
        <w:gridCol w:w="3401"/>
        <w:gridCol w:w="3200"/>
        <w:gridCol w:w="620"/>
      </w:tblGrid>
      <w:tr w:rsidR="00C02C29" w:rsidRPr="00A04B57" w14:paraId="1939F34D" w14:textId="77777777" w:rsidTr="00A04B57">
        <w:trPr>
          <w:trHeight w:val="20"/>
        </w:trPr>
        <w:tc>
          <w:tcPr>
            <w:tcW w:w="1840" w:type="dxa"/>
            <w:vAlign w:val="center"/>
          </w:tcPr>
          <w:p w14:paraId="7A1C7030" w14:textId="77777777" w:rsidR="00C02C29" w:rsidRPr="00A04B57" w:rsidRDefault="00C02C29" w:rsidP="00A04B57">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Criticidade</w:t>
            </w:r>
          </w:p>
        </w:tc>
        <w:tc>
          <w:tcPr>
            <w:tcW w:w="3401" w:type="dxa"/>
            <w:vAlign w:val="center"/>
          </w:tcPr>
          <w:p w14:paraId="3008CC10" w14:textId="77777777" w:rsidR="00C02C29" w:rsidRPr="00A04B57" w:rsidRDefault="00C02C29" w:rsidP="00A04B57">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Definição</w:t>
            </w:r>
          </w:p>
        </w:tc>
        <w:tc>
          <w:tcPr>
            <w:tcW w:w="3200" w:type="dxa"/>
            <w:vAlign w:val="center"/>
          </w:tcPr>
          <w:p w14:paraId="5C894792" w14:textId="77777777" w:rsidR="00C02C29" w:rsidRPr="00A04B57" w:rsidRDefault="00C02C29" w:rsidP="00A04B57">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Exemplo</w:t>
            </w:r>
          </w:p>
        </w:tc>
        <w:tc>
          <w:tcPr>
            <w:tcW w:w="620" w:type="dxa"/>
            <w:vAlign w:val="center"/>
          </w:tcPr>
          <w:p w14:paraId="198B8A00" w14:textId="77777777" w:rsidR="00C02C29" w:rsidRPr="00A04B57" w:rsidRDefault="00C02C29" w:rsidP="00A04B57">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Peso</w:t>
            </w:r>
          </w:p>
        </w:tc>
      </w:tr>
      <w:tr w:rsidR="00C02C29" w:rsidRPr="00A04B57" w14:paraId="5299F374" w14:textId="77777777" w:rsidTr="00A04B57">
        <w:trPr>
          <w:trHeight w:val="20"/>
        </w:trPr>
        <w:tc>
          <w:tcPr>
            <w:tcW w:w="1840" w:type="dxa"/>
            <w:vAlign w:val="center"/>
          </w:tcPr>
          <w:p w14:paraId="5F378785" w14:textId="77777777" w:rsidR="00C02C29" w:rsidRPr="00A04B57" w:rsidRDefault="00C02C29" w:rsidP="00A04B5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Essencial (E)</w:t>
            </w:r>
          </w:p>
        </w:tc>
        <w:tc>
          <w:tcPr>
            <w:tcW w:w="3401" w:type="dxa"/>
            <w:vAlign w:val="center"/>
          </w:tcPr>
          <w:p w14:paraId="7056DC25" w14:textId="77777777" w:rsidR="00C02C29" w:rsidRPr="00A04B57" w:rsidRDefault="00C02C29" w:rsidP="00A04B5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Requisito estrutural sem o qual o Fundo não cumpre sua função legal ou orçamentária básica. Pesam mais no cálculo, incentivando a priorização de aspectos estruturantes e incentivando gestores a priorizá-los.</w:t>
            </w:r>
          </w:p>
        </w:tc>
        <w:tc>
          <w:tcPr>
            <w:tcW w:w="3200" w:type="dxa"/>
            <w:vAlign w:val="center"/>
          </w:tcPr>
          <w:p w14:paraId="4F4867AF" w14:textId="77777777" w:rsidR="00C02C29" w:rsidRPr="00A04B57" w:rsidRDefault="00C02C29" w:rsidP="00A04B5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Lei de criação, definição clara da destinação das receitas e  existência de Conselho Gestor formal.</w:t>
            </w:r>
          </w:p>
        </w:tc>
        <w:tc>
          <w:tcPr>
            <w:tcW w:w="620" w:type="dxa"/>
            <w:vAlign w:val="center"/>
          </w:tcPr>
          <w:p w14:paraId="27BE8250" w14:textId="77777777" w:rsidR="00C02C29" w:rsidRPr="00A04B57" w:rsidRDefault="00C02C29" w:rsidP="00A04B57">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3</w:t>
            </w:r>
          </w:p>
        </w:tc>
      </w:tr>
      <w:tr w:rsidR="00C02C29" w:rsidRPr="00A04B57" w14:paraId="796C88A1" w14:textId="77777777" w:rsidTr="00A04B57">
        <w:trPr>
          <w:trHeight w:val="20"/>
        </w:trPr>
        <w:tc>
          <w:tcPr>
            <w:tcW w:w="1840" w:type="dxa"/>
            <w:vAlign w:val="center"/>
          </w:tcPr>
          <w:p w14:paraId="771D9269" w14:textId="77777777" w:rsidR="00C02C29" w:rsidRPr="00A04B57" w:rsidRDefault="00C02C29" w:rsidP="00A04B5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Estratégico (S)</w:t>
            </w:r>
          </w:p>
        </w:tc>
        <w:tc>
          <w:tcPr>
            <w:tcW w:w="3401" w:type="dxa"/>
            <w:vAlign w:val="center"/>
          </w:tcPr>
          <w:p w14:paraId="4486CE37" w14:textId="77777777" w:rsidR="00C02C29" w:rsidRPr="00A04B57" w:rsidRDefault="00C02C29" w:rsidP="00A04B5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Requisito técnico que aumenta a capacidade de planejamento, execução e monitoramento, mas não inviabiliza o funcionamento.</w:t>
            </w:r>
          </w:p>
        </w:tc>
        <w:tc>
          <w:tcPr>
            <w:tcW w:w="3200" w:type="dxa"/>
            <w:vAlign w:val="center"/>
          </w:tcPr>
          <w:p w14:paraId="02A1E86E" w14:textId="77777777" w:rsidR="00C02C29" w:rsidRPr="00A04B57" w:rsidRDefault="00C02C29" w:rsidP="00A04B5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Previsão orçamentária anual, regularidade de repasses, Plano de Ação, Plano de Aplicação, além de critérios objetivos e técnicos de alocação.</w:t>
            </w:r>
          </w:p>
        </w:tc>
        <w:tc>
          <w:tcPr>
            <w:tcW w:w="620" w:type="dxa"/>
            <w:vAlign w:val="center"/>
          </w:tcPr>
          <w:p w14:paraId="185E6C46" w14:textId="77777777" w:rsidR="00C02C29" w:rsidRPr="00A04B57" w:rsidRDefault="00C02C29" w:rsidP="00A04B57">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2</w:t>
            </w:r>
          </w:p>
        </w:tc>
      </w:tr>
      <w:tr w:rsidR="00C02C29" w:rsidRPr="00A04B57" w14:paraId="6E6271A7" w14:textId="77777777" w:rsidTr="00A04B57">
        <w:trPr>
          <w:trHeight w:val="20"/>
        </w:trPr>
        <w:tc>
          <w:tcPr>
            <w:tcW w:w="1840" w:type="dxa"/>
            <w:vAlign w:val="center"/>
          </w:tcPr>
          <w:p w14:paraId="53C2791B" w14:textId="77777777" w:rsidR="00C02C29" w:rsidRPr="00A04B57" w:rsidRDefault="00C02C29" w:rsidP="00A04B5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Complementar (C)</w:t>
            </w:r>
          </w:p>
        </w:tc>
        <w:tc>
          <w:tcPr>
            <w:tcW w:w="3401" w:type="dxa"/>
            <w:vAlign w:val="center"/>
          </w:tcPr>
          <w:p w14:paraId="66ACDAF2" w14:textId="77777777" w:rsidR="00C02C29" w:rsidRPr="00A04B57" w:rsidRDefault="00C02C29" w:rsidP="00A04B5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Requisito que melhora transparência, governança e boas práticas, mas com impacto indireto.</w:t>
            </w:r>
          </w:p>
        </w:tc>
        <w:tc>
          <w:tcPr>
            <w:tcW w:w="3200" w:type="dxa"/>
            <w:vAlign w:val="center"/>
          </w:tcPr>
          <w:p w14:paraId="10586376" w14:textId="77777777" w:rsidR="00C02C29" w:rsidRPr="00A04B57" w:rsidRDefault="00C02C29" w:rsidP="00A04B5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Publicação de relatórios de resultados e de avaliação, mecanismos de participação, divulgação de atas.</w:t>
            </w:r>
          </w:p>
        </w:tc>
        <w:tc>
          <w:tcPr>
            <w:tcW w:w="620" w:type="dxa"/>
            <w:vAlign w:val="center"/>
          </w:tcPr>
          <w:p w14:paraId="29EC6EC6" w14:textId="77777777" w:rsidR="00C02C29" w:rsidRPr="00A04B57" w:rsidRDefault="00C02C29" w:rsidP="00A04B57">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1</w:t>
            </w:r>
          </w:p>
        </w:tc>
      </w:tr>
    </w:tbl>
    <w:p w14:paraId="51AEF7B2" w14:textId="77777777" w:rsidR="00C02C29" w:rsidRPr="00A04B57" w:rsidRDefault="00C02C29" w:rsidP="00C02C29">
      <w:pPr>
        <w:rPr>
          <w:rFonts w:ascii="Times New Roman" w:eastAsia="Arial" w:hAnsi="Times New Roman" w:cs="Times New Roman"/>
          <w:sz w:val="20"/>
          <w:szCs w:val="20"/>
        </w:rPr>
      </w:pPr>
      <w:r w:rsidRPr="00A04B57">
        <w:rPr>
          <w:rFonts w:ascii="Times New Roman" w:eastAsia="Arial" w:hAnsi="Times New Roman" w:cs="Times New Roman"/>
          <w:sz w:val="20"/>
          <w:szCs w:val="20"/>
        </w:rPr>
        <w:t>Fonte: Elaboração própria.</w:t>
      </w:r>
    </w:p>
    <w:p w14:paraId="1970A29F" w14:textId="77777777" w:rsidR="00C02C29" w:rsidRPr="00A04B57" w:rsidRDefault="00C02C29" w:rsidP="00C02C29">
      <w:pPr>
        <w:pStyle w:val="03Pargrafo-Normal"/>
      </w:pPr>
      <w:r w:rsidRPr="00A04B57">
        <w:t>Com isso, a hierarquização assegura que falhas estruturais tenham peso maior e não sejam mascaradas por boas práticas periféricas e o MoMMA passa a medir ao mesmo tempo:</w:t>
      </w:r>
    </w:p>
    <w:p w14:paraId="111B5E8B" w14:textId="77777777" w:rsidR="00C02C29" w:rsidRPr="00A04B57" w:rsidRDefault="00C02C29" w:rsidP="00C02C29">
      <w:pPr>
        <w:pStyle w:val="03Pargrafo-Normal"/>
      </w:pPr>
      <w:r w:rsidRPr="00A04B57">
        <w:t>●</w:t>
      </w:r>
      <w:r w:rsidRPr="00A04B57">
        <w:tab/>
        <w:t>base legal e estrutura mínima (IC Essencial)</w:t>
      </w:r>
    </w:p>
    <w:p w14:paraId="6206B77C" w14:textId="77777777" w:rsidR="00C02C29" w:rsidRPr="00A04B57" w:rsidRDefault="00C02C29" w:rsidP="00C02C29">
      <w:pPr>
        <w:pStyle w:val="03Pargrafo-Normal"/>
      </w:pPr>
      <w:r w:rsidRPr="00A04B57">
        <w:t>●</w:t>
      </w:r>
      <w:r w:rsidRPr="00A04B57">
        <w:tab/>
        <w:t>capacidade de gestão e governança (IC Estratégico)</w:t>
      </w:r>
    </w:p>
    <w:p w14:paraId="36BA0AB5" w14:textId="77777777" w:rsidR="00C02C29" w:rsidRPr="00A04B57" w:rsidRDefault="00C02C29" w:rsidP="00C02C29">
      <w:pPr>
        <w:pStyle w:val="03Pargrafo-Normal"/>
      </w:pPr>
      <w:r w:rsidRPr="00A04B57">
        <w:t>●</w:t>
      </w:r>
      <w:r w:rsidRPr="00A04B57">
        <w:tab/>
        <w:t>resultados efetivos (IR Essencial ou Estratégico)</w:t>
      </w:r>
    </w:p>
    <w:p w14:paraId="1A39827F" w14:textId="77777777" w:rsidR="00C02C29" w:rsidRPr="00A04B57" w:rsidRDefault="00C02C29" w:rsidP="00C02C29">
      <w:pPr>
        <w:pStyle w:val="03Pargrafo-Normal"/>
      </w:pPr>
      <w:r w:rsidRPr="00A04B57">
        <w:t>De outro modo, essa diferenciação também permite que o modelo vá além de uma avaliação linear ou homogênea. Ao atribuir maior valor a itens estruturantes, o MoMMA incentiva gestores e órgãos de controle a priorizarem a conformidade legal, a clareza normativa e a previsibilidade orçamentária, elementos sem os quais não há segurança institucional. Ao incluir itens estratégicos e complementares, preserva-se ainda a visão multidimensional, contemplando aspectos de planejamento, eficiência, participação e transparência.</w:t>
      </w:r>
    </w:p>
    <w:p w14:paraId="2B4FF337" w14:textId="77777777" w:rsidR="00C02C29" w:rsidRPr="00A04B57" w:rsidRDefault="00C02C29" w:rsidP="00C02C29">
      <w:pPr>
        <w:pStyle w:val="03Pargrafo-Normal"/>
      </w:pPr>
      <w:r w:rsidRPr="00A04B57">
        <w:t xml:space="preserve">No cálculo do perfil dos eixos e dimensões, cada resposta obtida no protocolo de verificação é multiplicada pelo peso atribuído ao seu nível de criticidade. Nesse sentido, o sistema de pesos transforma o MoMMA em um instrumento mais justo e fidedigno, ao tempo em que reforça sua função pedagógica, ao orientar sobre o que é imprescindível, o que é desejável e o que é recomendável no fortalecimento da governança dos Fundos de Combate à Pobreza. </w:t>
      </w:r>
    </w:p>
    <w:p w14:paraId="35325DD9" w14:textId="77777777" w:rsidR="00C02C29" w:rsidRPr="00A04B57" w:rsidRDefault="00C02C29" w:rsidP="00C02C29">
      <w:pPr>
        <w:pStyle w:val="03Pargrafo-Normal"/>
      </w:pPr>
      <w:r w:rsidRPr="00A04B57">
        <w:t>A apuração dos resultados segue, então, uma lógica de proporcionalidade. A soma dos pontos efetivamente obtidos em cada eixo ou dimensão é dividida pelo total de pontos possíveis, produzindo um percentual padronizado que reflete a performance do Fundo naquele componente específico da análise. Esse percentual funciona como uma radiografia setorial, capaz de identificar com clareza pontos fortes, fragilidades e áreas críticas de aperfeiçoamento.</w:t>
      </w:r>
    </w:p>
    <w:p w14:paraId="0E731312" w14:textId="77777777" w:rsidR="00C02C29" w:rsidRPr="00A04B57" w:rsidRDefault="00C02C29" w:rsidP="00C02C29">
      <w:pPr>
        <w:pStyle w:val="03Pargrafo-Normal"/>
      </w:pPr>
      <w:r w:rsidRPr="00A04B57">
        <w:lastRenderedPageBreak/>
        <w:t>O nível de maturidade global é obtido por meio da média ponderada dos percentuais alcançados em cada eixo e dimensão. O resultado gera um índice único, que traduz, de forma integrada, a capacidade institucional, orçamentária e operacional do Fundo.</w:t>
      </w:r>
    </w:p>
    <w:p w14:paraId="322A8FA3" w14:textId="6746F528" w:rsidR="00C02C29" w:rsidRPr="00A04B57" w:rsidRDefault="00C02C29" w:rsidP="00DB0181">
      <w:pPr>
        <w:pStyle w:val="Ttulo2"/>
      </w:pPr>
      <w:r w:rsidRPr="00A04B57">
        <w:t>Protocolo de Verificação</w:t>
      </w:r>
    </w:p>
    <w:p w14:paraId="4742A3E3" w14:textId="77772490" w:rsidR="00A04B57" w:rsidRPr="00A04B57" w:rsidRDefault="00A04B57" w:rsidP="00A04B57">
      <w:pPr>
        <w:pStyle w:val="03Pargrafo-Normal"/>
      </w:pPr>
      <w:r w:rsidRPr="00A04B57">
        <w:t>O Protocolo de Verificação (PV)</w:t>
      </w:r>
      <w:r>
        <w:rPr>
          <w:rStyle w:val="Refdenotaderodap"/>
        </w:rPr>
        <w:footnoteReference w:id="2"/>
      </w:r>
      <w:r w:rsidRPr="00A04B57">
        <w:t xml:space="preserve"> constitui a ferramenta operacional do MoMMA. Enquanto o modelo funciona como arquitetura conceitual, organizada em eixos e dimensões, o PV traduz a lógica dos elementos de análise em perguntas objetivas, indicadores verificáveis e evidências documentais, tornando o processo de monitoramento e avaliação aplicável na prática.</w:t>
      </w:r>
    </w:p>
    <w:p w14:paraId="323ADFD5" w14:textId="474AA281" w:rsidR="00A04B57" w:rsidRPr="00A04B57" w:rsidRDefault="00A04B57" w:rsidP="00A04B57">
      <w:pPr>
        <w:pStyle w:val="03Pargrafo-Normal"/>
      </w:pPr>
      <w:r w:rsidRPr="00A04B57">
        <w:t>Em termos analíticos, o protocolo representa o elo entre teoria e empiria. Organiza a coleta de dados, padroniza critérios de análise e assegura que cada dimensão do modelo seja examinada com rigor metodológico. Por exemplo, se a dimensão jurídico-estrutural prevê a verificação da legalidade de um Fundo, o protocolo formula a questão correspondente “O Fundo possui lei formal de criação vigente?” e define: (i) a fonte da evidência (onde buscar), (ii) o indicador verificável (o que observar) e (iii) o instrumento de comprovação (como registrar).</w:t>
      </w:r>
    </w:p>
    <w:p w14:paraId="17A9B856" w14:textId="77777777" w:rsidR="00A04B57" w:rsidRPr="00A04B57" w:rsidRDefault="00A04B57" w:rsidP="00A04B57">
      <w:pPr>
        <w:pStyle w:val="03Pargrafo-Normal"/>
      </w:pPr>
      <w:r w:rsidRPr="00A04B57">
        <w:t xml:space="preserve">A principal inovação do PV está na padronização nacional, em consonância com o art. 163-A da Constituição Federal, permitindo comparabilidade entre entes federativos. Essa característica supera a fragmentação típica de processos avaliativos, reduzindo subjetividades e assegurando replicabilidade. Ao todo, o protocolo organiza os elementos em 73 questões, distribuídas por eixos e dimensões, o que possibilita não apenas descrever a realidade institucional de cada Fundo, mas também inseri-los na lógica de </w:t>
      </w:r>
      <w:r w:rsidRPr="00A04B57">
        <w:rPr>
          <w:i/>
        </w:rPr>
        <w:t>compliance</w:t>
      </w:r>
      <w:r w:rsidRPr="00A04B57">
        <w:t xml:space="preserve"> fiscal e </w:t>
      </w:r>
      <w:r w:rsidRPr="00A04B57">
        <w:rPr>
          <w:i/>
        </w:rPr>
        <w:t>accountability</w:t>
      </w:r>
      <w:r w:rsidRPr="00A04B57">
        <w:t xml:space="preserve"> democrática. Essa estrutura possibilita, inclusive, que o protocolo seja adaptável e replicável para outros fundos setoriais (educação, saúde, assistência social, meio ambiente, idoso, criança e adolescente etc.), funcionando como plataforma metodológica transversal para a análise de instrumentos financeiros vinculados.</w:t>
      </w:r>
    </w:p>
    <w:p w14:paraId="6511796E" w14:textId="77777777" w:rsidR="00A04B57" w:rsidRPr="00A04B57" w:rsidRDefault="00A04B57" w:rsidP="00A04B57">
      <w:pPr>
        <w:pStyle w:val="03Pargrafo-Normal"/>
      </w:pPr>
      <w:r w:rsidRPr="00A04B57">
        <w:t>Em regra, cumpre quatro funções estratégicas:</w:t>
      </w:r>
    </w:p>
    <w:p w14:paraId="6A6C6805" w14:textId="32E600D0" w:rsidR="00A04B57" w:rsidRPr="00A04B57" w:rsidRDefault="00A04B57" w:rsidP="0032733E">
      <w:pPr>
        <w:pStyle w:val="03Pargrafo-Normal"/>
        <w:numPr>
          <w:ilvl w:val="0"/>
          <w:numId w:val="40"/>
        </w:numPr>
        <w:ind w:left="709"/>
      </w:pPr>
      <w:r w:rsidRPr="00A04B57">
        <w:t>Descreve o perfil dos eixos e dimensões avaliados;</w:t>
      </w:r>
    </w:p>
    <w:p w14:paraId="5BDF79B5" w14:textId="3BE9FA1E" w:rsidR="00A04B57" w:rsidRPr="00A04B57" w:rsidRDefault="00A04B57" w:rsidP="0032733E">
      <w:pPr>
        <w:pStyle w:val="03Pargrafo-Normal"/>
        <w:numPr>
          <w:ilvl w:val="0"/>
          <w:numId w:val="40"/>
        </w:numPr>
        <w:ind w:left="709"/>
      </w:pPr>
      <w:r w:rsidRPr="00A04B57">
        <w:t>Mensura o grau de maturidade institucional dos FCPs;</w:t>
      </w:r>
    </w:p>
    <w:p w14:paraId="274CF231" w14:textId="1A2D12FD" w:rsidR="00A04B57" w:rsidRPr="00A04B57" w:rsidRDefault="00A04B57" w:rsidP="0032733E">
      <w:pPr>
        <w:pStyle w:val="03Pargrafo-Normal"/>
        <w:numPr>
          <w:ilvl w:val="0"/>
          <w:numId w:val="40"/>
        </w:numPr>
        <w:ind w:left="709"/>
      </w:pPr>
      <w:r w:rsidRPr="00A04B57">
        <w:t>Avalia o desempenho da arrecadação, planejamento e execução dos recursos;</w:t>
      </w:r>
    </w:p>
    <w:p w14:paraId="4DF408AF" w14:textId="4E3E2F54" w:rsidR="00A04B57" w:rsidRPr="00A04B57" w:rsidRDefault="00A04B57" w:rsidP="0032733E">
      <w:pPr>
        <w:pStyle w:val="03Pargrafo-Normal"/>
        <w:numPr>
          <w:ilvl w:val="0"/>
          <w:numId w:val="40"/>
        </w:numPr>
        <w:ind w:left="709"/>
      </w:pPr>
      <w:r w:rsidRPr="00A04B57">
        <w:t>Identifica riscos de desvio de finalidade, subexecução e captura política.</w:t>
      </w:r>
    </w:p>
    <w:p w14:paraId="25FDF4F9" w14:textId="77777777" w:rsidR="00A04B57" w:rsidRPr="00A04B57" w:rsidRDefault="00A04B57" w:rsidP="00A04B57">
      <w:pPr>
        <w:pStyle w:val="03Pargrafo-Normal"/>
      </w:pPr>
      <w:r w:rsidRPr="00A04B57">
        <w:lastRenderedPageBreak/>
        <w:t>As evidências produzidas são úteis não apenas para fins acadêmicos, mas sobretudo para Tribunais de Contas, Ministérios Públicos, Controladorias e Conselhos Gestores de FCPs, fortalecendo o controle integrado. O PV, ao conjugar rigor científico, aplicabilidade prática e probatório, consolida-se como instrumento de diagnóstico, auditoria e avaliação comparada.</w:t>
      </w:r>
    </w:p>
    <w:p w14:paraId="41951D93" w14:textId="77777777" w:rsidR="00A04B57" w:rsidRDefault="00A04B57" w:rsidP="00A04B57">
      <w:pPr>
        <w:pStyle w:val="03Pargrafo-Normal"/>
      </w:pPr>
      <w:r w:rsidRPr="00A04B57">
        <w:t>Cada questão é organizada em uma matriz que relaciona eixo, dimensão, pergunta, criticidade, tipo de indicador (IC ou IR) e peso. Esse desenho assegura que elementos estruturais (peso 3) tenham maior influência no resultado, enquanto itens estratégicos (peso 2) e complementares (peso 1) reforçam a visão multidimensional da avaliação.</w:t>
      </w:r>
    </w:p>
    <w:p w14:paraId="29AB6F8C" w14:textId="77777777" w:rsidR="00A04B57" w:rsidRDefault="00A04B57" w:rsidP="00A04B57">
      <w:pPr>
        <w:pStyle w:val="03Pargrafo-Normal"/>
        <w:rPr>
          <w:rFonts w:eastAsia="Arial"/>
          <w:color w:val="000000"/>
        </w:rPr>
      </w:pPr>
      <w:r w:rsidRPr="00A04B57">
        <w:rPr>
          <w:rFonts w:eastAsia="Arial"/>
          <w:color w:val="000000"/>
        </w:rPr>
        <w:t>O PV também adota um tratamento específico para respostas classificadas como N/A (não aplicável ou não avaliada). Essa categoria é utilizada para situações em que a análise não pode ser realizada devido a limitações temporais, ausência de informação no momento da coleta ou não solicitação formal dos dados.</w:t>
      </w:r>
    </w:p>
    <w:p w14:paraId="516DAC48" w14:textId="77777777" w:rsidR="00A04B57" w:rsidRDefault="00A04B57" w:rsidP="00A04B57">
      <w:pPr>
        <w:pStyle w:val="03Pargrafo-Normal"/>
        <w:rPr>
          <w:rFonts w:eastAsia="Arial"/>
          <w:color w:val="000000"/>
        </w:rPr>
      </w:pPr>
      <w:r w:rsidRPr="00A04B57">
        <w:rPr>
          <w:rFonts w:eastAsia="Arial"/>
          <w:color w:val="000000"/>
        </w:rPr>
        <w:t>O N/A funciona como neutralidade metodológica, evitando que lacunas documentais sejam contabilizadas como inadimplemento. Assim, no cálculo dos índices, as questões marcadas como N/A são excluídas do denominador da pontuação máxima, evitando distorções. Além disso, no nível de maturidade global, o N/A não impacta negativamente a nota final, mas permanece registrado para rastreabilidade e coleta futura de evidências.</w:t>
      </w:r>
    </w:p>
    <w:p w14:paraId="19BA32BB" w14:textId="127FF1D8" w:rsidR="00A04B57" w:rsidRPr="00A04B57" w:rsidRDefault="00A04B57" w:rsidP="00A04B57">
      <w:pPr>
        <w:pStyle w:val="03Pargrafo-Normal"/>
        <w:rPr>
          <w:rFonts w:eastAsia="Arial"/>
          <w:color w:val="000000"/>
        </w:rPr>
      </w:pPr>
      <w:r w:rsidRPr="00A04B57">
        <w:rPr>
          <w:rFonts w:eastAsia="Arial"/>
          <w:color w:val="000000"/>
        </w:rPr>
        <w:t>Essa solução equilibra comparabilidade entre Fundos e rigor da análise, garantindo que apenas os aspectos efetivamente avaliados componham a média ponderada, sem penalizar aqueles cuja documentação ou evidência ainda não tenha sido integralmente analisada, ao mesmo tempo em que se mantém a rastreabilidade sobre os pontos que demandam coleta futura de evidências</w:t>
      </w:r>
      <w:r w:rsidRPr="00A04B57">
        <w:rPr>
          <w:rFonts w:eastAsia="Arial"/>
          <w:color w:val="000000"/>
          <w:vertAlign w:val="superscript"/>
        </w:rPr>
        <w:footnoteReference w:id="3"/>
      </w:r>
      <w:r w:rsidRPr="00A04B57">
        <w:rPr>
          <w:rFonts w:eastAsia="Arial"/>
          <w:color w:val="000000"/>
        </w:rPr>
        <w:t>.</w:t>
      </w:r>
    </w:p>
    <w:p w14:paraId="5EC2F6DC" w14:textId="5CECE218" w:rsidR="00A04B57" w:rsidRPr="00A04B57" w:rsidRDefault="00A04B57" w:rsidP="00DB0181">
      <w:pPr>
        <w:pStyle w:val="Ttulo2"/>
      </w:pPr>
      <w:r w:rsidRPr="00A04B57">
        <w:t>Perfil do Fundo por Eixo e Dimensão</w:t>
      </w:r>
    </w:p>
    <w:p w14:paraId="163A3165" w14:textId="77777777" w:rsidR="00F103BD" w:rsidRDefault="00F103BD"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F103BD">
        <w:rPr>
          <w:rFonts w:ascii="Times New Roman" w:eastAsia="Arial" w:hAnsi="Times New Roman" w:cs="Times New Roman"/>
          <w:color w:val="000000"/>
        </w:rPr>
        <w:t xml:space="preserve">O cálculo do perfil do Fundo permite mensurar o desempenho de cada eixo e dimensão analisados no modelo. Trata-se de um diagnóstico segmentado que evidencia tanto o nível de maturidade institucional quanto as fragilidades existentes, garantindo comparabilidade entre áreas avaliadas. Cada eixo é desdobrado em dimensões diagnósticas, dentro das quais se encontram questões objetivas previstas no </w:t>
      </w:r>
      <w:r>
        <w:rPr>
          <w:rFonts w:ascii="Times New Roman" w:eastAsia="Arial" w:hAnsi="Times New Roman" w:cs="Times New Roman"/>
          <w:color w:val="000000"/>
        </w:rPr>
        <w:t>PV</w:t>
      </w:r>
      <w:r w:rsidRPr="00F103BD">
        <w:rPr>
          <w:rFonts w:ascii="Times New Roman" w:eastAsia="Arial" w:hAnsi="Times New Roman" w:cs="Times New Roman"/>
          <w:color w:val="000000"/>
        </w:rPr>
        <w:t xml:space="preserve">. Cada questão está associada a um indicador de conformidade ou de resultado e a um nível de criticidade classificado como essencial, </w:t>
      </w:r>
      <w:r w:rsidRPr="00F103BD">
        <w:rPr>
          <w:rFonts w:ascii="Times New Roman" w:eastAsia="Arial" w:hAnsi="Times New Roman" w:cs="Times New Roman"/>
          <w:color w:val="000000"/>
        </w:rPr>
        <w:lastRenderedPageBreak/>
        <w:t>estratégico ou complementar.</w:t>
      </w:r>
      <w:r>
        <w:rPr>
          <w:rFonts w:ascii="Times New Roman" w:eastAsia="Arial" w:hAnsi="Times New Roman" w:cs="Times New Roman"/>
          <w:color w:val="000000"/>
        </w:rPr>
        <w:t xml:space="preserve"> </w:t>
      </w:r>
      <w:r w:rsidRPr="00F103BD">
        <w:rPr>
          <w:rFonts w:ascii="Times New Roman" w:eastAsia="Arial" w:hAnsi="Times New Roman" w:cs="Times New Roman"/>
          <w:color w:val="000000"/>
        </w:rPr>
        <w:t xml:space="preserve">A mensuração segue uma lógica gradual composta por três etapas. </w:t>
      </w:r>
    </w:p>
    <w:p w14:paraId="0DEE6483" w14:textId="6A525BA6" w:rsidR="00F103BD" w:rsidRPr="00F103BD" w:rsidRDefault="00F103BD"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F103BD">
        <w:rPr>
          <w:rFonts w:ascii="Times New Roman" w:eastAsia="Arial" w:hAnsi="Times New Roman" w:cs="Times New Roman"/>
          <w:color w:val="000000"/>
        </w:rPr>
        <w:t>Na primeira, atribui-se pontuação a cada questão. Indicadores de conformidade são avaliados de forma binária, de modo que o atendimento ao critério gera pontuação equivalente ao peso do item, enquanto o não atendimento resulta em valor zero. Indicadores de resultado possuem caráter proporcional, convertendo o desempenho observado em fração percentual aju</w:t>
      </w:r>
      <w:r>
        <w:rPr>
          <w:rFonts w:ascii="Times New Roman" w:eastAsia="Arial" w:hAnsi="Times New Roman" w:cs="Times New Roman"/>
          <w:color w:val="000000"/>
        </w:rPr>
        <w:t>stada pelo peso correspondente.</w:t>
      </w:r>
    </w:p>
    <w:p w14:paraId="6CACE6E8" w14:textId="44629B3E" w:rsidR="00F103BD" w:rsidRPr="00F103BD" w:rsidRDefault="00F103BD"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F103BD">
        <w:rPr>
          <w:rFonts w:ascii="Times New Roman" w:eastAsia="Arial" w:hAnsi="Times New Roman" w:cs="Times New Roman"/>
          <w:color w:val="000000"/>
        </w:rPr>
        <w:t>Na segunda etapa, as pontuações são agregadas no nível da dimensão diagnóstica. Calcula-se a razão entre os pontos obtidos e o total de pontos possíveis, resultando em um percentual que expressa o grau de atendimento aos critérios avaliados. Esse procedimento evita distorções decorrentes do número de questões por dimensão e permite identificar o nível de consolida</w:t>
      </w:r>
      <w:r>
        <w:rPr>
          <w:rFonts w:ascii="Times New Roman" w:eastAsia="Arial" w:hAnsi="Times New Roman" w:cs="Times New Roman"/>
          <w:color w:val="000000"/>
        </w:rPr>
        <w:t>ção institucional de cada área.</w:t>
      </w:r>
    </w:p>
    <w:p w14:paraId="23D00B70" w14:textId="1DF4E637" w:rsidR="00F103BD" w:rsidRDefault="00F103BD"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F103BD">
        <w:rPr>
          <w:rFonts w:ascii="Times New Roman" w:eastAsia="Arial" w:hAnsi="Times New Roman" w:cs="Times New Roman"/>
          <w:color w:val="000000"/>
        </w:rPr>
        <w:t>A terceira etapa consiste na consolidação dos resultados no nível do eixo, calculada pela média dos percentuais das dimensões que o compõem. O conjunto desses resultados forma o perfil do Fundo. Posteriormente, os percentuais são enquadrados em cinco níveis interpretativos que variam de inexistente a pleno, traduzindo o resultado numérico em avaliação qualitativa da governança</w:t>
      </w:r>
      <w:r>
        <w:rPr>
          <w:rFonts w:ascii="Times New Roman" w:eastAsia="Arial" w:hAnsi="Times New Roman" w:cs="Times New Roman"/>
          <w:color w:val="000000"/>
        </w:rPr>
        <w:t xml:space="preserve"> e da capacidade institucional.</w:t>
      </w:r>
    </w:p>
    <w:p w14:paraId="2570C51B" w14:textId="2C070DAC" w:rsidR="00F103BD" w:rsidRPr="00A04B57" w:rsidRDefault="00F103BD" w:rsidP="00F103BD">
      <w:pPr>
        <w:keepNext/>
        <w:pBdr>
          <w:top w:val="nil"/>
          <w:left w:val="nil"/>
          <w:bottom w:val="nil"/>
          <w:right w:val="nil"/>
          <w:between w:val="nil"/>
        </w:pBdr>
        <w:spacing w:after="0" w:line="360" w:lineRule="auto"/>
        <w:rPr>
          <w:rFonts w:ascii="Times New Roman" w:eastAsia="Arial" w:hAnsi="Times New Roman" w:cs="Times New Roman"/>
          <w:color w:val="000000"/>
          <w:sz w:val="20"/>
          <w:szCs w:val="20"/>
        </w:rPr>
      </w:pPr>
      <w:r w:rsidRPr="00A04B57">
        <w:rPr>
          <w:rFonts w:ascii="Times New Roman" w:eastAsia="Arial" w:hAnsi="Times New Roman" w:cs="Times New Roman"/>
          <w:color w:val="000000"/>
          <w:sz w:val="20"/>
          <w:szCs w:val="20"/>
        </w:rPr>
        <w:t xml:space="preserve">Quadro </w:t>
      </w:r>
      <w:r w:rsidR="00E53A82">
        <w:rPr>
          <w:rFonts w:ascii="Times New Roman" w:eastAsia="Arial" w:hAnsi="Times New Roman" w:cs="Times New Roman"/>
          <w:color w:val="000000"/>
          <w:sz w:val="20"/>
          <w:szCs w:val="20"/>
        </w:rPr>
        <w:t>2</w:t>
      </w:r>
      <w:r w:rsidRPr="00A04B57">
        <w:rPr>
          <w:rFonts w:ascii="Times New Roman" w:eastAsia="Arial" w:hAnsi="Times New Roman" w:cs="Times New Roman"/>
          <w:color w:val="000000"/>
          <w:sz w:val="20"/>
          <w:szCs w:val="20"/>
        </w:rPr>
        <w:t xml:space="preserve"> – Perfis do Fundo de Combate à Pobreza</w:t>
      </w:r>
    </w:p>
    <w:tbl>
      <w:tblPr>
        <w:tblW w:w="906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29"/>
        <w:gridCol w:w="1528"/>
        <w:gridCol w:w="5804"/>
      </w:tblGrid>
      <w:tr w:rsidR="00F103BD" w:rsidRPr="00A04B57" w14:paraId="10E46B42" w14:textId="77777777" w:rsidTr="003926FC">
        <w:trPr>
          <w:trHeight w:val="20"/>
          <w:jc w:val="center"/>
        </w:trPr>
        <w:tc>
          <w:tcPr>
            <w:tcW w:w="1729" w:type="dxa"/>
            <w:vAlign w:val="center"/>
          </w:tcPr>
          <w:p w14:paraId="72466A48" w14:textId="77777777" w:rsidR="00F103BD" w:rsidRPr="00A04B57" w:rsidRDefault="00F103BD" w:rsidP="003926FC">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 xml:space="preserve">Enquadramento: Eixos e Dimensões </w:t>
            </w:r>
          </w:p>
        </w:tc>
        <w:tc>
          <w:tcPr>
            <w:tcW w:w="1528" w:type="dxa"/>
            <w:vAlign w:val="center"/>
          </w:tcPr>
          <w:p w14:paraId="12684552" w14:textId="77777777" w:rsidR="00F103BD" w:rsidRPr="00A04B57" w:rsidRDefault="00F103BD" w:rsidP="003926FC">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Perfil do Fundo</w:t>
            </w:r>
          </w:p>
        </w:tc>
        <w:tc>
          <w:tcPr>
            <w:tcW w:w="5804" w:type="dxa"/>
            <w:vAlign w:val="center"/>
          </w:tcPr>
          <w:p w14:paraId="45380353" w14:textId="77777777" w:rsidR="00F103BD" w:rsidRPr="00A04B57" w:rsidRDefault="00F103BD" w:rsidP="003926FC">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Descrição</w:t>
            </w:r>
          </w:p>
        </w:tc>
      </w:tr>
      <w:tr w:rsidR="00F103BD" w:rsidRPr="00A04B57" w14:paraId="43870E78" w14:textId="77777777" w:rsidTr="003926FC">
        <w:trPr>
          <w:trHeight w:val="20"/>
          <w:jc w:val="center"/>
        </w:trPr>
        <w:tc>
          <w:tcPr>
            <w:tcW w:w="1729" w:type="dxa"/>
            <w:vAlign w:val="center"/>
          </w:tcPr>
          <w:p w14:paraId="25F3903B" w14:textId="77777777" w:rsidR="00F103BD" w:rsidRPr="00A04B57" w:rsidRDefault="00F103BD" w:rsidP="003926FC">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0</w:t>
            </w:r>
          </w:p>
        </w:tc>
        <w:tc>
          <w:tcPr>
            <w:tcW w:w="1528" w:type="dxa"/>
            <w:vAlign w:val="center"/>
          </w:tcPr>
          <w:p w14:paraId="0BF0E554"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0 (Inexistente)</w:t>
            </w:r>
          </w:p>
        </w:tc>
        <w:tc>
          <w:tcPr>
            <w:tcW w:w="5804" w:type="dxa"/>
          </w:tcPr>
          <w:p w14:paraId="0EFE0EB6" w14:textId="2F787159" w:rsidR="00F103BD" w:rsidRPr="00A04B57" w:rsidRDefault="00F103BD" w:rsidP="0016441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O eixo ou dimensão não apresenta qualquer evidência de estrutura, procedimento, norma ou prátic</w:t>
            </w:r>
            <w:r w:rsidR="00164417">
              <w:rPr>
                <w:rFonts w:ascii="Times New Roman" w:eastAsia="Arial" w:hAnsi="Times New Roman" w:cs="Times New Roman"/>
                <w:sz w:val="18"/>
                <w:szCs w:val="18"/>
              </w:rPr>
              <w:t>a relacionada ao item avaliado.</w:t>
            </w:r>
          </w:p>
        </w:tc>
      </w:tr>
      <w:tr w:rsidR="00F103BD" w:rsidRPr="00A04B57" w14:paraId="418A5C0D" w14:textId="77777777" w:rsidTr="003926FC">
        <w:trPr>
          <w:trHeight w:val="20"/>
          <w:jc w:val="center"/>
        </w:trPr>
        <w:tc>
          <w:tcPr>
            <w:tcW w:w="1729" w:type="dxa"/>
            <w:vAlign w:val="center"/>
          </w:tcPr>
          <w:p w14:paraId="2F42EDD5" w14:textId="77777777" w:rsidR="00F103BD" w:rsidRPr="00A04B57" w:rsidRDefault="00F103BD" w:rsidP="003926FC">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1 a 20%</w:t>
            </w:r>
          </w:p>
        </w:tc>
        <w:tc>
          <w:tcPr>
            <w:tcW w:w="1528" w:type="dxa"/>
            <w:vAlign w:val="center"/>
          </w:tcPr>
          <w:p w14:paraId="35AACEDC"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1 (Insuficiente)</w:t>
            </w:r>
          </w:p>
        </w:tc>
        <w:tc>
          <w:tcPr>
            <w:tcW w:w="5804" w:type="dxa"/>
          </w:tcPr>
          <w:p w14:paraId="4FE93B07" w14:textId="4708D090"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Há algum indício ou prática isolada, mas não estruturada, não f</w:t>
            </w:r>
            <w:r w:rsidR="00164417">
              <w:rPr>
                <w:rFonts w:ascii="Times New Roman" w:eastAsia="Arial" w:hAnsi="Times New Roman" w:cs="Times New Roman"/>
                <w:sz w:val="18"/>
                <w:szCs w:val="18"/>
              </w:rPr>
              <w:t>ormalizada ou sem continuidade.</w:t>
            </w:r>
          </w:p>
        </w:tc>
      </w:tr>
      <w:tr w:rsidR="00F103BD" w:rsidRPr="00A04B57" w14:paraId="743F90E0" w14:textId="77777777" w:rsidTr="003926FC">
        <w:trPr>
          <w:trHeight w:val="20"/>
          <w:jc w:val="center"/>
        </w:trPr>
        <w:tc>
          <w:tcPr>
            <w:tcW w:w="1729" w:type="dxa"/>
            <w:vAlign w:val="center"/>
          </w:tcPr>
          <w:p w14:paraId="73FA36C3" w14:textId="77777777" w:rsidR="00F103BD" w:rsidRPr="00A04B57" w:rsidRDefault="00F103BD" w:rsidP="003926FC">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21% a 40%</w:t>
            </w:r>
          </w:p>
        </w:tc>
        <w:tc>
          <w:tcPr>
            <w:tcW w:w="1528" w:type="dxa"/>
            <w:vAlign w:val="center"/>
          </w:tcPr>
          <w:p w14:paraId="6113C116"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2 (Inicial)</w:t>
            </w:r>
          </w:p>
        </w:tc>
        <w:tc>
          <w:tcPr>
            <w:tcW w:w="5804" w:type="dxa"/>
          </w:tcPr>
          <w:p w14:paraId="4DE358B6"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Estruturas ou práticas começaram a ser estabelecidas, mas estão incompletas ou em implementação inicial.</w:t>
            </w:r>
          </w:p>
          <w:p w14:paraId="73573956" w14:textId="74A68560"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para garantir eficiência e efetividade; alto risco de execução parcial.</w:t>
            </w:r>
          </w:p>
        </w:tc>
      </w:tr>
      <w:tr w:rsidR="00F103BD" w:rsidRPr="00A04B57" w14:paraId="74D94489" w14:textId="77777777" w:rsidTr="003926FC">
        <w:trPr>
          <w:trHeight w:val="20"/>
          <w:jc w:val="center"/>
        </w:trPr>
        <w:tc>
          <w:tcPr>
            <w:tcW w:w="1729" w:type="dxa"/>
            <w:vAlign w:val="center"/>
          </w:tcPr>
          <w:p w14:paraId="45A5CC4C" w14:textId="77777777" w:rsidR="00F103BD" w:rsidRPr="00A04B57" w:rsidRDefault="00F103BD" w:rsidP="003926FC">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41% a 60%</w:t>
            </w:r>
          </w:p>
        </w:tc>
        <w:tc>
          <w:tcPr>
            <w:tcW w:w="1528" w:type="dxa"/>
            <w:vAlign w:val="center"/>
          </w:tcPr>
          <w:p w14:paraId="049B613F"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3 (Intermediário)</w:t>
            </w:r>
          </w:p>
        </w:tc>
        <w:tc>
          <w:tcPr>
            <w:tcW w:w="5804" w:type="dxa"/>
          </w:tcPr>
          <w:p w14:paraId="1F9366BE" w14:textId="180243AB"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O eixo/dimensão apresenta estrutura funcional básica, com práticas recorrentes, mas ainda carece de consolidaçã</w:t>
            </w:r>
            <w:r w:rsidR="00164417">
              <w:rPr>
                <w:rFonts w:ascii="Times New Roman" w:eastAsia="Arial" w:hAnsi="Times New Roman" w:cs="Times New Roman"/>
                <w:sz w:val="18"/>
                <w:szCs w:val="18"/>
              </w:rPr>
              <w:t>o, integração ou alcance total.</w:t>
            </w:r>
          </w:p>
        </w:tc>
      </w:tr>
      <w:tr w:rsidR="00F103BD" w:rsidRPr="00A04B57" w14:paraId="4B24D7D5" w14:textId="77777777" w:rsidTr="003926FC">
        <w:trPr>
          <w:trHeight w:val="20"/>
          <w:jc w:val="center"/>
        </w:trPr>
        <w:tc>
          <w:tcPr>
            <w:tcW w:w="1729" w:type="dxa"/>
            <w:vAlign w:val="center"/>
          </w:tcPr>
          <w:p w14:paraId="4E2740D7" w14:textId="77777777" w:rsidR="00F103BD" w:rsidRPr="00A04B57" w:rsidRDefault="00F103BD" w:rsidP="003926FC">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61% a 80%</w:t>
            </w:r>
          </w:p>
        </w:tc>
        <w:tc>
          <w:tcPr>
            <w:tcW w:w="1528" w:type="dxa"/>
            <w:vAlign w:val="center"/>
          </w:tcPr>
          <w:p w14:paraId="52EF68B9"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4 (Avançado)</w:t>
            </w:r>
          </w:p>
        </w:tc>
        <w:tc>
          <w:tcPr>
            <w:tcW w:w="5804" w:type="dxa"/>
          </w:tcPr>
          <w:p w14:paraId="0303FD9B" w14:textId="0727E736"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Estruturas e práticas estão bem estabelecidas e integradas, com mecanismos de monito</w:t>
            </w:r>
            <w:r w:rsidR="00164417">
              <w:rPr>
                <w:rFonts w:ascii="Times New Roman" w:eastAsia="Arial" w:hAnsi="Times New Roman" w:cs="Times New Roman"/>
                <w:sz w:val="18"/>
                <w:szCs w:val="18"/>
              </w:rPr>
              <w:t>ramento e melhorias periódicas.</w:t>
            </w:r>
          </w:p>
        </w:tc>
      </w:tr>
      <w:tr w:rsidR="00F103BD" w:rsidRPr="00A04B57" w14:paraId="2590BB30" w14:textId="77777777" w:rsidTr="003926FC">
        <w:trPr>
          <w:trHeight w:val="20"/>
          <w:jc w:val="center"/>
        </w:trPr>
        <w:tc>
          <w:tcPr>
            <w:tcW w:w="1729" w:type="dxa"/>
            <w:vAlign w:val="center"/>
          </w:tcPr>
          <w:p w14:paraId="5F78ECE2" w14:textId="77777777" w:rsidR="00F103BD" w:rsidRPr="00A04B57" w:rsidRDefault="00F103BD" w:rsidP="003926FC">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81% a 100%</w:t>
            </w:r>
          </w:p>
        </w:tc>
        <w:tc>
          <w:tcPr>
            <w:tcW w:w="1528" w:type="dxa"/>
            <w:vAlign w:val="center"/>
          </w:tcPr>
          <w:p w14:paraId="3D24772A"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5 (Pleno)</w:t>
            </w:r>
          </w:p>
        </w:tc>
        <w:tc>
          <w:tcPr>
            <w:tcW w:w="5804" w:type="dxa"/>
          </w:tcPr>
          <w:p w14:paraId="653E640A" w14:textId="317D60AE"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O eixo/dimensão está totalmente consolidado, seguindo padrões de excelência, com resultados comprovados e alinhamento às melhores prá</w:t>
            </w:r>
            <w:r w:rsidR="00164417">
              <w:rPr>
                <w:rFonts w:ascii="Times New Roman" w:eastAsia="Arial" w:hAnsi="Times New Roman" w:cs="Times New Roman"/>
                <w:sz w:val="18"/>
                <w:szCs w:val="18"/>
              </w:rPr>
              <w:t>ticas nacionais/internacionais.</w:t>
            </w:r>
          </w:p>
        </w:tc>
      </w:tr>
    </w:tbl>
    <w:p w14:paraId="3C69D4F6" w14:textId="77777777" w:rsidR="00F103BD" w:rsidRPr="00A04B57" w:rsidRDefault="00F103BD" w:rsidP="00F103BD">
      <w:pPr>
        <w:rPr>
          <w:rFonts w:ascii="Times New Roman" w:eastAsia="Arial" w:hAnsi="Times New Roman" w:cs="Times New Roman"/>
          <w:sz w:val="20"/>
          <w:szCs w:val="20"/>
        </w:rPr>
      </w:pPr>
      <w:r w:rsidRPr="00A04B57">
        <w:rPr>
          <w:rFonts w:ascii="Times New Roman" w:eastAsia="Arial" w:hAnsi="Times New Roman" w:cs="Times New Roman"/>
          <w:sz w:val="20"/>
          <w:szCs w:val="20"/>
        </w:rPr>
        <w:t>Fonte: Elaboração própria.</w:t>
      </w:r>
    </w:p>
    <w:p w14:paraId="3CA72978" w14:textId="77777777" w:rsidR="00F103BD" w:rsidRDefault="00F103BD" w:rsidP="00F103BD">
      <w:pPr>
        <w:pBdr>
          <w:top w:val="nil"/>
          <w:left w:val="nil"/>
          <w:bottom w:val="nil"/>
          <w:right w:val="nil"/>
          <w:between w:val="nil"/>
        </w:pBdr>
        <w:spacing w:after="30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A utilidade prática dessa apuração é múltipla. Primeiro, permite identificar pontos fortes e fracos, localizando as dimensões críticas que requerem maior atenção dos gestores e órgãos de controle. Em segundo lugar, possibilita comparações internas, tanto dentro de um mesmo Fundo (entre eixos e dimensões) quanto entre diferentes Fundos, seja no mesmo exercício, seja em séries históricas. Por fim, fornece subsídios objetivos para a priorização de ações corretivas e de fortalecimento institucional, assegurando que os esforços de melhoria sejam direcionados às áreas mais vulneráveis.</w:t>
      </w:r>
      <w:bookmarkStart w:id="14" w:name="_heading=h.5z4fxfj4imao" w:colFirst="0" w:colLast="0"/>
      <w:bookmarkStart w:id="15" w:name="_heading=h.hwoyjhr0h4zr" w:colFirst="0" w:colLast="0"/>
      <w:bookmarkEnd w:id="14"/>
      <w:bookmarkEnd w:id="15"/>
    </w:p>
    <w:p w14:paraId="09E92078" w14:textId="3BDA316E" w:rsidR="00A04B57" w:rsidRPr="00A04B57" w:rsidRDefault="00A04B57" w:rsidP="00F103BD">
      <w:pPr>
        <w:pStyle w:val="Ttulo2"/>
      </w:pPr>
      <w:r w:rsidRPr="00A04B57">
        <w:lastRenderedPageBreak/>
        <w:t xml:space="preserve">Nível de Maturidade </w:t>
      </w:r>
    </w:p>
    <w:p w14:paraId="17D6C712" w14:textId="77777777" w:rsidR="00F103BD" w:rsidRPr="00F103BD" w:rsidRDefault="00F103BD"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F103BD">
        <w:rPr>
          <w:rFonts w:ascii="Times New Roman" w:eastAsia="Arial" w:hAnsi="Times New Roman" w:cs="Times New Roman"/>
          <w:color w:val="000000"/>
        </w:rPr>
        <w:t>O Nível de Maturidade do MoMMA representa a síntese do desempenho do Fundo, pois consolida em um único índice os resultados obtidos em todos os eixos e dimensões analisados. Enquanto o perfil do Fundo oferece uma leitura segmentada das áreas avaliadas, o nível de maturidade proporciona uma visão global da capacidade institucional, orçamentária e operacional. Trata-se, portanto, de um indicador estratégico que traduz a complexidade da governança em medida comparável e comunicável.</w:t>
      </w:r>
    </w:p>
    <w:p w14:paraId="7DB51153" w14:textId="62DCB2D2" w:rsidR="00F103BD" w:rsidRDefault="00F103BD"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F103BD">
        <w:rPr>
          <w:rFonts w:ascii="Times New Roman" w:eastAsia="Arial" w:hAnsi="Times New Roman" w:cs="Times New Roman"/>
          <w:color w:val="000000"/>
        </w:rPr>
        <w:t>O cálculo é realizado a partir da média dos percentuais alcançados em cada eixo, produzindo um resultado agregado que expressa o desempenho geral do Fundo. Esse índice é então enquadrado em faixas de referência que correspondem a estágios progressivos de desenvolvimento institucional, variando de inexistente até referência. Esses níveis permitem identificar desde situações de baixa institucionalização e fragilidade administrativa até contextos de governança consolidada, alinhados às boas práticas de transparência, planejamento e controle.</w:t>
      </w:r>
    </w:p>
    <w:p w14:paraId="47C4FCE1" w14:textId="6B260E5D" w:rsidR="00F103BD" w:rsidRDefault="00F103BD" w:rsidP="00F103BD">
      <w:pPr>
        <w:pBdr>
          <w:top w:val="nil"/>
          <w:left w:val="nil"/>
          <w:bottom w:val="nil"/>
          <w:right w:val="nil"/>
          <w:between w:val="nil"/>
        </w:pBdr>
        <w:spacing w:after="0" w:line="360" w:lineRule="auto"/>
        <w:jc w:val="both"/>
        <w:rPr>
          <w:rFonts w:ascii="Times New Roman" w:eastAsia="Arial" w:hAnsi="Times New Roman" w:cs="Times New Roman"/>
          <w:color w:val="000000"/>
        </w:rPr>
      </w:pPr>
    </w:p>
    <w:p w14:paraId="1E2E125A" w14:textId="2AA2323E" w:rsidR="00F103BD" w:rsidRPr="00A04B57" w:rsidRDefault="00F103BD" w:rsidP="00F103BD">
      <w:pPr>
        <w:keepNext/>
        <w:pBdr>
          <w:top w:val="nil"/>
          <w:left w:val="nil"/>
          <w:bottom w:val="nil"/>
          <w:right w:val="nil"/>
          <w:between w:val="nil"/>
        </w:pBdr>
        <w:spacing w:after="0" w:line="360" w:lineRule="auto"/>
        <w:rPr>
          <w:rFonts w:ascii="Times New Roman" w:eastAsia="Arial" w:hAnsi="Times New Roman" w:cs="Times New Roman"/>
          <w:color w:val="000000"/>
          <w:sz w:val="20"/>
          <w:szCs w:val="20"/>
        </w:rPr>
      </w:pPr>
      <w:r w:rsidRPr="00A04B57">
        <w:rPr>
          <w:rFonts w:ascii="Times New Roman" w:eastAsia="Arial" w:hAnsi="Times New Roman" w:cs="Times New Roman"/>
          <w:color w:val="000000"/>
          <w:sz w:val="20"/>
          <w:szCs w:val="20"/>
        </w:rPr>
        <w:t xml:space="preserve">Quadro </w:t>
      </w:r>
      <w:r w:rsidR="00E53A82">
        <w:rPr>
          <w:rFonts w:ascii="Times New Roman" w:eastAsia="Arial" w:hAnsi="Times New Roman" w:cs="Times New Roman"/>
          <w:color w:val="000000"/>
          <w:sz w:val="20"/>
          <w:szCs w:val="20"/>
        </w:rPr>
        <w:t>3</w:t>
      </w:r>
      <w:r w:rsidRPr="00A04B57">
        <w:rPr>
          <w:rFonts w:ascii="Times New Roman" w:eastAsia="Arial" w:hAnsi="Times New Roman" w:cs="Times New Roman"/>
          <w:color w:val="000000"/>
          <w:sz w:val="20"/>
          <w:szCs w:val="20"/>
        </w:rPr>
        <w:t xml:space="preserve"> – Níveis de Maturidade do Fundo de Combate à Pobreza</w:t>
      </w:r>
    </w:p>
    <w:tbl>
      <w:tblPr>
        <w:tblW w:w="86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1701"/>
        <w:gridCol w:w="5103"/>
      </w:tblGrid>
      <w:tr w:rsidR="00F103BD" w:rsidRPr="00A04B57" w14:paraId="55A4A3B6" w14:textId="77777777" w:rsidTr="003926FC">
        <w:trPr>
          <w:trHeight w:val="20"/>
        </w:trPr>
        <w:tc>
          <w:tcPr>
            <w:tcW w:w="1838" w:type="dxa"/>
            <w:vAlign w:val="center"/>
          </w:tcPr>
          <w:p w14:paraId="6882B633" w14:textId="77777777" w:rsidR="00F103BD" w:rsidRPr="00A04B57" w:rsidRDefault="00F103BD" w:rsidP="003926FC">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Enquadramento: Fundo</w:t>
            </w:r>
          </w:p>
        </w:tc>
        <w:tc>
          <w:tcPr>
            <w:tcW w:w="1701" w:type="dxa"/>
            <w:vAlign w:val="center"/>
          </w:tcPr>
          <w:p w14:paraId="7994A282" w14:textId="77777777" w:rsidR="00F103BD" w:rsidRPr="00A04B57" w:rsidRDefault="00F103BD" w:rsidP="003926FC">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Nível de Maturidade</w:t>
            </w:r>
          </w:p>
        </w:tc>
        <w:tc>
          <w:tcPr>
            <w:tcW w:w="5103" w:type="dxa"/>
            <w:vAlign w:val="center"/>
          </w:tcPr>
          <w:p w14:paraId="562B4937" w14:textId="77777777" w:rsidR="00F103BD" w:rsidRPr="00A04B57" w:rsidRDefault="00F103BD" w:rsidP="003926FC">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Descrição</w:t>
            </w:r>
          </w:p>
        </w:tc>
      </w:tr>
      <w:tr w:rsidR="00F103BD" w:rsidRPr="00A04B57" w14:paraId="5BDE3A17" w14:textId="77777777" w:rsidTr="003926FC">
        <w:trPr>
          <w:trHeight w:val="20"/>
        </w:trPr>
        <w:tc>
          <w:tcPr>
            <w:tcW w:w="1838" w:type="dxa"/>
            <w:vAlign w:val="center"/>
          </w:tcPr>
          <w:p w14:paraId="28296A11" w14:textId="77777777" w:rsidR="00F103BD" w:rsidRPr="00A04B57" w:rsidRDefault="00F103BD" w:rsidP="003926FC">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0</w:t>
            </w:r>
          </w:p>
        </w:tc>
        <w:tc>
          <w:tcPr>
            <w:tcW w:w="1701" w:type="dxa"/>
            <w:vAlign w:val="center"/>
          </w:tcPr>
          <w:p w14:paraId="57D6C5B2"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0 (Inexistente)</w:t>
            </w:r>
          </w:p>
        </w:tc>
        <w:tc>
          <w:tcPr>
            <w:tcW w:w="5103" w:type="dxa"/>
          </w:tcPr>
          <w:p w14:paraId="656B2E5B"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O Fundo não existe.</w:t>
            </w:r>
          </w:p>
        </w:tc>
      </w:tr>
      <w:tr w:rsidR="00F103BD" w:rsidRPr="00A04B57" w14:paraId="634A09C4" w14:textId="77777777" w:rsidTr="003926FC">
        <w:trPr>
          <w:trHeight w:val="20"/>
        </w:trPr>
        <w:tc>
          <w:tcPr>
            <w:tcW w:w="1838" w:type="dxa"/>
            <w:vAlign w:val="center"/>
          </w:tcPr>
          <w:p w14:paraId="776766CF" w14:textId="77777777" w:rsidR="00F103BD" w:rsidRPr="00A04B57" w:rsidRDefault="00F103BD" w:rsidP="003926FC">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1 a 20%</w:t>
            </w:r>
          </w:p>
        </w:tc>
        <w:tc>
          <w:tcPr>
            <w:tcW w:w="1701" w:type="dxa"/>
            <w:vAlign w:val="center"/>
          </w:tcPr>
          <w:p w14:paraId="54E006F6"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1 (Crítico)</w:t>
            </w:r>
          </w:p>
        </w:tc>
        <w:tc>
          <w:tcPr>
            <w:tcW w:w="5103" w:type="dxa"/>
          </w:tcPr>
          <w:p w14:paraId="3177FDA2"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Representa o estágio mais incipiente de institucionalização e operacionalização do Fundo, evidenciando baixa capacidade administrativa e financeira para cumprir sua finalidade legal.</w:t>
            </w:r>
          </w:p>
        </w:tc>
      </w:tr>
      <w:tr w:rsidR="00F103BD" w:rsidRPr="00A04B57" w14:paraId="26ED4693" w14:textId="77777777" w:rsidTr="003926FC">
        <w:trPr>
          <w:trHeight w:val="20"/>
        </w:trPr>
        <w:tc>
          <w:tcPr>
            <w:tcW w:w="1838" w:type="dxa"/>
            <w:vAlign w:val="center"/>
          </w:tcPr>
          <w:p w14:paraId="2A657CD8" w14:textId="77777777" w:rsidR="00F103BD" w:rsidRPr="00A04B57" w:rsidRDefault="00F103BD" w:rsidP="003926FC">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21% a 40%</w:t>
            </w:r>
          </w:p>
        </w:tc>
        <w:tc>
          <w:tcPr>
            <w:tcW w:w="1701" w:type="dxa"/>
            <w:vAlign w:val="center"/>
          </w:tcPr>
          <w:p w14:paraId="12733FBE"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2 (Baixa Maturidade)</w:t>
            </w:r>
          </w:p>
        </w:tc>
        <w:tc>
          <w:tcPr>
            <w:tcW w:w="5103" w:type="dxa"/>
          </w:tcPr>
          <w:p w14:paraId="6A610442"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Estágio em que o Fundo possui elementos iniciais de estruturação, mas estes não são suficientes para garantir eficiência, eficácia e efetividade na aplicação dos recursos.</w:t>
            </w:r>
          </w:p>
        </w:tc>
      </w:tr>
      <w:tr w:rsidR="00F103BD" w:rsidRPr="00A04B57" w14:paraId="3DB3DA48" w14:textId="77777777" w:rsidTr="003926FC">
        <w:trPr>
          <w:trHeight w:val="20"/>
        </w:trPr>
        <w:tc>
          <w:tcPr>
            <w:tcW w:w="1838" w:type="dxa"/>
            <w:vAlign w:val="center"/>
          </w:tcPr>
          <w:p w14:paraId="77B92CC5" w14:textId="77777777" w:rsidR="00F103BD" w:rsidRPr="00A04B57" w:rsidRDefault="00F103BD" w:rsidP="003926FC">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41% a 60%</w:t>
            </w:r>
          </w:p>
        </w:tc>
        <w:tc>
          <w:tcPr>
            <w:tcW w:w="1701" w:type="dxa"/>
            <w:vAlign w:val="center"/>
          </w:tcPr>
          <w:p w14:paraId="15F78AB0"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3 (Maturidade Intermediária)</w:t>
            </w:r>
          </w:p>
        </w:tc>
        <w:tc>
          <w:tcPr>
            <w:tcW w:w="5103" w:type="dxa"/>
          </w:tcPr>
          <w:p w14:paraId="549044FF"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Estágio em que o Fundo demonstra capacidade operacional moderada, com processos parcialmente estruturados e aderentes à legislação, mas ainda com lacunas relevantes.</w:t>
            </w:r>
          </w:p>
        </w:tc>
      </w:tr>
      <w:tr w:rsidR="00F103BD" w:rsidRPr="00A04B57" w14:paraId="19399CAE" w14:textId="77777777" w:rsidTr="003926FC">
        <w:trPr>
          <w:trHeight w:val="20"/>
        </w:trPr>
        <w:tc>
          <w:tcPr>
            <w:tcW w:w="1838" w:type="dxa"/>
            <w:vAlign w:val="center"/>
          </w:tcPr>
          <w:p w14:paraId="37C9C85C" w14:textId="77777777" w:rsidR="00F103BD" w:rsidRPr="00A04B57" w:rsidRDefault="00F103BD" w:rsidP="003926FC">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61% a 80%</w:t>
            </w:r>
          </w:p>
        </w:tc>
        <w:tc>
          <w:tcPr>
            <w:tcW w:w="1701" w:type="dxa"/>
            <w:vAlign w:val="center"/>
          </w:tcPr>
          <w:p w14:paraId="531840D8"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4 (Boa Maturidade)</w:t>
            </w:r>
          </w:p>
        </w:tc>
        <w:tc>
          <w:tcPr>
            <w:tcW w:w="5103" w:type="dxa"/>
          </w:tcPr>
          <w:p w14:paraId="647C8CFC"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Estágio avançado de governança, em que o Fundo apresenta capacidade consolidada para gerir recursos com eficiência, alinhando-se às boas práticas de transparência e participação social.</w:t>
            </w:r>
          </w:p>
        </w:tc>
      </w:tr>
      <w:tr w:rsidR="00F103BD" w:rsidRPr="00A04B57" w14:paraId="2FE37C65" w14:textId="77777777" w:rsidTr="003926FC">
        <w:trPr>
          <w:trHeight w:val="20"/>
        </w:trPr>
        <w:tc>
          <w:tcPr>
            <w:tcW w:w="1838" w:type="dxa"/>
            <w:vAlign w:val="center"/>
          </w:tcPr>
          <w:p w14:paraId="523C7FB9" w14:textId="77777777" w:rsidR="00F103BD" w:rsidRPr="00A04B57" w:rsidRDefault="00F103BD" w:rsidP="003926FC">
            <w:pPr>
              <w:spacing w:after="0" w:line="240" w:lineRule="auto"/>
              <w:jc w:val="center"/>
              <w:rPr>
                <w:rFonts w:ascii="Times New Roman" w:eastAsia="Arial" w:hAnsi="Times New Roman" w:cs="Times New Roman"/>
                <w:sz w:val="18"/>
                <w:szCs w:val="18"/>
              </w:rPr>
            </w:pPr>
            <w:r w:rsidRPr="00A04B57">
              <w:rPr>
                <w:rFonts w:ascii="Times New Roman" w:eastAsia="Arial" w:hAnsi="Times New Roman" w:cs="Times New Roman"/>
                <w:sz w:val="18"/>
                <w:szCs w:val="18"/>
              </w:rPr>
              <w:t>81% a 100%</w:t>
            </w:r>
          </w:p>
        </w:tc>
        <w:tc>
          <w:tcPr>
            <w:tcW w:w="1701" w:type="dxa"/>
            <w:vAlign w:val="center"/>
          </w:tcPr>
          <w:p w14:paraId="75FCC51B"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5 (Referência)</w:t>
            </w:r>
          </w:p>
        </w:tc>
        <w:tc>
          <w:tcPr>
            <w:tcW w:w="5103" w:type="dxa"/>
          </w:tcPr>
          <w:p w14:paraId="7D228209" w14:textId="77777777" w:rsidR="00F103BD" w:rsidRPr="00A04B57" w:rsidRDefault="00F103BD" w:rsidP="003926FC">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 xml:space="preserve">Estágio de excelência, no qual o Fundo se configura como modelo replicável, alinhado às normas legais, princípios de boa governança e padrões internacionais de transparência e </w:t>
            </w:r>
            <w:r w:rsidRPr="00A04B57">
              <w:rPr>
                <w:rFonts w:ascii="Times New Roman" w:eastAsia="Arial" w:hAnsi="Times New Roman" w:cs="Times New Roman"/>
                <w:i/>
                <w:sz w:val="18"/>
                <w:szCs w:val="18"/>
              </w:rPr>
              <w:t>accountability</w:t>
            </w:r>
            <w:r w:rsidRPr="00A04B57">
              <w:rPr>
                <w:rFonts w:ascii="Times New Roman" w:eastAsia="Arial" w:hAnsi="Times New Roman" w:cs="Times New Roman"/>
                <w:sz w:val="18"/>
                <w:szCs w:val="18"/>
              </w:rPr>
              <w:t>.</w:t>
            </w:r>
          </w:p>
        </w:tc>
      </w:tr>
    </w:tbl>
    <w:p w14:paraId="45280289" w14:textId="77777777" w:rsidR="00F103BD" w:rsidRPr="00A04B57" w:rsidRDefault="00F103BD" w:rsidP="00F103BD">
      <w:pPr>
        <w:rPr>
          <w:rFonts w:ascii="Times New Roman" w:eastAsia="Arial" w:hAnsi="Times New Roman" w:cs="Times New Roman"/>
          <w:sz w:val="20"/>
          <w:szCs w:val="20"/>
        </w:rPr>
      </w:pPr>
      <w:r w:rsidRPr="00A04B57">
        <w:rPr>
          <w:rFonts w:ascii="Times New Roman" w:eastAsia="Arial" w:hAnsi="Times New Roman" w:cs="Times New Roman"/>
          <w:sz w:val="20"/>
          <w:szCs w:val="20"/>
        </w:rPr>
        <w:t>Fonte: Elaboração própria.</w:t>
      </w:r>
    </w:p>
    <w:p w14:paraId="56DE9609" w14:textId="77777777" w:rsidR="00F103BD" w:rsidRPr="00A04B57" w:rsidRDefault="00F103BD"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Um exemplo concreto ilustra esse raciocínio. Em determinado caso, um Fundo apresentou desempenho de 54% no eixo arrecadatório, 18% no eixo de planejamento e 47% no eixo de execução. Embora tivesse um arcabouço legal razoável e algum nível de execução, a fragilidade extrema do planejamento comprometeu a avaliação global. A média dos percentuais resultou em 40%, enquadrando o Fundo na faixa de Baixa Maturidade. A conclusão foi clara: apesar de existir formalmente e apresentar práticas pontuais, o Fundo não possui integração </w:t>
      </w:r>
      <w:r w:rsidRPr="00A04B57">
        <w:rPr>
          <w:rFonts w:ascii="Times New Roman" w:eastAsia="Arial" w:hAnsi="Times New Roman" w:cs="Times New Roman"/>
          <w:color w:val="000000"/>
        </w:rPr>
        <w:lastRenderedPageBreak/>
        <w:t>suficiente entre arrecadação, planejamento e execução capaz de assegurar continuidade e efetividade para as suas ações.</w:t>
      </w:r>
    </w:p>
    <w:p w14:paraId="3386A165" w14:textId="2DC469D3" w:rsidR="00F103BD" w:rsidRDefault="00F103BD"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Assim, o nível de maturidade não deve ser lido apenas como um número, mas como a tradução integrada da capacidade institucional. Ele revela o quanto a governança está consolidada e até que ponto a estrutura existente é capaz de gerar resultados consistentes. Em contrapartida, o perfil do Fundo permanece indispensável para localizar problemas específicos, enquanto o nível de maturidade ilumina o estado global do arranjo jurídico-institucional, permitindo comparações longitudinais e horizontais, orientando estratégias de fortalecimento.</w:t>
      </w:r>
      <w:bookmarkStart w:id="16" w:name="_heading=h.izlp6id9yp0d" w:colFirst="0" w:colLast="0"/>
      <w:bookmarkEnd w:id="16"/>
    </w:p>
    <w:p w14:paraId="631C95EC" w14:textId="77777777" w:rsidR="00BC3AC4" w:rsidRDefault="00BC3AC4"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p>
    <w:p w14:paraId="7C929326" w14:textId="3DC52345" w:rsidR="00A04B57" w:rsidRPr="00A04B57" w:rsidRDefault="00A04B57" w:rsidP="00F103BD">
      <w:pPr>
        <w:pStyle w:val="Ttulo2"/>
      </w:pPr>
      <w:r w:rsidRPr="00A04B57">
        <w:t>Mapa de Criticidade e Avaliação dos Riscos (MCAR)</w:t>
      </w:r>
    </w:p>
    <w:p w14:paraId="0B645EDF" w14:textId="03586783" w:rsidR="00F103BD" w:rsidRPr="00F103BD" w:rsidRDefault="00F103BD"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F103BD">
        <w:rPr>
          <w:rFonts w:ascii="Times New Roman" w:eastAsia="Arial" w:hAnsi="Times New Roman" w:cs="Times New Roman"/>
          <w:color w:val="000000"/>
        </w:rPr>
        <w:t>A avaliação de riscos constitui componente transversal do MoMMA, articulada aos resultados do Protocolo de Verificação, ao perfil do Fundo e ao cálculo do nível de maturidade. Cada item é classificado segundo graus de criticidade, o que permite hierarquizar falhas e estimar seu impacto sobre a governança dos Fundos de Combate à Pobreza.</w:t>
      </w:r>
    </w:p>
    <w:p w14:paraId="0345A188" w14:textId="77777777" w:rsidR="00F103BD" w:rsidRPr="00F103BD" w:rsidRDefault="00F103BD"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F103BD">
        <w:rPr>
          <w:rFonts w:ascii="Times New Roman" w:eastAsia="Arial" w:hAnsi="Times New Roman" w:cs="Times New Roman"/>
          <w:color w:val="000000"/>
        </w:rPr>
        <w:t>Essa classificação funciona como instrumento de priorização, distinguindo fragilidades estruturais, capazes de comprometer o funcionamento do Fundo, de falhas secundárias relacionadas a boas práticas. Com isso, gestores, conselhos e órgãos de controle podem concentrar esforços nos aspectos mais relevantes, evitando dispersão de recursos em problemas periféricos.</w:t>
      </w:r>
    </w:p>
    <w:p w14:paraId="766BAB84" w14:textId="1BCDE51B" w:rsidR="00F103BD" w:rsidRPr="00F103BD" w:rsidRDefault="00F103BD"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F103BD">
        <w:rPr>
          <w:rFonts w:ascii="Times New Roman" w:eastAsia="Arial" w:hAnsi="Times New Roman" w:cs="Times New Roman"/>
          <w:color w:val="000000"/>
        </w:rPr>
        <w:t>O Mapa de Criticidade e Avaliação dos Riscos</w:t>
      </w:r>
      <w:r w:rsidR="00BC3AC4">
        <w:rPr>
          <w:rStyle w:val="Refdenotaderodap"/>
          <w:rFonts w:ascii="Times New Roman" w:eastAsia="Arial" w:hAnsi="Times New Roman" w:cs="Times New Roman"/>
          <w:color w:val="000000"/>
        </w:rPr>
        <w:footnoteReference w:id="4"/>
      </w:r>
      <w:r w:rsidRPr="00F103BD">
        <w:rPr>
          <w:rFonts w:ascii="Times New Roman" w:eastAsia="Arial" w:hAnsi="Times New Roman" w:cs="Times New Roman"/>
          <w:color w:val="000000"/>
        </w:rPr>
        <w:t xml:space="preserve"> sintetiza essas informações e facilita sua compreensão por diferentes atores institucionais e pela sociedade. Ao evidenciar os principais gargalos, transforma diagnósticos técnicos em agenda de prioridades para o planejamento e para ações corretivas.</w:t>
      </w:r>
    </w:p>
    <w:p w14:paraId="5F7F6658" w14:textId="77777777" w:rsidR="00F103BD" w:rsidRPr="00F103BD" w:rsidRDefault="00F103BD" w:rsidP="00F103BD">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F103BD">
        <w:rPr>
          <w:rFonts w:ascii="Times New Roman" w:eastAsia="Arial" w:hAnsi="Times New Roman" w:cs="Times New Roman"/>
          <w:color w:val="000000"/>
        </w:rPr>
        <w:t>A avaliação de riscos também projeta as consequências das fragilidades identificadas, orientando medidas preventivas e de contingência. No âmbito do MoMMA, risco corresponde à probabilidade de eventos que comprometam a conformidade, a governança, a efetividade e a sustentabilidade fiscal do Fundo. O processo segue lógica contínua que envolve conhecer, prevenir, reduzir, responder e corrigir.</w:t>
      </w:r>
    </w:p>
    <w:p w14:paraId="0F39CFFA" w14:textId="77777777" w:rsidR="00F103BD" w:rsidRPr="00A04B57" w:rsidRDefault="00F103BD" w:rsidP="00F103BD">
      <w:pPr>
        <w:keepNext/>
        <w:pBdr>
          <w:top w:val="nil"/>
          <w:left w:val="nil"/>
          <w:bottom w:val="nil"/>
          <w:right w:val="nil"/>
          <w:between w:val="nil"/>
        </w:pBdr>
        <w:spacing w:after="0" w:line="360" w:lineRule="auto"/>
        <w:jc w:val="center"/>
        <w:rPr>
          <w:rFonts w:ascii="Times New Roman" w:eastAsia="Arial" w:hAnsi="Times New Roman" w:cs="Times New Roman"/>
          <w:color w:val="000000"/>
          <w:sz w:val="20"/>
          <w:szCs w:val="20"/>
        </w:rPr>
      </w:pPr>
      <w:r w:rsidRPr="00A04B57">
        <w:rPr>
          <w:rFonts w:ascii="Times New Roman" w:eastAsia="Arial" w:hAnsi="Times New Roman" w:cs="Times New Roman"/>
          <w:color w:val="000000"/>
          <w:sz w:val="20"/>
          <w:szCs w:val="20"/>
        </w:rPr>
        <w:lastRenderedPageBreak/>
        <w:t>Figura 1 – Lógica cíclica e contínua de Avaliação dos Riscos dos Fundos de Combate à Pobreza</w:t>
      </w:r>
    </w:p>
    <w:p w14:paraId="37EC6E88" w14:textId="77777777" w:rsidR="00F103BD" w:rsidRPr="00A04B57" w:rsidRDefault="00F103BD" w:rsidP="00F103BD">
      <w:pPr>
        <w:spacing w:line="240" w:lineRule="auto"/>
        <w:jc w:val="center"/>
        <w:rPr>
          <w:rFonts w:ascii="Times New Roman" w:hAnsi="Times New Roman" w:cs="Times New Roman"/>
        </w:rPr>
      </w:pPr>
      <w:r w:rsidRPr="00A04B57">
        <w:rPr>
          <w:rFonts w:ascii="Times New Roman" w:hAnsi="Times New Roman" w:cs="Times New Roman"/>
          <w:noProof/>
        </w:rPr>
        <w:drawing>
          <wp:inline distT="0" distB="0" distL="0" distR="0" wp14:anchorId="02E27CBA" wp14:editId="45D78C9D">
            <wp:extent cx="4421875" cy="4326341"/>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4429830" cy="4334124"/>
                    </a:xfrm>
                    <a:prstGeom prst="rect">
                      <a:avLst/>
                    </a:prstGeom>
                    <a:ln/>
                  </pic:spPr>
                </pic:pic>
              </a:graphicData>
            </a:graphic>
          </wp:inline>
        </w:drawing>
      </w:r>
    </w:p>
    <w:p w14:paraId="0459208A" w14:textId="77777777" w:rsidR="00F103BD" w:rsidRPr="00A04B57" w:rsidRDefault="00F103BD" w:rsidP="00F103BD">
      <w:pPr>
        <w:pBdr>
          <w:top w:val="nil"/>
          <w:left w:val="nil"/>
          <w:bottom w:val="nil"/>
          <w:right w:val="nil"/>
          <w:between w:val="nil"/>
        </w:pBdr>
        <w:spacing w:after="0" w:line="240" w:lineRule="auto"/>
        <w:jc w:val="center"/>
        <w:rPr>
          <w:rFonts w:ascii="Times New Roman" w:eastAsia="Arial" w:hAnsi="Times New Roman" w:cs="Times New Roman"/>
          <w:color w:val="000000"/>
          <w:sz w:val="20"/>
          <w:szCs w:val="20"/>
        </w:rPr>
      </w:pPr>
      <w:r w:rsidRPr="00A04B57">
        <w:rPr>
          <w:rFonts w:ascii="Times New Roman" w:eastAsia="Arial" w:hAnsi="Times New Roman" w:cs="Times New Roman"/>
          <w:color w:val="000000"/>
          <w:sz w:val="20"/>
          <w:szCs w:val="20"/>
        </w:rPr>
        <w:t>Fonte: Elaboração própria.</w:t>
      </w:r>
    </w:p>
    <w:p w14:paraId="6CC0F744" w14:textId="750D4BE2" w:rsidR="00A04B57" w:rsidRPr="00A04B57" w:rsidRDefault="00F103BD"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Pr>
          <w:rFonts w:ascii="Times New Roman" w:eastAsia="Arial" w:hAnsi="Times New Roman" w:cs="Times New Roman"/>
          <w:color w:val="000000"/>
        </w:rPr>
        <w:t>Essa abordagem se desdobra</w:t>
      </w:r>
      <w:r w:rsidR="00A04B57" w:rsidRPr="00A04B57">
        <w:rPr>
          <w:rFonts w:ascii="Times New Roman" w:eastAsia="Arial" w:hAnsi="Times New Roman" w:cs="Times New Roman"/>
          <w:color w:val="000000"/>
        </w:rPr>
        <w:t>, então, por eixo, dimensão e indicador (IC/IR), com base nas pontuações observadas, com o objetivo de:</w:t>
      </w:r>
    </w:p>
    <w:p w14:paraId="41DAEF6D" w14:textId="77777777" w:rsidR="00A04B57" w:rsidRPr="00A04B57" w:rsidRDefault="00A04B57" w:rsidP="0032733E">
      <w:pPr>
        <w:numPr>
          <w:ilvl w:val="0"/>
          <w:numId w:val="41"/>
        </w:numPr>
        <w:pBdr>
          <w:top w:val="nil"/>
          <w:left w:val="nil"/>
          <w:bottom w:val="nil"/>
          <w:right w:val="nil"/>
          <w:between w:val="nil"/>
        </w:pBdr>
        <w:spacing w:after="0" w:line="360" w:lineRule="auto"/>
        <w:ind w:left="709"/>
        <w:jc w:val="both"/>
        <w:rPr>
          <w:rFonts w:ascii="Times New Roman" w:hAnsi="Times New Roman" w:cs="Times New Roman"/>
        </w:rPr>
      </w:pPr>
      <w:r w:rsidRPr="00A04B57">
        <w:rPr>
          <w:rFonts w:ascii="Times New Roman" w:eastAsia="Arial" w:hAnsi="Times New Roman" w:cs="Times New Roman"/>
          <w:color w:val="000000"/>
        </w:rPr>
        <w:t>Responsabilidade Arrecadatória: conhecer os riscos de arrecadação e prevenir desvios nas fontes de receita.</w:t>
      </w:r>
    </w:p>
    <w:p w14:paraId="07200F07" w14:textId="77777777" w:rsidR="00A04B57" w:rsidRPr="00A04B57" w:rsidRDefault="00A04B57" w:rsidP="0032733E">
      <w:pPr>
        <w:numPr>
          <w:ilvl w:val="0"/>
          <w:numId w:val="41"/>
        </w:numPr>
        <w:pBdr>
          <w:top w:val="nil"/>
          <w:left w:val="nil"/>
          <w:bottom w:val="nil"/>
          <w:right w:val="nil"/>
          <w:between w:val="nil"/>
        </w:pBdr>
        <w:spacing w:after="0" w:line="360" w:lineRule="auto"/>
        <w:ind w:left="709"/>
        <w:jc w:val="both"/>
        <w:rPr>
          <w:rFonts w:ascii="Times New Roman" w:hAnsi="Times New Roman" w:cs="Times New Roman"/>
        </w:rPr>
      </w:pPr>
      <w:r w:rsidRPr="00A04B57">
        <w:rPr>
          <w:rFonts w:ascii="Times New Roman" w:eastAsia="Arial" w:hAnsi="Times New Roman" w:cs="Times New Roman"/>
          <w:color w:val="000000"/>
        </w:rPr>
        <w:t>Planejamento Orçamentário: reduzir fragilidades de governança, respondendo à ausência de planos, conselhos ou falhas alocativas.</w:t>
      </w:r>
    </w:p>
    <w:p w14:paraId="73ED3EA1" w14:textId="77777777" w:rsidR="00A04B57" w:rsidRPr="00A04B57" w:rsidRDefault="00A04B57" w:rsidP="0032733E">
      <w:pPr>
        <w:numPr>
          <w:ilvl w:val="0"/>
          <w:numId w:val="41"/>
        </w:numPr>
        <w:pBdr>
          <w:top w:val="nil"/>
          <w:left w:val="nil"/>
          <w:bottom w:val="nil"/>
          <w:right w:val="nil"/>
          <w:between w:val="nil"/>
        </w:pBdr>
        <w:spacing w:after="0" w:line="360" w:lineRule="auto"/>
        <w:ind w:left="709"/>
        <w:jc w:val="both"/>
        <w:rPr>
          <w:rFonts w:ascii="Times New Roman" w:hAnsi="Times New Roman" w:cs="Times New Roman"/>
        </w:rPr>
      </w:pPr>
      <w:r w:rsidRPr="00A04B57">
        <w:rPr>
          <w:rFonts w:ascii="Times New Roman" w:eastAsia="Arial" w:hAnsi="Times New Roman" w:cs="Times New Roman"/>
          <w:color w:val="000000"/>
        </w:rPr>
        <w:t>Execução Orçamentária e Financeira: corrigir falhas de execução, avaliar o comportamento dos Restos a Pagar, monitorar os impactos sociais alcançados a partir dos gastos e retroalimentar o planejamento.</w:t>
      </w:r>
    </w:p>
    <w:p w14:paraId="1EF5BA9C" w14:textId="77777777" w:rsidR="0034203F"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Para o Coso ERM: </w:t>
      </w:r>
      <w:r w:rsidRPr="00A04B57">
        <w:rPr>
          <w:rFonts w:ascii="Times New Roman" w:eastAsia="Arial" w:hAnsi="Times New Roman" w:cs="Times New Roman"/>
          <w:i/>
          <w:color w:val="000000"/>
        </w:rPr>
        <w:t>Enterprise Risk Management: Integrating with Strategy and Performance</w:t>
      </w:r>
      <w:r w:rsidRPr="00A04B57">
        <w:rPr>
          <w:rFonts w:ascii="Times New Roman" w:eastAsia="Arial" w:hAnsi="Times New Roman" w:cs="Times New Roman"/>
          <w:color w:val="000000"/>
        </w:rPr>
        <w:t xml:space="preserve"> (2017)</w:t>
      </w:r>
      <w:r w:rsidRPr="00A04B57">
        <w:rPr>
          <w:rFonts w:ascii="Times New Roman" w:eastAsia="Arial" w:hAnsi="Times New Roman" w:cs="Times New Roman"/>
          <w:color w:val="000000"/>
          <w:vertAlign w:val="superscript"/>
        </w:rPr>
        <w:footnoteReference w:id="5"/>
      </w:r>
      <w:r w:rsidRPr="00A04B57">
        <w:rPr>
          <w:rFonts w:ascii="Times New Roman" w:eastAsia="Arial" w:hAnsi="Times New Roman" w:cs="Times New Roman"/>
          <w:color w:val="000000"/>
        </w:rPr>
        <w:t xml:space="preserve">, a gestão de riscos deve ser integrada à governança organizacional, alinhando objetivos estratégicos, operacionais e de conformidade, a partir do apetite e tolerância </w:t>
      </w:r>
      <w:r w:rsidRPr="00A04B57">
        <w:rPr>
          <w:rFonts w:ascii="Times New Roman" w:eastAsia="Arial" w:hAnsi="Times New Roman" w:cs="Times New Roman"/>
          <w:color w:val="000000"/>
        </w:rPr>
        <w:lastRenderedPageBreak/>
        <w:t>aos riscos. Em paralelo, a ABNT NBR ISO 31000 (2018)</w:t>
      </w:r>
      <w:r w:rsidRPr="00A04B57">
        <w:rPr>
          <w:rFonts w:ascii="Times New Roman" w:eastAsia="Arial" w:hAnsi="Times New Roman" w:cs="Times New Roman"/>
          <w:color w:val="000000"/>
          <w:vertAlign w:val="superscript"/>
        </w:rPr>
        <w:footnoteReference w:id="6"/>
      </w:r>
      <w:r w:rsidRPr="00A04B57">
        <w:rPr>
          <w:rFonts w:ascii="Times New Roman" w:eastAsia="Arial" w:hAnsi="Times New Roman" w:cs="Times New Roman"/>
          <w:color w:val="000000"/>
        </w:rPr>
        <w:t xml:space="preserve">, elaborada pela Comissão de Estudo Especial de Gestão de Riscos (ABNT/CEE-63),  define risco como o “efeito da incerteza sobre os objetivos” e destaca a necessidade de identificação, avaliação e tratamento sistemático dos seus efeitos potenciais. </w:t>
      </w:r>
    </w:p>
    <w:p w14:paraId="18D11F26" w14:textId="4AC6A010" w:rsidR="00BC3AC4" w:rsidRDefault="00A04B57" w:rsidP="00BC3AC4">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Da mesma forma, o Tribunal de Contas da União, em seus referenciais de governança (2020)</w:t>
      </w:r>
      <w:r w:rsidRPr="00A04B57">
        <w:rPr>
          <w:rFonts w:ascii="Times New Roman" w:eastAsia="Arial" w:hAnsi="Times New Roman" w:cs="Times New Roman"/>
          <w:color w:val="000000"/>
          <w:vertAlign w:val="superscript"/>
        </w:rPr>
        <w:footnoteReference w:id="7"/>
      </w:r>
      <w:r w:rsidRPr="00A04B57">
        <w:rPr>
          <w:rFonts w:ascii="Times New Roman" w:eastAsia="Arial" w:hAnsi="Times New Roman" w:cs="Times New Roman"/>
          <w:color w:val="000000"/>
        </w:rPr>
        <w:t xml:space="preserve">, enfatizou a importância de que a gestão de riscos esteja vinculada à entrega de valor público, assegurando que recursos sejam aplicados com eficiência, eficácia e efetividade. Nessa perspectiva, o MoMMA dialoga com essas diretrizes ao vincular os riscos à capacidade do Fundo de reduzir desigualdades e financiar políticas sociais estruturantes, conectando gestão financeira aos resultados e riscos sociais. </w:t>
      </w:r>
      <w:bookmarkStart w:id="17" w:name="_heading=h.w13wouiwfcda" w:colFirst="0" w:colLast="0"/>
      <w:bookmarkEnd w:id="17"/>
    </w:p>
    <w:p w14:paraId="40F76D10" w14:textId="77777777" w:rsidR="00BC3AC4" w:rsidRDefault="00BC3AC4" w:rsidP="00BC3AC4">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p>
    <w:p w14:paraId="7FCE5120" w14:textId="67CF5A89" w:rsidR="00A04B57" w:rsidRPr="00A04B57" w:rsidRDefault="00A04B57" w:rsidP="00BC3AC4">
      <w:pPr>
        <w:pStyle w:val="Ttulo3"/>
      </w:pPr>
      <w:r w:rsidRPr="00A04B57">
        <w:t>Inventário de Riscos</w:t>
      </w:r>
    </w:p>
    <w:p w14:paraId="290B2C2B"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A lógica do inventário de riscos no MoMMA parte de uma premissa epistemológica simples e potente: transformar evidências padronizadas em trajetórias de decisão. Assim, o Protocolo de Verificação cumpre o papel de “gramática comum” (com eixos, dimensões, itens e pesos), a partir da qual o risco deixa de ser uma intuição do avaliador e passa a ser um constructo verificável, comparável e comunicável. </w:t>
      </w:r>
    </w:p>
    <w:p w14:paraId="2CAA24B2"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Em termos analíticos, o risco emerge quando um requisito “Essencial” (peso 3) ou “Estratégico” (peso 2) não é atendido (se IC) ou apresenta desempenho aquém do patamar de referência (se IR). Logo, ao conferir centralidade aos fundamentos de existência, governança e efetividade do Fundo, tal definição reflete o que deveria ser prioridade institucional. Por essa razão, do ponto de vista metodológico, o inventário de riscos opera como um mecanismo de tradução entre três camadas: </w:t>
      </w:r>
    </w:p>
    <w:p w14:paraId="164E878D" w14:textId="77777777" w:rsidR="00A04B57" w:rsidRPr="00A04B57" w:rsidRDefault="00A04B57" w:rsidP="0032733E">
      <w:pPr>
        <w:numPr>
          <w:ilvl w:val="0"/>
          <w:numId w:val="44"/>
        </w:numPr>
        <w:pBdr>
          <w:top w:val="nil"/>
          <w:left w:val="nil"/>
          <w:bottom w:val="nil"/>
          <w:right w:val="nil"/>
          <w:between w:val="nil"/>
        </w:pBdr>
        <w:spacing w:after="0" w:line="360" w:lineRule="auto"/>
        <w:ind w:left="709"/>
        <w:jc w:val="both"/>
        <w:rPr>
          <w:rFonts w:ascii="Times New Roman" w:hAnsi="Times New Roman" w:cs="Times New Roman"/>
        </w:rPr>
      </w:pPr>
      <w:r w:rsidRPr="00A04B57">
        <w:rPr>
          <w:rFonts w:ascii="Times New Roman" w:eastAsia="Arial" w:hAnsi="Times New Roman" w:cs="Times New Roman"/>
          <w:color w:val="000000"/>
        </w:rPr>
        <w:t>a arquitetura normativa-institucional (o que o Fundo “deve ser”);</w:t>
      </w:r>
    </w:p>
    <w:p w14:paraId="5DB2D941" w14:textId="77777777" w:rsidR="00A04B57" w:rsidRPr="00A04B57" w:rsidRDefault="00A04B57" w:rsidP="0032733E">
      <w:pPr>
        <w:numPr>
          <w:ilvl w:val="0"/>
          <w:numId w:val="44"/>
        </w:numPr>
        <w:pBdr>
          <w:top w:val="nil"/>
          <w:left w:val="nil"/>
          <w:bottom w:val="nil"/>
          <w:right w:val="nil"/>
          <w:between w:val="nil"/>
        </w:pBdr>
        <w:spacing w:after="0" w:line="360" w:lineRule="auto"/>
        <w:ind w:left="709"/>
        <w:jc w:val="both"/>
        <w:rPr>
          <w:rFonts w:ascii="Times New Roman" w:hAnsi="Times New Roman" w:cs="Times New Roman"/>
        </w:rPr>
      </w:pPr>
      <w:r w:rsidRPr="00A04B57">
        <w:rPr>
          <w:rFonts w:ascii="Times New Roman" w:eastAsia="Arial" w:hAnsi="Times New Roman" w:cs="Times New Roman"/>
          <w:color w:val="000000"/>
        </w:rPr>
        <w:t>a prática orçamentária-financeira (o que o Fundo “arrecada e gasta”); e</w:t>
      </w:r>
    </w:p>
    <w:p w14:paraId="314572D3" w14:textId="77777777" w:rsidR="00A04B57" w:rsidRPr="00A04B57" w:rsidRDefault="00A04B57" w:rsidP="0032733E">
      <w:pPr>
        <w:numPr>
          <w:ilvl w:val="0"/>
          <w:numId w:val="44"/>
        </w:numPr>
        <w:pBdr>
          <w:top w:val="nil"/>
          <w:left w:val="nil"/>
          <w:bottom w:val="nil"/>
          <w:right w:val="nil"/>
          <w:between w:val="nil"/>
        </w:pBdr>
        <w:spacing w:after="0" w:line="360" w:lineRule="auto"/>
        <w:ind w:left="709"/>
        <w:jc w:val="both"/>
        <w:rPr>
          <w:rFonts w:ascii="Times New Roman" w:hAnsi="Times New Roman" w:cs="Times New Roman"/>
        </w:rPr>
      </w:pPr>
      <w:r w:rsidRPr="00A04B57">
        <w:rPr>
          <w:rFonts w:ascii="Times New Roman" w:eastAsia="Arial" w:hAnsi="Times New Roman" w:cs="Times New Roman"/>
          <w:color w:val="000000"/>
        </w:rPr>
        <w:t xml:space="preserve">a produção de valor público (o que o Fundo “entrega”). </w:t>
      </w:r>
    </w:p>
    <w:p w14:paraId="5052C4D2"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Cada falha “Essencial” sinaliza uma ruptura no plano da existência e da governança, como, por exemplo, ausência de lei de criação, conselho gestor inoperante ou destinações imprecisas, ao passo que os itens “Estratégicos” capturam a capacidade de planejamento, coordenação e monitoramento. Dessa forma, o inventário não cataloga “qualquer” desvio. Sua </w:t>
      </w:r>
      <w:r w:rsidRPr="00A04B57">
        <w:rPr>
          <w:rFonts w:ascii="Times New Roman" w:eastAsia="Arial" w:hAnsi="Times New Roman" w:cs="Times New Roman"/>
          <w:color w:val="000000"/>
        </w:rPr>
        <w:lastRenderedPageBreak/>
        <w:t>principal contribuição é hierarquizar aqueles desvios que, por desenho, comprometem determinantemente a capacidade do Fundo de cumprir sua finalidade redistributiva.</w:t>
      </w:r>
    </w:p>
    <w:p w14:paraId="125580A9"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Além disso, o critério de ponderação (pesos 3, 2 e 1) confere densidade ao procedimento. Em primeiro lugar, evita que boas práticas periféricas e “Complementares” desvirtuem redundâncias estruturais, um problema recorrente em avaliações autocentradas em transparência formal. Em segundo, explicita a função pedagógica do modelo. Ao demarcar o que é imprescindível, o MoMMA induz alinhamento institucional, reduz arbitrariedades na alocação de esforços e cria incentivos para convergência intertemporal (o que importa hoje continuará importando amanhã). Em termos de conhecimento aplicável, o peso torna-se um operador de prioridade, guiando gestores e órgãos de controle na seleção de medidas corretivas de maior retorno institucional, passível de atualizações e adequações ao longo do tempo.</w:t>
      </w:r>
    </w:p>
    <w:p w14:paraId="75359B19"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A operacionalização do inventário articula, então, endereço, magnitude e probabilidade. O endereço é a ancoragem inequívoca do risco ao código do item descumprido, garantindo rastreabilidade e auditabilidade. A magnitude resulta da combinação entre criticidade e lacuna de desempenho. Nos Indicadores de Resultado, considera a distância em relação ao patamar de referência e, nos Indicadores de Conformidade, o binário de atendimento. Já a probabilidade mobiliza séries históricas e sinais de recorrência (como a ocorrência de volatilidade arrecadatória, contingenciamentos, acúmulo de Restos a Pagar e concentração de saldos financeiros repetidamente), deslocando o inventário de uma fotografia estática para uma análise dinâmica de tendência. O produto é uma estimativa de severidade capaz de dialogar com planejamento, integridade e controle.</w:t>
      </w:r>
    </w:p>
    <w:p w14:paraId="248C07C4" w14:textId="4C2C005B"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Dessa construção deriva o </w:t>
      </w:r>
      <w:r w:rsidR="0034203F" w:rsidRPr="00A04B57">
        <w:rPr>
          <w:rFonts w:ascii="Times New Roman" w:eastAsia="Arial" w:hAnsi="Times New Roman" w:cs="Times New Roman"/>
          <w:color w:val="000000"/>
        </w:rPr>
        <w:t>Mapa de Criticidade e Avaliação dos Riscos</w:t>
      </w:r>
      <w:r w:rsidRPr="00A04B57">
        <w:rPr>
          <w:rFonts w:ascii="Times New Roman" w:eastAsia="Arial" w:hAnsi="Times New Roman" w:cs="Times New Roman"/>
          <w:color w:val="000000"/>
        </w:rPr>
        <w:t xml:space="preserve">, que constitui a passagem do diagnóstico para a ação. Ao organizar cada risco em torno de uma dupla resposta (ação preventiva (eliminar causa-raiz) e ação de contingência (mitigar efeitos quando materializados)) e ao atribuir </w:t>
      </w:r>
      <w:r w:rsidRPr="00A04B57">
        <w:rPr>
          <w:rFonts w:ascii="Times New Roman" w:eastAsia="Arial" w:hAnsi="Times New Roman" w:cs="Times New Roman"/>
        </w:rPr>
        <w:t>responsabilidades</w:t>
      </w:r>
      <w:r w:rsidRPr="00A04B57">
        <w:rPr>
          <w:rFonts w:ascii="Times New Roman" w:eastAsia="Arial" w:hAnsi="Times New Roman" w:cs="Times New Roman"/>
          <w:color w:val="000000"/>
        </w:rPr>
        <w:t xml:space="preserve"> funcionais e evidências de cumprimento, o MCAR converte o inventário em agenda executiva. O que se alcança é mais do que gestão de riscos no sentido estrito. Trata-se de governança baseada em evidências, na qual a priorização decorre de um desenho metodológico explícito e replicável.</w:t>
      </w:r>
    </w:p>
    <w:p w14:paraId="2B12C372" w14:textId="4C91798A"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Há, ainda, o risco informacional. Respostas classificadas como N/A não penalizam a pontuação, mas registram uma lacuna de evidência que, se persistente, torna-se um vetor autônomo de risco, pois reduz a confiabilidade decisória e abre espaço para arbitrariedades. Ao tratá-lo explicitamente, o MoMMA internaliza a máxima de que quem decide com pouca evidência decide pior e, por isso, acopla ao inventário um plano de coleta e regularização documental como componente de primeira ordem da mitigação.</w:t>
      </w:r>
    </w:p>
    <w:p w14:paraId="09E0ACB5"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lastRenderedPageBreak/>
        <w:t>Em perspectiva mais ampla, o inventário de riscos cumpre as funções descritiva, explicativa e normativa. Ao oferecer um referencial de prioridade pública, a hierarquia de ações é, no limite, uma teoria aplicada sobre o que o Estado deve garantir para que recursos vinculados à redução da pobreza cumpram seu papel.</w:t>
      </w:r>
    </w:p>
    <w:p w14:paraId="194AD49A" w14:textId="77777777" w:rsidR="00BC3AC4" w:rsidRDefault="00A04B57" w:rsidP="00BC3AC4">
      <w:pPr>
        <w:pBdr>
          <w:top w:val="nil"/>
          <w:left w:val="nil"/>
          <w:bottom w:val="nil"/>
          <w:right w:val="nil"/>
          <w:between w:val="nil"/>
        </w:pBdr>
        <w:spacing w:after="30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Por fim, o inventário, quando iterado no tempo e comparado entre entes, ainda sustenta uma agenda de aprendizado institucional. A cada ciclo, os riscos críticos que permanecem apontam para “falhas duras” do arranjo jurídico-institucional, ao passo que riscos que regridem evidenciam efeitos de reformas e rotinas de gestão. O que se institui, então, é um circuito virtuoso onde o PV coleta, o inventário qualifica, o MCAR intervém e o próximo ciclo avalia o efeito de cada intervenção. É nessa espiral cumulativa, entre evidência, prioridade e ação, que o inventário de riscos do MoMMA se distingue como instrumento analítico e, simultaneamente, como tecnologia pública de governança orientada a resultados.</w:t>
      </w:r>
      <w:bookmarkStart w:id="18" w:name="_heading=h.ask9r4as0z45" w:colFirst="0" w:colLast="0"/>
      <w:bookmarkEnd w:id="18"/>
    </w:p>
    <w:p w14:paraId="55622631" w14:textId="30BB3772" w:rsidR="00A04B57" w:rsidRPr="00BC3AC4" w:rsidRDefault="00A04B57" w:rsidP="00BC3AC4">
      <w:pPr>
        <w:pStyle w:val="Ttulo3"/>
        <w:rPr>
          <w:rFonts w:eastAsia="Arial"/>
          <w:color w:val="000000"/>
        </w:rPr>
      </w:pPr>
      <w:r w:rsidRPr="00A04B57">
        <w:t>Etapas e Estrutura do MCAR</w:t>
      </w:r>
    </w:p>
    <w:p w14:paraId="4CFB6FF0"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O Mapa de Criticidade e Avaliação dos Riscos (MCAR) constitui instrumento voltado à identificação, hierarquização e tratamento das fragilidades que comprometem a governança, a transparência e a efetividade dos Fundos de Combate à Pobreza. Ao integrar os resultados do Protocolo de Verificação, a apuração do perfil por eixos e dimensões e o cálculo do nível de maturidade, o MCAR permite transformar informações fragmentadas em uma agenda estratégica de prioridades institucionais e riscos prospectivos.</w:t>
      </w:r>
    </w:p>
    <w:p w14:paraId="65021C15"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A elaboração do MCAR segue seis fases metodológicas:</w:t>
      </w:r>
    </w:p>
    <w:p w14:paraId="1CFC3FED" w14:textId="77777777" w:rsidR="00A04B57" w:rsidRPr="00A04B57" w:rsidRDefault="00A04B57" w:rsidP="0032733E">
      <w:pPr>
        <w:numPr>
          <w:ilvl w:val="0"/>
          <w:numId w:val="42"/>
        </w:numPr>
        <w:pBdr>
          <w:top w:val="nil"/>
          <w:left w:val="nil"/>
          <w:bottom w:val="nil"/>
          <w:right w:val="nil"/>
          <w:between w:val="nil"/>
        </w:pBdr>
        <w:spacing w:after="0" w:line="360" w:lineRule="auto"/>
        <w:jc w:val="both"/>
        <w:rPr>
          <w:rFonts w:ascii="Times New Roman" w:hAnsi="Times New Roman" w:cs="Times New Roman"/>
        </w:rPr>
      </w:pPr>
      <w:r w:rsidRPr="00A04B57">
        <w:rPr>
          <w:rFonts w:ascii="Times New Roman" w:eastAsia="Arial" w:hAnsi="Times New Roman" w:cs="Times New Roman"/>
          <w:color w:val="000000"/>
        </w:rPr>
        <w:t>Coleta de evidências: Consiste no preenchimento do Protocolo de Verificação, com base em evidências documentais (leis, decretos, planos, relatórios, atas e portais de transparência). O objetivo é assegurar padronização, rastreabilidade e validade da informação.</w:t>
      </w:r>
    </w:p>
    <w:p w14:paraId="142D28F6" w14:textId="77777777" w:rsidR="00A04B57" w:rsidRPr="00A04B57" w:rsidRDefault="00A04B57" w:rsidP="0032733E">
      <w:pPr>
        <w:numPr>
          <w:ilvl w:val="0"/>
          <w:numId w:val="42"/>
        </w:numPr>
        <w:pBdr>
          <w:top w:val="nil"/>
          <w:left w:val="nil"/>
          <w:bottom w:val="nil"/>
          <w:right w:val="nil"/>
          <w:between w:val="nil"/>
        </w:pBdr>
        <w:spacing w:after="0" w:line="360" w:lineRule="auto"/>
        <w:jc w:val="both"/>
        <w:rPr>
          <w:rFonts w:ascii="Times New Roman" w:hAnsi="Times New Roman" w:cs="Times New Roman"/>
        </w:rPr>
      </w:pPr>
      <w:r w:rsidRPr="00A04B57">
        <w:rPr>
          <w:rFonts w:ascii="Times New Roman" w:eastAsia="Arial" w:hAnsi="Times New Roman" w:cs="Times New Roman"/>
          <w:color w:val="000000"/>
        </w:rPr>
        <w:t>Classificação por criticidade: Cada resposta do PV é categorizada segundo sua relevância estrutural (essencial, estratégico ou complementar).</w:t>
      </w:r>
    </w:p>
    <w:p w14:paraId="2389323F" w14:textId="77777777" w:rsidR="00A04B57" w:rsidRPr="00A04B57" w:rsidRDefault="00A04B57" w:rsidP="0032733E">
      <w:pPr>
        <w:numPr>
          <w:ilvl w:val="0"/>
          <w:numId w:val="42"/>
        </w:numPr>
        <w:pBdr>
          <w:top w:val="nil"/>
          <w:left w:val="nil"/>
          <w:bottom w:val="nil"/>
          <w:right w:val="nil"/>
          <w:between w:val="nil"/>
        </w:pBdr>
        <w:spacing w:after="0" w:line="360" w:lineRule="auto"/>
        <w:jc w:val="both"/>
        <w:rPr>
          <w:rFonts w:ascii="Times New Roman" w:hAnsi="Times New Roman" w:cs="Times New Roman"/>
        </w:rPr>
      </w:pPr>
      <w:r w:rsidRPr="00A04B57">
        <w:rPr>
          <w:rFonts w:ascii="Times New Roman" w:eastAsia="Arial" w:hAnsi="Times New Roman" w:cs="Times New Roman"/>
          <w:color w:val="000000"/>
        </w:rPr>
        <w:t xml:space="preserve">Identificação do que foi descumprido: Cada item é aferido por meio dos indicadores IC e IR. </w:t>
      </w:r>
    </w:p>
    <w:p w14:paraId="61595C4C" w14:textId="77777777" w:rsidR="00A04B57" w:rsidRPr="00A04B57" w:rsidRDefault="00A04B57" w:rsidP="0032733E">
      <w:pPr>
        <w:numPr>
          <w:ilvl w:val="0"/>
          <w:numId w:val="42"/>
        </w:numPr>
        <w:pBdr>
          <w:top w:val="nil"/>
          <w:left w:val="nil"/>
          <w:bottom w:val="nil"/>
          <w:right w:val="nil"/>
          <w:between w:val="nil"/>
        </w:pBdr>
        <w:spacing w:after="0" w:line="360" w:lineRule="auto"/>
        <w:jc w:val="both"/>
        <w:rPr>
          <w:rFonts w:ascii="Times New Roman" w:hAnsi="Times New Roman" w:cs="Times New Roman"/>
        </w:rPr>
      </w:pPr>
      <w:r w:rsidRPr="00A04B57">
        <w:rPr>
          <w:rFonts w:ascii="Times New Roman" w:eastAsia="Arial" w:hAnsi="Times New Roman" w:cs="Times New Roman"/>
          <w:color w:val="000000"/>
        </w:rPr>
        <w:t xml:space="preserve">Construção do Mapa de Criticidade (MC): O cruzamento entre o peso, o impacto e a probabilidade </w:t>
      </w:r>
      <w:r w:rsidRPr="00A04B57">
        <w:rPr>
          <w:rFonts w:ascii="Times New Roman" w:eastAsia="Arial" w:hAnsi="Times New Roman" w:cs="Times New Roman"/>
        </w:rPr>
        <w:t>permite</w:t>
      </w:r>
      <w:r w:rsidRPr="00A04B57">
        <w:rPr>
          <w:rFonts w:ascii="Times New Roman" w:eastAsia="Arial" w:hAnsi="Times New Roman" w:cs="Times New Roman"/>
          <w:color w:val="000000"/>
        </w:rPr>
        <w:t xml:space="preserve"> identificar o grau de criticidade e a localização das falhas mais graves. </w:t>
      </w:r>
    </w:p>
    <w:p w14:paraId="3C36BF67" w14:textId="77777777" w:rsidR="00A04B57" w:rsidRPr="00A04B57" w:rsidRDefault="00A04B57" w:rsidP="0032733E">
      <w:pPr>
        <w:numPr>
          <w:ilvl w:val="0"/>
          <w:numId w:val="42"/>
        </w:numPr>
        <w:pBdr>
          <w:top w:val="nil"/>
          <w:left w:val="nil"/>
          <w:bottom w:val="nil"/>
          <w:right w:val="nil"/>
          <w:between w:val="nil"/>
        </w:pBdr>
        <w:spacing w:after="0" w:line="360" w:lineRule="auto"/>
        <w:jc w:val="both"/>
        <w:rPr>
          <w:rFonts w:ascii="Times New Roman" w:hAnsi="Times New Roman" w:cs="Times New Roman"/>
        </w:rPr>
      </w:pPr>
      <w:r w:rsidRPr="00A04B57">
        <w:rPr>
          <w:rFonts w:ascii="Times New Roman" w:eastAsia="Arial" w:hAnsi="Times New Roman" w:cs="Times New Roman"/>
          <w:color w:val="000000"/>
        </w:rPr>
        <w:lastRenderedPageBreak/>
        <w:t>Inclusão da Avaliação dos Riscos (AR): Para cada falha, projeta-se o risco associado, em quatro dimensões:</w:t>
      </w:r>
    </w:p>
    <w:p w14:paraId="1B59AC8F" w14:textId="77777777" w:rsidR="00A04B57" w:rsidRPr="00A04B57" w:rsidRDefault="00A04B57" w:rsidP="0032733E">
      <w:pPr>
        <w:numPr>
          <w:ilvl w:val="0"/>
          <w:numId w:val="43"/>
        </w:numPr>
        <w:pBdr>
          <w:top w:val="nil"/>
          <w:left w:val="nil"/>
          <w:bottom w:val="nil"/>
          <w:right w:val="nil"/>
          <w:between w:val="nil"/>
        </w:pBdr>
        <w:spacing w:after="0" w:line="360" w:lineRule="auto"/>
        <w:jc w:val="both"/>
        <w:rPr>
          <w:rFonts w:ascii="Times New Roman" w:hAnsi="Times New Roman" w:cs="Times New Roman"/>
        </w:rPr>
      </w:pPr>
      <w:r w:rsidRPr="00A04B57">
        <w:rPr>
          <w:rFonts w:ascii="Times New Roman" w:eastAsia="Arial" w:hAnsi="Times New Roman" w:cs="Times New Roman"/>
          <w:color w:val="000000"/>
        </w:rPr>
        <w:t>Descrição do risco: vulnerabilidade observada.</w:t>
      </w:r>
    </w:p>
    <w:p w14:paraId="5A3DB121" w14:textId="77777777" w:rsidR="00A04B57" w:rsidRPr="00A04B57" w:rsidRDefault="00A04B57" w:rsidP="0032733E">
      <w:pPr>
        <w:numPr>
          <w:ilvl w:val="0"/>
          <w:numId w:val="43"/>
        </w:numPr>
        <w:pBdr>
          <w:top w:val="nil"/>
          <w:left w:val="nil"/>
          <w:bottom w:val="nil"/>
          <w:right w:val="nil"/>
          <w:between w:val="nil"/>
        </w:pBdr>
        <w:spacing w:after="0" w:line="360" w:lineRule="auto"/>
        <w:jc w:val="both"/>
        <w:rPr>
          <w:rFonts w:ascii="Times New Roman" w:hAnsi="Times New Roman" w:cs="Times New Roman"/>
        </w:rPr>
      </w:pPr>
      <w:r w:rsidRPr="00A04B57">
        <w:rPr>
          <w:rFonts w:ascii="Times New Roman" w:eastAsia="Arial" w:hAnsi="Times New Roman" w:cs="Times New Roman"/>
          <w:color w:val="000000"/>
        </w:rPr>
        <w:t>Consequência: descrição do impacto potencial.</w:t>
      </w:r>
    </w:p>
    <w:p w14:paraId="0BC12E43" w14:textId="77777777" w:rsidR="00A04B57" w:rsidRPr="00A04B57" w:rsidRDefault="00A04B57" w:rsidP="0032733E">
      <w:pPr>
        <w:numPr>
          <w:ilvl w:val="0"/>
          <w:numId w:val="43"/>
        </w:numPr>
        <w:pBdr>
          <w:top w:val="nil"/>
          <w:left w:val="nil"/>
          <w:bottom w:val="nil"/>
          <w:right w:val="nil"/>
          <w:between w:val="nil"/>
        </w:pBdr>
        <w:spacing w:after="0" w:line="360" w:lineRule="auto"/>
        <w:jc w:val="both"/>
        <w:rPr>
          <w:rFonts w:ascii="Times New Roman" w:hAnsi="Times New Roman" w:cs="Times New Roman"/>
        </w:rPr>
      </w:pPr>
      <w:r w:rsidRPr="00A04B57">
        <w:rPr>
          <w:rFonts w:ascii="Times New Roman" w:eastAsia="Arial" w:hAnsi="Times New Roman" w:cs="Times New Roman"/>
          <w:color w:val="000000"/>
        </w:rPr>
        <w:t>Classificação: dimensionamento dos níveis de impacto.</w:t>
      </w:r>
    </w:p>
    <w:p w14:paraId="0D1869B4" w14:textId="77777777" w:rsidR="00A04B57" w:rsidRPr="00A04B57" w:rsidRDefault="00A04B57" w:rsidP="0032733E">
      <w:pPr>
        <w:numPr>
          <w:ilvl w:val="0"/>
          <w:numId w:val="43"/>
        </w:numPr>
        <w:pBdr>
          <w:top w:val="nil"/>
          <w:left w:val="nil"/>
          <w:bottom w:val="nil"/>
          <w:right w:val="nil"/>
          <w:between w:val="nil"/>
        </w:pBdr>
        <w:spacing w:after="0" w:line="360" w:lineRule="auto"/>
        <w:jc w:val="both"/>
        <w:rPr>
          <w:rFonts w:ascii="Times New Roman" w:hAnsi="Times New Roman" w:cs="Times New Roman"/>
        </w:rPr>
      </w:pPr>
      <w:r w:rsidRPr="00A04B57">
        <w:rPr>
          <w:rFonts w:ascii="Times New Roman" w:eastAsia="Arial" w:hAnsi="Times New Roman" w:cs="Times New Roman"/>
          <w:color w:val="000000"/>
        </w:rPr>
        <w:t>Tratamento ao risco: direcionamento para ações preventivas e contingenciais.</w:t>
      </w:r>
    </w:p>
    <w:p w14:paraId="7C9BDC0E" w14:textId="77777777" w:rsidR="00A04B57" w:rsidRPr="00A04B57" w:rsidRDefault="00A04B57" w:rsidP="0032733E">
      <w:pPr>
        <w:numPr>
          <w:ilvl w:val="0"/>
          <w:numId w:val="42"/>
        </w:numPr>
        <w:pBdr>
          <w:top w:val="nil"/>
          <w:left w:val="nil"/>
          <w:bottom w:val="nil"/>
          <w:right w:val="nil"/>
          <w:between w:val="nil"/>
        </w:pBdr>
        <w:spacing w:after="0" w:line="360" w:lineRule="auto"/>
        <w:jc w:val="both"/>
        <w:rPr>
          <w:rFonts w:ascii="Times New Roman" w:hAnsi="Times New Roman" w:cs="Times New Roman"/>
        </w:rPr>
      </w:pPr>
      <w:r w:rsidRPr="00A04B57">
        <w:rPr>
          <w:rFonts w:ascii="Times New Roman" w:eastAsia="Arial" w:hAnsi="Times New Roman" w:cs="Times New Roman"/>
          <w:color w:val="000000"/>
        </w:rPr>
        <w:t>Integração: A depender da gravidade da falha e da projeção das consequências, o MCAR consolida: i. agenda de prioridades institucionais (o que deve ser corrigido primeiro, de acordo com o grau de criticidade);</w:t>
      </w:r>
      <w:r w:rsidRPr="00A04B57">
        <w:rPr>
          <w:rFonts w:ascii="Times New Roman" w:eastAsia="Arial" w:hAnsi="Times New Roman" w:cs="Times New Roman"/>
        </w:rPr>
        <w:t xml:space="preserve"> </w:t>
      </w:r>
      <w:r w:rsidRPr="00A04B57">
        <w:rPr>
          <w:rFonts w:ascii="Times New Roman" w:eastAsia="Arial" w:hAnsi="Times New Roman" w:cs="Times New Roman"/>
          <w:color w:val="000000"/>
        </w:rPr>
        <w:t>ii. quadro prospectivo de riscos (o que pode ocorrer se não houver intervenção); e iii. recomendações sugeridas para gestores, órgãos de controle e/ou sociedade civil.</w:t>
      </w:r>
    </w:p>
    <w:p w14:paraId="0255F1BC"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Assim, a estrutura do MCAR foi construída para permitir uma visão estruturada e objetiva sobre os pontos de vulnerabilidade que podem comprometer a legalidade, a legitimidade e a efetividade das políticas públicas financiadas. Cada coluna cumpre uma função específica dentro do processo de análise e priorização das ações sugeridas, formando um encadeamento lógico que vai da identificação do risco até a definição de quem deve agir para preveni-lo ou corrigi-lo.</w:t>
      </w:r>
    </w:p>
    <w:p w14:paraId="36277B76"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No total, 55 questões do Protocolo de Verificação (apenas com peso 3 e 2) remetem às categorias do MCAR: dimensões, riscos possíveis, impacto, probabilidade, criticidade, ações preventivas, ações de contingências e responsáveis envolvidos.  </w:t>
      </w:r>
    </w:p>
    <w:p w14:paraId="23B82042" w14:textId="77777777" w:rsidR="00A04B57" w:rsidRPr="00A04B57" w:rsidRDefault="00A04B57" w:rsidP="0032733E">
      <w:pPr>
        <w:numPr>
          <w:ilvl w:val="0"/>
          <w:numId w:val="45"/>
        </w:numPr>
        <w:pBdr>
          <w:top w:val="nil"/>
          <w:left w:val="nil"/>
          <w:bottom w:val="nil"/>
          <w:right w:val="nil"/>
          <w:between w:val="nil"/>
        </w:pBdr>
        <w:spacing w:after="0" w:line="360" w:lineRule="auto"/>
        <w:ind w:left="709"/>
        <w:jc w:val="both"/>
        <w:rPr>
          <w:rFonts w:ascii="Times New Roman" w:hAnsi="Times New Roman" w:cs="Times New Roman"/>
        </w:rPr>
      </w:pPr>
      <w:r w:rsidRPr="00A04B57">
        <w:rPr>
          <w:rFonts w:ascii="Times New Roman" w:eastAsia="Arial" w:hAnsi="Times New Roman" w:cs="Times New Roman"/>
          <w:color w:val="000000"/>
        </w:rPr>
        <w:t xml:space="preserve">A primeira categoria - </w:t>
      </w:r>
      <w:r w:rsidRPr="00A04B57">
        <w:rPr>
          <w:rFonts w:ascii="Times New Roman" w:eastAsia="Arial" w:hAnsi="Times New Roman" w:cs="Times New Roman"/>
          <w:i/>
          <w:color w:val="000000"/>
        </w:rPr>
        <w:t>dimensão</w:t>
      </w:r>
      <w:r w:rsidRPr="00A04B57">
        <w:rPr>
          <w:rFonts w:ascii="Times New Roman" w:eastAsia="Arial" w:hAnsi="Times New Roman" w:cs="Times New Roman"/>
        </w:rPr>
        <w:t xml:space="preserve"> -</w:t>
      </w:r>
      <w:r w:rsidRPr="00A04B57">
        <w:rPr>
          <w:rFonts w:ascii="Times New Roman" w:eastAsia="Arial" w:hAnsi="Times New Roman" w:cs="Times New Roman"/>
          <w:color w:val="000000"/>
        </w:rPr>
        <w:t xml:space="preserve"> indica a área do risco</w:t>
      </w:r>
      <w:r w:rsidRPr="00A04B57">
        <w:rPr>
          <w:rFonts w:ascii="Times New Roman" w:eastAsia="Arial" w:hAnsi="Times New Roman" w:cs="Times New Roman"/>
        </w:rPr>
        <w:t>:</w:t>
      </w:r>
      <w:r w:rsidRPr="00A04B57">
        <w:rPr>
          <w:rFonts w:ascii="Times New Roman" w:eastAsia="Arial" w:hAnsi="Times New Roman" w:cs="Times New Roman"/>
          <w:color w:val="000000"/>
        </w:rPr>
        <w:t xml:space="preserve"> </w:t>
      </w:r>
      <w:r w:rsidRPr="00A04B57">
        <w:rPr>
          <w:rFonts w:ascii="Times New Roman" w:eastAsia="Arial" w:hAnsi="Times New Roman" w:cs="Times New Roman"/>
        </w:rPr>
        <w:t>jurídico</w:t>
      </w:r>
      <w:r w:rsidRPr="00A04B57">
        <w:rPr>
          <w:rFonts w:ascii="Times New Roman" w:eastAsia="Arial" w:hAnsi="Times New Roman" w:cs="Times New Roman"/>
          <w:color w:val="000000"/>
        </w:rPr>
        <w:t xml:space="preserve">-estrutural, financeiro-orçamentária, político-institucional, participativa e de transparência, institucional e organizacional, histórico-evolutiva ou avaliativa. Essa classificação organiza os riscos em blocos temáticos, facilitando o monitoramento e a atribuição de responsabilidades. </w:t>
      </w:r>
    </w:p>
    <w:p w14:paraId="69BA4BE8" w14:textId="77777777" w:rsidR="00A04B57" w:rsidRPr="00A04B57" w:rsidRDefault="00A04B57" w:rsidP="0032733E">
      <w:pPr>
        <w:numPr>
          <w:ilvl w:val="0"/>
          <w:numId w:val="45"/>
        </w:numPr>
        <w:pBdr>
          <w:top w:val="nil"/>
          <w:left w:val="nil"/>
          <w:bottom w:val="nil"/>
          <w:right w:val="nil"/>
          <w:between w:val="nil"/>
        </w:pBdr>
        <w:spacing w:after="0" w:line="360" w:lineRule="auto"/>
        <w:ind w:left="709"/>
        <w:jc w:val="both"/>
        <w:rPr>
          <w:rFonts w:ascii="Times New Roman" w:hAnsi="Times New Roman" w:cs="Times New Roman"/>
        </w:rPr>
      </w:pPr>
      <w:r w:rsidRPr="00A04B57">
        <w:rPr>
          <w:rFonts w:ascii="Times New Roman" w:eastAsia="Arial" w:hAnsi="Times New Roman" w:cs="Times New Roman"/>
          <w:color w:val="000000"/>
        </w:rPr>
        <w:t xml:space="preserve">Na sequência, a categoria </w:t>
      </w:r>
      <w:r w:rsidRPr="00A04B57">
        <w:rPr>
          <w:rFonts w:ascii="Times New Roman" w:eastAsia="Arial" w:hAnsi="Times New Roman" w:cs="Times New Roman"/>
          <w:i/>
          <w:color w:val="000000"/>
        </w:rPr>
        <w:t>pergunta</w:t>
      </w:r>
      <w:r w:rsidRPr="00A04B57">
        <w:rPr>
          <w:rFonts w:ascii="Times New Roman" w:eastAsia="Arial" w:hAnsi="Times New Roman" w:cs="Times New Roman"/>
          <w:color w:val="000000"/>
        </w:rPr>
        <w:t xml:space="preserve"> traz o enunciado que serve de gatilho de verificação.</w:t>
      </w:r>
    </w:p>
    <w:p w14:paraId="2AFEEB82" w14:textId="77777777" w:rsidR="00A04B57" w:rsidRPr="00A04B57" w:rsidRDefault="00A04B57" w:rsidP="0032733E">
      <w:pPr>
        <w:numPr>
          <w:ilvl w:val="0"/>
          <w:numId w:val="45"/>
        </w:numPr>
        <w:pBdr>
          <w:top w:val="nil"/>
          <w:left w:val="nil"/>
          <w:bottom w:val="nil"/>
          <w:right w:val="nil"/>
          <w:between w:val="nil"/>
        </w:pBdr>
        <w:spacing w:after="0" w:line="360" w:lineRule="auto"/>
        <w:ind w:left="709"/>
        <w:jc w:val="both"/>
        <w:rPr>
          <w:rFonts w:ascii="Times New Roman" w:hAnsi="Times New Roman" w:cs="Times New Roman"/>
        </w:rPr>
      </w:pPr>
      <w:r w:rsidRPr="00A04B57">
        <w:rPr>
          <w:rFonts w:ascii="Times New Roman" w:eastAsia="Arial" w:hAnsi="Times New Roman" w:cs="Times New Roman"/>
          <w:color w:val="000000"/>
        </w:rPr>
        <w:t xml:space="preserve">O campo </w:t>
      </w:r>
      <w:r w:rsidRPr="00A04B57">
        <w:rPr>
          <w:rFonts w:ascii="Times New Roman" w:eastAsia="Arial" w:hAnsi="Times New Roman" w:cs="Times New Roman"/>
          <w:i/>
          <w:color w:val="000000"/>
        </w:rPr>
        <w:t>peso</w:t>
      </w:r>
      <w:r w:rsidRPr="00A04B57">
        <w:rPr>
          <w:rFonts w:ascii="Times New Roman" w:eastAsia="Arial" w:hAnsi="Times New Roman" w:cs="Times New Roman"/>
          <w:color w:val="000000"/>
        </w:rPr>
        <w:t xml:space="preserve"> confere a importância relativa do risco dentro do conjunto. Riscos estruturais e jurídicos costumam ter peso maior, porque a sua ocorrência pode comprometer todo o funcionamento do Fundo, enquanto falhas operacionais </w:t>
      </w:r>
      <w:r w:rsidRPr="00A04B57">
        <w:rPr>
          <w:rFonts w:ascii="Times New Roman" w:eastAsia="Arial" w:hAnsi="Times New Roman" w:cs="Times New Roman"/>
        </w:rPr>
        <w:t>tendem a</w:t>
      </w:r>
      <w:r w:rsidRPr="00A04B57">
        <w:rPr>
          <w:rFonts w:ascii="Times New Roman" w:eastAsia="Arial" w:hAnsi="Times New Roman" w:cs="Times New Roman"/>
          <w:color w:val="000000"/>
        </w:rPr>
        <w:t xml:space="preserve"> ter peso menor. </w:t>
      </w:r>
    </w:p>
    <w:p w14:paraId="109DA71B" w14:textId="77777777" w:rsidR="00A04B57" w:rsidRPr="00A04B57" w:rsidRDefault="00A04B57" w:rsidP="0032733E">
      <w:pPr>
        <w:numPr>
          <w:ilvl w:val="0"/>
          <w:numId w:val="45"/>
        </w:numPr>
        <w:pBdr>
          <w:top w:val="nil"/>
          <w:left w:val="nil"/>
          <w:bottom w:val="nil"/>
          <w:right w:val="nil"/>
          <w:between w:val="nil"/>
        </w:pBdr>
        <w:spacing w:after="0" w:line="360" w:lineRule="auto"/>
        <w:ind w:left="709"/>
        <w:jc w:val="both"/>
        <w:rPr>
          <w:rFonts w:ascii="Times New Roman" w:hAnsi="Times New Roman" w:cs="Times New Roman"/>
        </w:rPr>
      </w:pPr>
      <w:r w:rsidRPr="00A04B57">
        <w:rPr>
          <w:rFonts w:ascii="Times New Roman" w:eastAsia="Arial" w:hAnsi="Times New Roman" w:cs="Times New Roman"/>
          <w:color w:val="000000"/>
        </w:rPr>
        <w:t xml:space="preserve">A categoria </w:t>
      </w:r>
      <w:r w:rsidRPr="00A04B57">
        <w:rPr>
          <w:rFonts w:ascii="Times New Roman" w:eastAsia="Arial" w:hAnsi="Times New Roman" w:cs="Times New Roman"/>
          <w:i/>
          <w:color w:val="000000"/>
        </w:rPr>
        <w:t>risco</w:t>
      </w:r>
      <w:r w:rsidRPr="00A04B57">
        <w:rPr>
          <w:rFonts w:ascii="Times New Roman" w:eastAsia="Arial" w:hAnsi="Times New Roman" w:cs="Times New Roman"/>
          <w:color w:val="000000"/>
        </w:rPr>
        <w:t xml:space="preserve"> descreve, em termos concretos, a ameaça associada à ausência de conformidade. Aqui se identifica o que pode dar errado, desde a nulidade de atos por falta de lei até a perda de legitimidade por falta de transparência. </w:t>
      </w:r>
    </w:p>
    <w:p w14:paraId="0B207839" w14:textId="77777777" w:rsidR="00A04B57" w:rsidRPr="00A04B57" w:rsidRDefault="00A04B57" w:rsidP="0032733E">
      <w:pPr>
        <w:numPr>
          <w:ilvl w:val="0"/>
          <w:numId w:val="45"/>
        </w:numPr>
        <w:pBdr>
          <w:top w:val="nil"/>
          <w:left w:val="nil"/>
          <w:bottom w:val="nil"/>
          <w:right w:val="nil"/>
          <w:between w:val="nil"/>
        </w:pBdr>
        <w:spacing w:after="300" w:line="360" w:lineRule="auto"/>
        <w:ind w:left="709"/>
        <w:jc w:val="both"/>
        <w:rPr>
          <w:rFonts w:ascii="Times New Roman" w:hAnsi="Times New Roman" w:cs="Times New Roman"/>
        </w:rPr>
      </w:pPr>
      <w:r w:rsidRPr="00A04B57">
        <w:rPr>
          <w:rFonts w:ascii="Times New Roman" w:eastAsia="Arial" w:hAnsi="Times New Roman" w:cs="Times New Roman"/>
          <w:color w:val="000000"/>
        </w:rPr>
        <w:lastRenderedPageBreak/>
        <w:t xml:space="preserve">Em seguida, o </w:t>
      </w:r>
      <w:r w:rsidRPr="00A04B57">
        <w:rPr>
          <w:rFonts w:ascii="Times New Roman" w:eastAsia="Arial" w:hAnsi="Times New Roman" w:cs="Times New Roman"/>
          <w:i/>
          <w:color w:val="000000"/>
        </w:rPr>
        <w:t>impacto</w:t>
      </w:r>
      <w:r w:rsidRPr="00A04B57">
        <w:rPr>
          <w:rFonts w:ascii="Times New Roman" w:eastAsia="Arial" w:hAnsi="Times New Roman" w:cs="Times New Roman"/>
          <w:color w:val="000000"/>
        </w:rPr>
        <w:t xml:space="preserve"> (1 a 5) traduz em valor numérico a gravidade do risco caso ele se concretize. A escala varia de “Muito Baixo” até “Muito Alto”, circunstância que inviabiliza a própria existência do Fundo. </w:t>
      </w:r>
    </w:p>
    <w:p w14:paraId="595FD4DA" w14:textId="1A1F463C" w:rsidR="00A04B57" w:rsidRPr="00A04B57" w:rsidRDefault="00E53A82" w:rsidP="00A04B57">
      <w:pPr>
        <w:keepNext/>
        <w:pBdr>
          <w:top w:val="nil"/>
          <w:left w:val="nil"/>
          <w:bottom w:val="nil"/>
          <w:right w:val="nil"/>
          <w:between w:val="nil"/>
        </w:pBdr>
        <w:spacing w:after="0" w:line="360" w:lineRule="auto"/>
        <w:rPr>
          <w:rFonts w:ascii="Times New Roman" w:eastAsia="Arial" w:hAnsi="Times New Roman" w:cs="Times New Roman"/>
          <w:color w:val="000000"/>
          <w:sz w:val="20"/>
          <w:szCs w:val="20"/>
        </w:rPr>
      </w:pPr>
      <w:bookmarkStart w:id="19" w:name="_heading=h.j3s4j4tr8dtt" w:colFirst="0" w:colLast="0"/>
      <w:bookmarkEnd w:id="19"/>
      <w:r>
        <w:rPr>
          <w:rFonts w:ascii="Times New Roman" w:eastAsia="Arial" w:hAnsi="Times New Roman" w:cs="Times New Roman"/>
          <w:color w:val="000000"/>
          <w:sz w:val="20"/>
          <w:szCs w:val="20"/>
        </w:rPr>
        <w:t xml:space="preserve">            Quadro 4</w:t>
      </w:r>
      <w:r w:rsidR="00A04B57" w:rsidRPr="00A04B57">
        <w:rPr>
          <w:rFonts w:ascii="Times New Roman" w:eastAsia="Arial" w:hAnsi="Times New Roman" w:cs="Times New Roman"/>
          <w:color w:val="000000"/>
          <w:sz w:val="20"/>
          <w:szCs w:val="20"/>
        </w:rPr>
        <w:t xml:space="preserve"> – Escala de Impacto</w:t>
      </w:r>
    </w:p>
    <w:tbl>
      <w:tblPr>
        <w:tblW w:w="792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75"/>
        <w:gridCol w:w="1350"/>
        <w:gridCol w:w="3030"/>
        <w:gridCol w:w="2865"/>
      </w:tblGrid>
      <w:tr w:rsidR="00A04B57" w:rsidRPr="00A04B57" w14:paraId="29E9E776" w14:textId="77777777" w:rsidTr="00A04B57">
        <w:trPr>
          <w:trHeight w:val="20"/>
          <w:jc w:val="center"/>
        </w:trPr>
        <w:tc>
          <w:tcPr>
            <w:tcW w:w="675" w:type="dxa"/>
            <w:shd w:val="clear" w:color="auto" w:fill="auto"/>
            <w:vAlign w:val="center"/>
          </w:tcPr>
          <w:p w14:paraId="4C759CD1"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Valor</w:t>
            </w:r>
          </w:p>
        </w:tc>
        <w:tc>
          <w:tcPr>
            <w:tcW w:w="1350" w:type="dxa"/>
            <w:shd w:val="clear" w:color="auto" w:fill="auto"/>
            <w:vAlign w:val="center"/>
          </w:tcPr>
          <w:p w14:paraId="570DCDCC"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Classificação</w:t>
            </w:r>
          </w:p>
        </w:tc>
        <w:tc>
          <w:tcPr>
            <w:tcW w:w="3030" w:type="dxa"/>
            <w:shd w:val="clear" w:color="auto" w:fill="auto"/>
            <w:vAlign w:val="center"/>
          </w:tcPr>
          <w:p w14:paraId="479CFD13"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Descrição</w:t>
            </w:r>
          </w:p>
        </w:tc>
        <w:tc>
          <w:tcPr>
            <w:tcW w:w="2865" w:type="dxa"/>
            <w:shd w:val="clear" w:color="auto" w:fill="auto"/>
            <w:vAlign w:val="center"/>
          </w:tcPr>
          <w:p w14:paraId="6CA5A64E"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Exemplo aplicado ao Fundo</w:t>
            </w:r>
          </w:p>
        </w:tc>
      </w:tr>
      <w:tr w:rsidR="00A04B57" w:rsidRPr="00A04B57" w14:paraId="79512AD1" w14:textId="77777777" w:rsidTr="00A04B57">
        <w:trPr>
          <w:trHeight w:val="20"/>
          <w:jc w:val="center"/>
        </w:trPr>
        <w:tc>
          <w:tcPr>
            <w:tcW w:w="675" w:type="dxa"/>
            <w:shd w:val="clear" w:color="auto" w:fill="92D050"/>
            <w:vAlign w:val="center"/>
          </w:tcPr>
          <w:p w14:paraId="0D616DB7"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1</w:t>
            </w:r>
          </w:p>
        </w:tc>
        <w:tc>
          <w:tcPr>
            <w:tcW w:w="1350" w:type="dxa"/>
            <w:shd w:val="clear" w:color="auto" w:fill="92D050"/>
            <w:vAlign w:val="center"/>
          </w:tcPr>
          <w:p w14:paraId="6DBAC2C5" w14:textId="77777777" w:rsidR="00A04B57" w:rsidRPr="00A04B57" w:rsidRDefault="00A04B57" w:rsidP="00A04B57">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Muito Baixo</w:t>
            </w:r>
          </w:p>
        </w:tc>
        <w:tc>
          <w:tcPr>
            <w:tcW w:w="3030" w:type="dxa"/>
            <w:shd w:val="clear" w:color="auto" w:fill="auto"/>
            <w:vAlign w:val="center"/>
          </w:tcPr>
          <w:p w14:paraId="30CEEFBC"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Impacto irrelevante, não afeta metas. Não compromete a finalidade do Fundo.</w:t>
            </w:r>
          </w:p>
        </w:tc>
        <w:tc>
          <w:tcPr>
            <w:tcW w:w="2865" w:type="dxa"/>
            <w:shd w:val="clear" w:color="auto" w:fill="auto"/>
            <w:vAlign w:val="center"/>
          </w:tcPr>
          <w:p w14:paraId="0DCFD5FE"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Atraso pontual de elaboração e publicação  de relatório.</w:t>
            </w:r>
          </w:p>
        </w:tc>
      </w:tr>
      <w:tr w:rsidR="00A04B57" w:rsidRPr="00A04B57" w14:paraId="6A9F7674" w14:textId="77777777" w:rsidTr="00A04B57">
        <w:trPr>
          <w:trHeight w:val="20"/>
          <w:jc w:val="center"/>
        </w:trPr>
        <w:tc>
          <w:tcPr>
            <w:tcW w:w="675" w:type="dxa"/>
            <w:shd w:val="clear" w:color="auto" w:fill="92D050"/>
            <w:vAlign w:val="center"/>
          </w:tcPr>
          <w:p w14:paraId="39E480F2"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2</w:t>
            </w:r>
          </w:p>
        </w:tc>
        <w:tc>
          <w:tcPr>
            <w:tcW w:w="1350" w:type="dxa"/>
            <w:shd w:val="clear" w:color="auto" w:fill="92D050"/>
            <w:vAlign w:val="center"/>
          </w:tcPr>
          <w:p w14:paraId="0E33A8D9" w14:textId="77777777" w:rsidR="00A04B57" w:rsidRPr="00A04B57" w:rsidRDefault="00A04B57" w:rsidP="00A04B57">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Baixo</w:t>
            </w:r>
          </w:p>
        </w:tc>
        <w:tc>
          <w:tcPr>
            <w:tcW w:w="3030" w:type="dxa"/>
            <w:shd w:val="clear" w:color="auto" w:fill="auto"/>
            <w:vAlign w:val="center"/>
          </w:tcPr>
          <w:p w14:paraId="6EE133A4"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Impacto limitado, com efeitos mínimos e facilmente corrigíveis.</w:t>
            </w:r>
          </w:p>
        </w:tc>
        <w:tc>
          <w:tcPr>
            <w:tcW w:w="2865" w:type="dxa"/>
            <w:shd w:val="clear" w:color="auto" w:fill="auto"/>
            <w:vAlign w:val="center"/>
          </w:tcPr>
          <w:p w14:paraId="50871E3A"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Falha de registro ou publicação corrigível em até 30 dias.</w:t>
            </w:r>
          </w:p>
        </w:tc>
      </w:tr>
      <w:tr w:rsidR="00A04B57" w:rsidRPr="00A04B57" w14:paraId="02454809" w14:textId="77777777" w:rsidTr="00A04B57">
        <w:trPr>
          <w:trHeight w:val="20"/>
          <w:jc w:val="center"/>
        </w:trPr>
        <w:tc>
          <w:tcPr>
            <w:tcW w:w="675" w:type="dxa"/>
            <w:shd w:val="clear" w:color="auto" w:fill="FFFF00"/>
            <w:vAlign w:val="center"/>
          </w:tcPr>
          <w:p w14:paraId="029022C0"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3</w:t>
            </w:r>
          </w:p>
        </w:tc>
        <w:tc>
          <w:tcPr>
            <w:tcW w:w="1350" w:type="dxa"/>
            <w:shd w:val="clear" w:color="auto" w:fill="FFFF00"/>
            <w:vAlign w:val="center"/>
          </w:tcPr>
          <w:p w14:paraId="6E91D4B9" w14:textId="77777777" w:rsidR="00A04B57" w:rsidRPr="00A04B57" w:rsidRDefault="00A04B57" w:rsidP="00A04B57">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Médio</w:t>
            </w:r>
          </w:p>
        </w:tc>
        <w:tc>
          <w:tcPr>
            <w:tcW w:w="3030" w:type="dxa"/>
            <w:shd w:val="clear" w:color="auto" w:fill="auto"/>
            <w:vAlign w:val="center"/>
          </w:tcPr>
          <w:p w14:paraId="6B9AA728"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sz w:val="18"/>
                <w:szCs w:val="18"/>
              </w:rPr>
              <w:t>Afeta a eficiência</w:t>
            </w:r>
            <w:r w:rsidRPr="00A04B57">
              <w:rPr>
                <w:rFonts w:ascii="Times New Roman" w:eastAsia="Arial" w:hAnsi="Times New Roman" w:cs="Times New Roman"/>
                <w:color w:val="000000"/>
                <w:sz w:val="18"/>
                <w:szCs w:val="18"/>
              </w:rPr>
              <w:t xml:space="preserve"> e o controle. Gera retrabalho, mas não paralisa ações.</w:t>
            </w:r>
          </w:p>
        </w:tc>
        <w:tc>
          <w:tcPr>
            <w:tcW w:w="2865" w:type="dxa"/>
            <w:shd w:val="clear" w:color="auto" w:fill="auto"/>
            <w:vAlign w:val="center"/>
          </w:tcPr>
          <w:p w14:paraId="270B944E"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Ausência de previsão da receita do Fundo detalhada na LOA.</w:t>
            </w:r>
          </w:p>
        </w:tc>
      </w:tr>
      <w:tr w:rsidR="00A04B57" w:rsidRPr="00A04B57" w14:paraId="7A33EEC5" w14:textId="77777777" w:rsidTr="00A04B57">
        <w:trPr>
          <w:trHeight w:val="20"/>
          <w:jc w:val="center"/>
        </w:trPr>
        <w:tc>
          <w:tcPr>
            <w:tcW w:w="675" w:type="dxa"/>
            <w:shd w:val="clear" w:color="auto" w:fill="E36C09"/>
            <w:vAlign w:val="center"/>
          </w:tcPr>
          <w:p w14:paraId="36E930A0"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4</w:t>
            </w:r>
          </w:p>
        </w:tc>
        <w:tc>
          <w:tcPr>
            <w:tcW w:w="1350" w:type="dxa"/>
            <w:shd w:val="clear" w:color="auto" w:fill="E36C09"/>
            <w:vAlign w:val="center"/>
          </w:tcPr>
          <w:p w14:paraId="2AFB3C2D" w14:textId="77777777" w:rsidR="00A04B57" w:rsidRPr="00A04B57" w:rsidRDefault="00A04B57" w:rsidP="00A04B57">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Alto</w:t>
            </w:r>
          </w:p>
        </w:tc>
        <w:tc>
          <w:tcPr>
            <w:tcW w:w="3030" w:type="dxa"/>
            <w:shd w:val="clear" w:color="auto" w:fill="auto"/>
            <w:vAlign w:val="center"/>
          </w:tcPr>
          <w:p w14:paraId="034050DC"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Pode inviabilizar a arrecadação, programação e </w:t>
            </w:r>
            <w:r w:rsidRPr="00A04B57">
              <w:rPr>
                <w:rFonts w:ascii="Times New Roman" w:eastAsia="Arial" w:hAnsi="Times New Roman" w:cs="Times New Roman"/>
                <w:sz w:val="18"/>
                <w:szCs w:val="18"/>
              </w:rPr>
              <w:t>execução do</w:t>
            </w:r>
            <w:r w:rsidRPr="00A04B57">
              <w:rPr>
                <w:rFonts w:ascii="Times New Roman" w:eastAsia="Arial" w:hAnsi="Times New Roman" w:cs="Times New Roman"/>
                <w:color w:val="000000"/>
                <w:sz w:val="18"/>
                <w:szCs w:val="18"/>
              </w:rPr>
              <w:t xml:space="preserve"> Fundo. Aumenta o risco de desvio de finalidade e de judicialização.</w:t>
            </w:r>
          </w:p>
        </w:tc>
        <w:tc>
          <w:tcPr>
            <w:tcW w:w="2865" w:type="dxa"/>
            <w:shd w:val="clear" w:color="auto" w:fill="auto"/>
            <w:vAlign w:val="center"/>
          </w:tcPr>
          <w:p w14:paraId="556AB879"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Ausência de detalhamento das ações financiadas pelo Fundo e atrasos recorrentes dos repasses.</w:t>
            </w:r>
          </w:p>
        </w:tc>
      </w:tr>
      <w:tr w:rsidR="00A04B57" w:rsidRPr="00A04B57" w14:paraId="158585AC" w14:textId="77777777" w:rsidTr="00A04B57">
        <w:trPr>
          <w:trHeight w:val="20"/>
          <w:jc w:val="center"/>
        </w:trPr>
        <w:tc>
          <w:tcPr>
            <w:tcW w:w="675" w:type="dxa"/>
            <w:shd w:val="clear" w:color="auto" w:fill="C00000"/>
            <w:vAlign w:val="center"/>
          </w:tcPr>
          <w:p w14:paraId="355BF33A" w14:textId="77777777" w:rsidR="00A04B57" w:rsidRPr="00A04B57" w:rsidRDefault="00A04B57" w:rsidP="00A04B57">
            <w:pPr>
              <w:spacing w:after="0" w:line="240" w:lineRule="auto"/>
              <w:jc w:val="center"/>
              <w:rPr>
                <w:rFonts w:ascii="Times New Roman" w:eastAsia="Arial" w:hAnsi="Times New Roman" w:cs="Times New Roman"/>
                <w:b/>
                <w:color w:val="FFFFFF"/>
                <w:sz w:val="18"/>
                <w:szCs w:val="18"/>
              </w:rPr>
            </w:pPr>
            <w:r w:rsidRPr="00A04B57">
              <w:rPr>
                <w:rFonts w:ascii="Times New Roman" w:eastAsia="Arial" w:hAnsi="Times New Roman" w:cs="Times New Roman"/>
                <w:b/>
                <w:color w:val="FFFFFF"/>
                <w:sz w:val="18"/>
                <w:szCs w:val="18"/>
              </w:rPr>
              <w:t>5</w:t>
            </w:r>
          </w:p>
        </w:tc>
        <w:tc>
          <w:tcPr>
            <w:tcW w:w="1350" w:type="dxa"/>
            <w:shd w:val="clear" w:color="auto" w:fill="C00000"/>
            <w:vAlign w:val="center"/>
          </w:tcPr>
          <w:p w14:paraId="238ED50F" w14:textId="77777777" w:rsidR="00A04B57" w:rsidRPr="00A04B57" w:rsidRDefault="00A04B57" w:rsidP="00A04B57">
            <w:pPr>
              <w:spacing w:after="0" w:line="240" w:lineRule="auto"/>
              <w:jc w:val="center"/>
              <w:rPr>
                <w:rFonts w:ascii="Times New Roman" w:eastAsia="Arial" w:hAnsi="Times New Roman" w:cs="Times New Roman"/>
                <w:color w:val="FFFFFF"/>
                <w:sz w:val="18"/>
                <w:szCs w:val="18"/>
              </w:rPr>
            </w:pPr>
            <w:r w:rsidRPr="00A04B57">
              <w:rPr>
                <w:rFonts w:ascii="Times New Roman" w:eastAsia="Arial" w:hAnsi="Times New Roman" w:cs="Times New Roman"/>
                <w:color w:val="FFFFFF"/>
                <w:sz w:val="18"/>
                <w:szCs w:val="18"/>
              </w:rPr>
              <w:t>Muito Alto</w:t>
            </w:r>
          </w:p>
        </w:tc>
        <w:tc>
          <w:tcPr>
            <w:tcW w:w="3030" w:type="dxa"/>
            <w:shd w:val="clear" w:color="auto" w:fill="auto"/>
            <w:vAlign w:val="center"/>
          </w:tcPr>
          <w:p w14:paraId="399063E3"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Prejudica gravemente a legalidade, legitimidade ou continuidade das ações financiadas pelo Fundo.</w:t>
            </w:r>
          </w:p>
        </w:tc>
        <w:tc>
          <w:tcPr>
            <w:tcW w:w="2865" w:type="dxa"/>
            <w:shd w:val="clear" w:color="auto" w:fill="auto"/>
            <w:vAlign w:val="center"/>
          </w:tcPr>
          <w:p w14:paraId="7354C138"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Fundo sem lei formal de criação; subexecução superior a 20% (ou seja, execução abaixo de 80% do valor autorizado).</w:t>
            </w:r>
          </w:p>
        </w:tc>
      </w:tr>
    </w:tbl>
    <w:p w14:paraId="3E65C292"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sz w:val="20"/>
          <w:szCs w:val="20"/>
        </w:rPr>
      </w:pPr>
      <w:r w:rsidRPr="00A04B57">
        <w:rPr>
          <w:rFonts w:ascii="Times New Roman" w:eastAsia="Arial" w:hAnsi="Times New Roman" w:cs="Times New Roman"/>
          <w:color w:val="000000"/>
          <w:sz w:val="20"/>
          <w:szCs w:val="20"/>
        </w:rPr>
        <w:t>Fonte: Elaboração própria.</w:t>
      </w:r>
    </w:p>
    <w:p w14:paraId="60E61F86"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sz w:val="20"/>
          <w:szCs w:val="20"/>
        </w:rPr>
      </w:pPr>
    </w:p>
    <w:p w14:paraId="77543244" w14:textId="77777777" w:rsidR="00A04B57" w:rsidRPr="00A04B57" w:rsidRDefault="00A04B57" w:rsidP="0032733E">
      <w:pPr>
        <w:numPr>
          <w:ilvl w:val="0"/>
          <w:numId w:val="45"/>
        </w:numPr>
        <w:pBdr>
          <w:top w:val="nil"/>
          <w:left w:val="nil"/>
          <w:bottom w:val="nil"/>
          <w:right w:val="nil"/>
          <w:between w:val="nil"/>
        </w:pBdr>
        <w:spacing w:after="300" w:line="360" w:lineRule="auto"/>
        <w:ind w:left="709"/>
        <w:jc w:val="both"/>
        <w:rPr>
          <w:rFonts w:ascii="Times New Roman" w:hAnsi="Times New Roman" w:cs="Times New Roman"/>
        </w:rPr>
      </w:pPr>
      <w:r w:rsidRPr="00A04B57">
        <w:rPr>
          <w:rFonts w:ascii="Times New Roman" w:eastAsia="Arial" w:hAnsi="Times New Roman" w:cs="Times New Roman"/>
          <w:color w:val="000000"/>
        </w:rPr>
        <w:t xml:space="preserve">A categoria </w:t>
      </w:r>
      <w:r w:rsidRPr="00A04B57">
        <w:rPr>
          <w:rFonts w:ascii="Times New Roman" w:eastAsia="Arial" w:hAnsi="Times New Roman" w:cs="Times New Roman"/>
          <w:i/>
          <w:color w:val="000000"/>
        </w:rPr>
        <w:t>probabilidade</w:t>
      </w:r>
      <w:r w:rsidRPr="00A04B57">
        <w:rPr>
          <w:rFonts w:ascii="Times New Roman" w:eastAsia="Arial" w:hAnsi="Times New Roman" w:cs="Times New Roman"/>
          <w:color w:val="000000"/>
        </w:rPr>
        <w:t xml:space="preserve"> indica a chance de ocorrência do risco</w:t>
      </w:r>
      <w:r w:rsidRPr="00A04B57">
        <w:rPr>
          <w:rFonts w:ascii="Times New Roman" w:eastAsia="Arial" w:hAnsi="Times New Roman" w:cs="Times New Roman"/>
          <w:color w:val="000000"/>
          <w:vertAlign w:val="superscript"/>
        </w:rPr>
        <w:footnoteReference w:id="8"/>
      </w:r>
      <w:r w:rsidRPr="00A04B57">
        <w:rPr>
          <w:rFonts w:ascii="Times New Roman" w:eastAsia="Arial" w:hAnsi="Times New Roman" w:cs="Times New Roman"/>
          <w:color w:val="000000"/>
        </w:rPr>
        <w:t xml:space="preserve">, considerando o histórico (se ocorreu nos últimos anos e com qual frequência), as fragilidades de controles (se há controles internos eficazes) e o contexto do Fundo (se há sinais de que o risco pode voltar a ocorrer). Essa variável ajuda a diferenciar riscos graves, mas pouco prováveis, daqueles que, embora não tão severos, acontecem com maior frequência. Serve para complementar o </w:t>
      </w:r>
      <w:r w:rsidRPr="00A04B57">
        <w:rPr>
          <w:rFonts w:ascii="Times New Roman" w:eastAsia="Arial" w:hAnsi="Times New Roman" w:cs="Times New Roman"/>
          <w:i/>
          <w:color w:val="000000"/>
        </w:rPr>
        <w:t>impacto</w:t>
      </w:r>
      <w:r w:rsidRPr="00A04B57">
        <w:rPr>
          <w:rFonts w:ascii="Times New Roman" w:eastAsia="Arial" w:hAnsi="Times New Roman" w:cs="Times New Roman"/>
          <w:color w:val="000000"/>
        </w:rPr>
        <w:t xml:space="preserve"> (gravidade) no cálculo da </w:t>
      </w:r>
      <w:r w:rsidRPr="00A04B57">
        <w:rPr>
          <w:rFonts w:ascii="Times New Roman" w:eastAsia="Arial" w:hAnsi="Times New Roman" w:cs="Times New Roman"/>
          <w:i/>
          <w:color w:val="000000"/>
        </w:rPr>
        <w:t>criticidade</w:t>
      </w:r>
      <w:r w:rsidRPr="00A04B57">
        <w:rPr>
          <w:rFonts w:ascii="Times New Roman" w:eastAsia="Arial" w:hAnsi="Times New Roman" w:cs="Times New Roman"/>
          <w:color w:val="000000"/>
        </w:rPr>
        <w:t xml:space="preserve"> (nível de prioridade das ações), representada em uma escala de 1 a 5:</w:t>
      </w:r>
    </w:p>
    <w:p w14:paraId="74194BB1" w14:textId="7380EA84" w:rsidR="00A04B57" w:rsidRPr="00A04B57" w:rsidRDefault="00E53A82" w:rsidP="00A04B57">
      <w:pPr>
        <w:keepNext/>
        <w:pBdr>
          <w:top w:val="nil"/>
          <w:left w:val="nil"/>
          <w:bottom w:val="nil"/>
          <w:right w:val="nil"/>
          <w:between w:val="nil"/>
        </w:pBdr>
        <w:spacing w:after="0" w:line="360" w:lineRule="auto"/>
        <w:rPr>
          <w:rFonts w:ascii="Times New Roman" w:eastAsia="Arial" w:hAnsi="Times New Roman" w:cs="Times New Roman"/>
          <w:color w:val="000000"/>
          <w:sz w:val="20"/>
          <w:szCs w:val="20"/>
        </w:rPr>
      </w:pPr>
      <w:bookmarkStart w:id="20" w:name="_heading=h.wt5dekuw5n57" w:colFirst="0" w:colLast="0"/>
      <w:bookmarkEnd w:id="20"/>
      <w:r>
        <w:rPr>
          <w:rFonts w:ascii="Times New Roman" w:eastAsia="Arial" w:hAnsi="Times New Roman" w:cs="Times New Roman"/>
          <w:color w:val="000000"/>
          <w:sz w:val="20"/>
          <w:szCs w:val="20"/>
        </w:rPr>
        <w:t xml:space="preserve">            Quadro 5</w:t>
      </w:r>
      <w:r w:rsidR="00A04B57" w:rsidRPr="00A04B57">
        <w:rPr>
          <w:rFonts w:ascii="Times New Roman" w:eastAsia="Arial" w:hAnsi="Times New Roman" w:cs="Times New Roman"/>
          <w:color w:val="000000"/>
          <w:sz w:val="20"/>
          <w:szCs w:val="20"/>
        </w:rPr>
        <w:t xml:space="preserve"> – Escala de Probabilidade</w:t>
      </w:r>
    </w:p>
    <w:tbl>
      <w:tblPr>
        <w:tblW w:w="8610" w:type="dxa"/>
        <w:tblInd w:w="70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05"/>
        <w:gridCol w:w="1280"/>
        <w:gridCol w:w="3543"/>
        <w:gridCol w:w="3082"/>
      </w:tblGrid>
      <w:tr w:rsidR="00A04B57" w:rsidRPr="00A04B57" w14:paraId="437CBFFB" w14:textId="77777777" w:rsidTr="00BC3AC4">
        <w:trPr>
          <w:trHeight w:val="300"/>
        </w:trPr>
        <w:tc>
          <w:tcPr>
            <w:tcW w:w="705" w:type="dxa"/>
            <w:shd w:val="clear" w:color="auto" w:fill="auto"/>
            <w:vAlign w:val="center"/>
          </w:tcPr>
          <w:p w14:paraId="0979C236"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Valor</w:t>
            </w:r>
          </w:p>
        </w:tc>
        <w:tc>
          <w:tcPr>
            <w:tcW w:w="1280" w:type="dxa"/>
            <w:shd w:val="clear" w:color="auto" w:fill="auto"/>
            <w:vAlign w:val="center"/>
          </w:tcPr>
          <w:p w14:paraId="1F1C3D4D"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Classificação</w:t>
            </w:r>
          </w:p>
        </w:tc>
        <w:tc>
          <w:tcPr>
            <w:tcW w:w="3543" w:type="dxa"/>
            <w:shd w:val="clear" w:color="auto" w:fill="auto"/>
            <w:vAlign w:val="center"/>
          </w:tcPr>
          <w:p w14:paraId="196888D8"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Descrição</w:t>
            </w:r>
          </w:p>
        </w:tc>
        <w:tc>
          <w:tcPr>
            <w:tcW w:w="3082" w:type="dxa"/>
            <w:shd w:val="clear" w:color="auto" w:fill="auto"/>
            <w:vAlign w:val="center"/>
          </w:tcPr>
          <w:p w14:paraId="5A568016"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Exemplo aplicado ao Fundo</w:t>
            </w:r>
          </w:p>
        </w:tc>
      </w:tr>
      <w:tr w:rsidR="00A04B57" w:rsidRPr="00A04B57" w14:paraId="60B91D8B" w14:textId="77777777" w:rsidTr="00BC3AC4">
        <w:trPr>
          <w:trHeight w:val="450"/>
        </w:trPr>
        <w:tc>
          <w:tcPr>
            <w:tcW w:w="705" w:type="dxa"/>
            <w:shd w:val="clear" w:color="auto" w:fill="auto"/>
            <w:vAlign w:val="center"/>
          </w:tcPr>
          <w:p w14:paraId="23DDE0EB"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1</w:t>
            </w:r>
          </w:p>
        </w:tc>
        <w:tc>
          <w:tcPr>
            <w:tcW w:w="1280" w:type="dxa"/>
            <w:shd w:val="clear" w:color="auto" w:fill="auto"/>
            <w:vAlign w:val="center"/>
          </w:tcPr>
          <w:p w14:paraId="120A5DF5" w14:textId="77777777" w:rsidR="00A04B57" w:rsidRPr="00A04B57" w:rsidRDefault="00A04B57" w:rsidP="00A04B57">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Rara</w:t>
            </w:r>
          </w:p>
        </w:tc>
        <w:tc>
          <w:tcPr>
            <w:tcW w:w="3543" w:type="dxa"/>
            <w:shd w:val="clear" w:color="auto" w:fill="auto"/>
            <w:vAlign w:val="center"/>
          </w:tcPr>
          <w:p w14:paraId="32C33787"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Pouquíssima chance de ocorrer, evento excepcional.</w:t>
            </w:r>
          </w:p>
        </w:tc>
        <w:tc>
          <w:tcPr>
            <w:tcW w:w="3082" w:type="dxa"/>
            <w:shd w:val="clear" w:color="auto" w:fill="auto"/>
            <w:vAlign w:val="center"/>
          </w:tcPr>
          <w:p w14:paraId="06360060"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Alteração constitucional.</w:t>
            </w:r>
          </w:p>
        </w:tc>
      </w:tr>
      <w:tr w:rsidR="00A04B57" w:rsidRPr="00A04B57" w14:paraId="06A4D559" w14:textId="77777777" w:rsidTr="00BC3AC4">
        <w:trPr>
          <w:trHeight w:val="450"/>
        </w:trPr>
        <w:tc>
          <w:tcPr>
            <w:tcW w:w="705" w:type="dxa"/>
            <w:shd w:val="clear" w:color="auto" w:fill="auto"/>
            <w:vAlign w:val="center"/>
          </w:tcPr>
          <w:p w14:paraId="38AF3FF4"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2</w:t>
            </w:r>
          </w:p>
        </w:tc>
        <w:tc>
          <w:tcPr>
            <w:tcW w:w="1280" w:type="dxa"/>
            <w:shd w:val="clear" w:color="auto" w:fill="auto"/>
            <w:vAlign w:val="center"/>
          </w:tcPr>
          <w:p w14:paraId="3635410B" w14:textId="77777777" w:rsidR="00A04B57" w:rsidRPr="00A04B57" w:rsidRDefault="00A04B57" w:rsidP="00A04B57">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Improvável</w:t>
            </w:r>
          </w:p>
        </w:tc>
        <w:tc>
          <w:tcPr>
            <w:tcW w:w="3543" w:type="dxa"/>
            <w:shd w:val="clear" w:color="auto" w:fill="auto"/>
            <w:vAlign w:val="center"/>
          </w:tcPr>
          <w:p w14:paraId="340D0ED3"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Ocorreu raramente; pode acontecer em casos isolados.</w:t>
            </w:r>
          </w:p>
        </w:tc>
        <w:tc>
          <w:tcPr>
            <w:tcW w:w="3082" w:type="dxa"/>
            <w:shd w:val="clear" w:color="auto" w:fill="auto"/>
            <w:vAlign w:val="center"/>
          </w:tcPr>
          <w:p w14:paraId="73FE8798"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Atraso pontual de repasse.</w:t>
            </w:r>
          </w:p>
        </w:tc>
      </w:tr>
      <w:tr w:rsidR="00A04B57" w:rsidRPr="00A04B57" w14:paraId="7144C6DB" w14:textId="77777777" w:rsidTr="00BC3AC4">
        <w:trPr>
          <w:trHeight w:val="450"/>
        </w:trPr>
        <w:tc>
          <w:tcPr>
            <w:tcW w:w="705" w:type="dxa"/>
            <w:shd w:val="clear" w:color="auto" w:fill="auto"/>
            <w:vAlign w:val="center"/>
          </w:tcPr>
          <w:p w14:paraId="7C996602"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3</w:t>
            </w:r>
          </w:p>
        </w:tc>
        <w:tc>
          <w:tcPr>
            <w:tcW w:w="1280" w:type="dxa"/>
            <w:shd w:val="clear" w:color="auto" w:fill="auto"/>
            <w:vAlign w:val="center"/>
          </w:tcPr>
          <w:p w14:paraId="23EB6126" w14:textId="77777777" w:rsidR="00A04B57" w:rsidRPr="00A04B57" w:rsidRDefault="00A04B57" w:rsidP="00A04B57">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Possível</w:t>
            </w:r>
          </w:p>
        </w:tc>
        <w:tc>
          <w:tcPr>
            <w:tcW w:w="3543" w:type="dxa"/>
            <w:shd w:val="clear" w:color="auto" w:fill="auto"/>
            <w:vAlign w:val="center"/>
          </w:tcPr>
          <w:p w14:paraId="17FAC38D"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Já ocorreu e pode voltar a ocorrer com alguma frequência.</w:t>
            </w:r>
          </w:p>
        </w:tc>
        <w:tc>
          <w:tcPr>
            <w:tcW w:w="3082" w:type="dxa"/>
            <w:shd w:val="clear" w:color="auto" w:fill="auto"/>
            <w:vAlign w:val="center"/>
          </w:tcPr>
          <w:p w14:paraId="0A2CBC69"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sz w:val="18"/>
                <w:szCs w:val="18"/>
              </w:rPr>
              <w:t>O Conselho</w:t>
            </w:r>
            <w:r w:rsidRPr="00A04B57">
              <w:rPr>
                <w:rFonts w:ascii="Times New Roman" w:eastAsia="Arial" w:hAnsi="Times New Roman" w:cs="Times New Roman"/>
                <w:color w:val="000000"/>
                <w:sz w:val="18"/>
                <w:szCs w:val="18"/>
              </w:rPr>
              <w:t xml:space="preserve"> Gestor do Fundo não é paritário.</w:t>
            </w:r>
          </w:p>
        </w:tc>
      </w:tr>
      <w:tr w:rsidR="00A04B57" w:rsidRPr="00A04B57" w14:paraId="730A090F" w14:textId="77777777" w:rsidTr="00BC3AC4">
        <w:trPr>
          <w:trHeight w:val="300"/>
        </w:trPr>
        <w:tc>
          <w:tcPr>
            <w:tcW w:w="705" w:type="dxa"/>
            <w:shd w:val="clear" w:color="auto" w:fill="auto"/>
            <w:vAlign w:val="center"/>
          </w:tcPr>
          <w:p w14:paraId="768DC108"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4</w:t>
            </w:r>
          </w:p>
        </w:tc>
        <w:tc>
          <w:tcPr>
            <w:tcW w:w="1280" w:type="dxa"/>
            <w:shd w:val="clear" w:color="auto" w:fill="auto"/>
            <w:vAlign w:val="center"/>
          </w:tcPr>
          <w:p w14:paraId="37334B50" w14:textId="77777777" w:rsidR="00A04B57" w:rsidRPr="00A04B57" w:rsidRDefault="00A04B57" w:rsidP="00A04B57">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Provável</w:t>
            </w:r>
          </w:p>
        </w:tc>
        <w:tc>
          <w:tcPr>
            <w:tcW w:w="3543" w:type="dxa"/>
            <w:shd w:val="clear" w:color="auto" w:fill="auto"/>
            <w:vAlign w:val="center"/>
          </w:tcPr>
          <w:p w14:paraId="45DD1C32"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Tendência forte de ocorrer, quase anual.</w:t>
            </w:r>
          </w:p>
        </w:tc>
        <w:tc>
          <w:tcPr>
            <w:tcW w:w="3082" w:type="dxa"/>
            <w:shd w:val="clear" w:color="auto" w:fill="auto"/>
            <w:vAlign w:val="center"/>
          </w:tcPr>
          <w:p w14:paraId="4E8F85BA"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Contingenciamentos recorrentes.</w:t>
            </w:r>
          </w:p>
        </w:tc>
      </w:tr>
      <w:tr w:rsidR="00A04B57" w:rsidRPr="00A04B57" w14:paraId="6279FFE5" w14:textId="77777777" w:rsidTr="00BC3AC4">
        <w:trPr>
          <w:trHeight w:val="450"/>
        </w:trPr>
        <w:tc>
          <w:tcPr>
            <w:tcW w:w="705" w:type="dxa"/>
            <w:shd w:val="clear" w:color="auto" w:fill="auto"/>
            <w:vAlign w:val="center"/>
          </w:tcPr>
          <w:p w14:paraId="630A7224"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5</w:t>
            </w:r>
          </w:p>
        </w:tc>
        <w:tc>
          <w:tcPr>
            <w:tcW w:w="1280" w:type="dxa"/>
            <w:shd w:val="clear" w:color="auto" w:fill="auto"/>
            <w:vAlign w:val="center"/>
          </w:tcPr>
          <w:p w14:paraId="22C9CC49" w14:textId="77777777" w:rsidR="00A04B57" w:rsidRPr="00A04B57" w:rsidRDefault="00A04B57" w:rsidP="00A04B57">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Quase certo</w:t>
            </w:r>
          </w:p>
        </w:tc>
        <w:tc>
          <w:tcPr>
            <w:tcW w:w="3543" w:type="dxa"/>
            <w:shd w:val="clear" w:color="auto" w:fill="auto"/>
            <w:vAlign w:val="center"/>
          </w:tcPr>
          <w:p w14:paraId="32AED401"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Recorrente, já em curso ou inevitável (se não houver intervenção).</w:t>
            </w:r>
          </w:p>
        </w:tc>
        <w:tc>
          <w:tcPr>
            <w:tcW w:w="3082" w:type="dxa"/>
            <w:shd w:val="clear" w:color="auto" w:fill="auto"/>
            <w:vAlign w:val="center"/>
          </w:tcPr>
          <w:p w14:paraId="7807E8C7"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Subexecução sistemática ou falta de prestação de contas.</w:t>
            </w:r>
          </w:p>
        </w:tc>
      </w:tr>
    </w:tbl>
    <w:p w14:paraId="7D5AD9B7"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sz w:val="20"/>
          <w:szCs w:val="20"/>
        </w:rPr>
      </w:pPr>
      <w:r w:rsidRPr="00A04B57">
        <w:rPr>
          <w:rFonts w:ascii="Times New Roman" w:eastAsia="Arial" w:hAnsi="Times New Roman" w:cs="Times New Roman"/>
          <w:color w:val="000000"/>
          <w:sz w:val="20"/>
          <w:szCs w:val="20"/>
        </w:rPr>
        <w:t>Fonte: Elaboração própria.</w:t>
      </w:r>
    </w:p>
    <w:p w14:paraId="5F1CC03F" w14:textId="77777777" w:rsidR="00A04B57" w:rsidRPr="00A04B57" w:rsidRDefault="00A04B57" w:rsidP="0032733E">
      <w:pPr>
        <w:numPr>
          <w:ilvl w:val="0"/>
          <w:numId w:val="45"/>
        </w:numPr>
        <w:pBdr>
          <w:top w:val="nil"/>
          <w:left w:val="nil"/>
          <w:bottom w:val="nil"/>
          <w:right w:val="nil"/>
          <w:between w:val="nil"/>
        </w:pBdr>
        <w:spacing w:after="0" w:line="360" w:lineRule="auto"/>
        <w:ind w:left="709"/>
        <w:jc w:val="both"/>
        <w:rPr>
          <w:rFonts w:ascii="Times New Roman" w:hAnsi="Times New Roman" w:cs="Times New Roman"/>
        </w:rPr>
      </w:pPr>
      <w:r w:rsidRPr="00A04B57">
        <w:rPr>
          <w:rFonts w:ascii="Times New Roman" w:eastAsia="Arial" w:hAnsi="Times New Roman" w:cs="Times New Roman"/>
          <w:color w:val="000000"/>
        </w:rPr>
        <w:lastRenderedPageBreak/>
        <w:t xml:space="preserve">A combinação de </w:t>
      </w:r>
      <w:r w:rsidRPr="00A04B57">
        <w:rPr>
          <w:rFonts w:ascii="Times New Roman" w:eastAsia="Arial" w:hAnsi="Times New Roman" w:cs="Times New Roman"/>
          <w:i/>
          <w:color w:val="000000"/>
        </w:rPr>
        <w:t>peso × impacto × probabilidade</w:t>
      </w:r>
      <w:r w:rsidRPr="00A04B57">
        <w:rPr>
          <w:rFonts w:ascii="Times New Roman" w:eastAsia="Arial" w:hAnsi="Times New Roman" w:cs="Times New Roman"/>
          <w:color w:val="000000"/>
        </w:rPr>
        <w:t xml:space="preserve"> resulta no </w:t>
      </w:r>
      <w:r w:rsidRPr="00A04B57">
        <w:rPr>
          <w:rFonts w:ascii="Times New Roman" w:eastAsia="Arial" w:hAnsi="Times New Roman" w:cs="Times New Roman"/>
          <w:i/>
          <w:color w:val="000000"/>
        </w:rPr>
        <w:t>grau de</w:t>
      </w:r>
      <w:r w:rsidRPr="00A04B57">
        <w:rPr>
          <w:rFonts w:ascii="Times New Roman" w:eastAsia="Arial" w:hAnsi="Times New Roman" w:cs="Times New Roman"/>
          <w:color w:val="000000"/>
        </w:rPr>
        <w:t xml:space="preserve"> </w:t>
      </w:r>
      <w:r w:rsidRPr="00A04B57">
        <w:rPr>
          <w:rFonts w:ascii="Times New Roman" w:eastAsia="Arial" w:hAnsi="Times New Roman" w:cs="Times New Roman"/>
          <w:i/>
          <w:color w:val="000000"/>
        </w:rPr>
        <w:t>criticidade</w:t>
      </w:r>
      <w:r w:rsidRPr="00A04B57">
        <w:rPr>
          <w:rFonts w:ascii="Times New Roman" w:eastAsia="Arial" w:hAnsi="Times New Roman" w:cs="Times New Roman"/>
          <w:color w:val="000000"/>
        </w:rPr>
        <w:t xml:space="preserve">, um indicador numérico que expressa a prioridade de tratamento do risco. Quanto maior o valor, mais urgente é a necessidade de ação. </w:t>
      </w:r>
    </w:p>
    <w:p w14:paraId="6D082120" w14:textId="77777777" w:rsidR="00A04B57" w:rsidRPr="00A04B57" w:rsidRDefault="00A04B57" w:rsidP="0032733E">
      <w:pPr>
        <w:numPr>
          <w:ilvl w:val="0"/>
          <w:numId w:val="45"/>
        </w:numPr>
        <w:pBdr>
          <w:top w:val="nil"/>
          <w:left w:val="nil"/>
          <w:bottom w:val="nil"/>
          <w:right w:val="nil"/>
          <w:between w:val="nil"/>
        </w:pBdr>
        <w:spacing w:after="0" w:line="360" w:lineRule="auto"/>
        <w:ind w:left="709"/>
        <w:jc w:val="both"/>
        <w:rPr>
          <w:rFonts w:ascii="Times New Roman" w:hAnsi="Times New Roman" w:cs="Times New Roman"/>
        </w:rPr>
      </w:pPr>
      <w:r w:rsidRPr="00A04B57">
        <w:rPr>
          <w:rFonts w:ascii="Times New Roman" w:eastAsia="Arial" w:hAnsi="Times New Roman" w:cs="Times New Roman"/>
          <w:color w:val="000000"/>
        </w:rPr>
        <w:t xml:space="preserve">As categorias seguintes transformam esse diagnóstico em </w:t>
      </w:r>
      <w:r w:rsidRPr="00A04B57">
        <w:rPr>
          <w:rFonts w:ascii="Times New Roman" w:eastAsia="Arial" w:hAnsi="Times New Roman" w:cs="Times New Roman"/>
          <w:i/>
          <w:color w:val="000000"/>
        </w:rPr>
        <w:t>ação preventiva</w:t>
      </w:r>
      <w:r w:rsidRPr="00A04B57">
        <w:rPr>
          <w:rFonts w:ascii="Times New Roman" w:eastAsia="Arial" w:hAnsi="Times New Roman" w:cs="Times New Roman"/>
          <w:color w:val="000000"/>
        </w:rPr>
        <w:t xml:space="preserve"> (registra o que deve ser feito para evitar a ocorrência do risco, atuando de forma antecipada) ou </w:t>
      </w:r>
      <w:r w:rsidRPr="00A04B57">
        <w:rPr>
          <w:rFonts w:ascii="Times New Roman" w:eastAsia="Arial" w:hAnsi="Times New Roman" w:cs="Times New Roman"/>
          <w:i/>
          <w:color w:val="000000"/>
        </w:rPr>
        <w:t>ação de contingência</w:t>
      </w:r>
      <w:r w:rsidRPr="00A04B57">
        <w:rPr>
          <w:rFonts w:ascii="Times New Roman" w:eastAsia="Arial" w:hAnsi="Times New Roman" w:cs="Times New Roman"/>
          <w:color w:val="000000"/>
        </w:rPr>
        <w:t xml:space="preserve"> (indica o que precisa ser feito caso o risco se concretize, servindo como um plano para mitigar possíveis danos). </w:t>
      </w:r>
    </w:p>
    <w:p w14:paraId="6BEBCC92" w14:textId="77777777" w:rsidR="00A04B57" w:rsidRPr="00A04B57" w:rsidRDefault="00A04B57" w:rsidP="0032733E">
      <w:pPr>
        <w:numPr>
          <w:ilvl w:val="0"/>
          <w:numId w:val="45"/>
        </w:numPr>
        <w:pBdr>
          <w:top w:val="nil"/>
          <w:left w:val="nil"/>
          <w:bottom w:val="nil"/>
          <w:right w:val="nil"/>
          <w:between w:val="nil"/>
        </w:pBdr>
        <w:spacing w:after="300" w:line="360" w:lineRule="auto"/>
        <w:ind w:left="709"/>
        <w:jc w:val="both"/>
        <w:rPr>
          <w:rFonts w:ascii="Times New Roman" w:hAnsi="Times New Roman" w:cs="Times New Roman"/>
        </w:rPr>
      </w:pPr>
      <w:r w:rsidRPr="00A04B57">
        <w:rPr>
          <w:rFonts w:ascii="Times New Roman" w:eastAsia="Arial" w:hAnsi="Times New Roman" w:cs="Times New Roman"/>
          <w:color w:val="000000"/>
        </w:rPr>
        <w:t xml:space="preserve">Por fim, a categoria </w:t>
      </w:r>
      <w:r w:rsidRPr="00A04B57">
        <w:rPr>
          <w:rFonts w:ascii="Times New Roman" w:eastAsia="Arial" w:hAnsi="Times New Roman" w:cs="Times New Roman"/>
          <w:i/>
          <w:color w:val="000000"/>
        </w:rPr>
        <w:t>responsáveis envolvidos</w:t>
      </w:r>
      <w:r w:rsidRPr="00A04B57">
        <w:rPr>
          <w:rFonts w:ascii="Times New Roman" w:eastAsia="Arial" w:hAnsi="Times New Roman" w:cs="Times New Roman"/>
          <w:color w:val="000000"/>
        </w:rPr>
        <w:t xml:space="preserve"> designa papéis institucionais que, por dever legal ou por competência técnica, convergem sobre o ciclo de governança do Fundo, organizados em quatro camadas funcionais que, embora distintas, operam de maneira interdependente:</w:t>
      </w:r>
    </w:p>
    <w:p w14:paraId="5013F84C" w14:textId="4232F3E1" w:rsidR="00A04B57" w:rsidRPr="00A04B57" w:rsidRDefault="00A04B57" w:rsidP="00DB0181">
      <w:pPr>
        <w:keepNext/>
        <w:pBdr>
          <w:top w:val="nil"/>
          <w:left w:val="nil"/>
          <w:bottom w:val="nil"/>
          <w:right w:val="nil"/>
          <w:between w:val="nil"/>
        </w:pBdr>
        <w:spacing w:after="0" w:line="360" w:lineRule="auto"/>
        <w:ind w:firstLine="709"/>
        <w:rPr>
          <w:rFonts w:ascii="Times New Roman" w:eastAsia="Arial" w:hAnsi="Times New Roman" w:cs="Times New Roman"/>
          <w:color w:val="000000"/>
          <w:sz w:val="20"/>
          <w:szCs w:val="20"/>
        </w:rPr>
      </w:pPr>
      <w:bookmarkStart w:id="21" w:name="_heading=h.f5k1kqoqh3vm" w:colFirst="0" w:colLast="0"/>
      <w:bookmarkEnd w:id="21"/>
      <w:r w:rsidRPr="00A04B57">
        <w:rPr>
          <w:rFonts w:ascii="Times New Roman" w:eastAsia="Arial" w:hAnsi="Times New Roman" w:cs="Times New Roman"/>
          <w:color w:val="000000"/>
          <w:sz w:val="20"/>
          <w:szCs w:val="20"/>
        </w:rPr>
        <w:t xml:space="preserve">Quadro </w:t>
      </w:r>
      <w:r w:rsidR="00E53A82">
        <w:rPr>
          <w:rFonts w:ascii="Times New Roman" w:eastAsia="Arial" w:hAnsi="Times New Roman" w:cs="Times New Roman"/>
          <w:color w:val="000000"/>
          <w:sz w:val="20"/>
          <w:szCs w:val="20"/>
        </w:rPr>
        <w:t>6</w:t>
      </w:r>
      <w:r w:rsidRPr="00A04B57">
        <w:rPr>
          <w:rFonts w:ascii="Times New Roman" w:eastAsia="Arial" w:hAnsi="Times New Roman" w:cs="Times New Roman"/>
          <w:color w:val="000000"/>
          <w:sz w:val="20"/>
          <w:szCs w:val="20"/>
        </w:rPr>
        <w:t xml:space="preserve"> – Responsáveis pelo ciclo de governança do FCP</w:t>
      </w:r>
    </w:p>
    <w:tbl>
      <w:tblPr>
        <w:tblW w:w="8357" w:type="dxa"/>
        <w:tblInd w:w="70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76"/>
        <w:gridCol w:w="1276"/>
        <w:gridCol w:w="5805"/>
      </w:tblGrid>
      <w:tr w:rsidR="00A04B57" w:rsidRPr="00A04B57" w14:paraId="701ECA29" w14:textId="77777777" w:rsidTr="00DB0181">
        <w:tc>
          <w:tcPr>
            <w:tcW w:w="1276" w:type="dxa"/>
            <w:vAlign w:val="center"/>
          </w:tcPr>
          <w:p w14:paraId="29294DCF" w14:textId="77777777" w:rsidR="00A04B57" w:rsidRPr="00A04B57" w:rsidRDefault="00A04B57" w:rsidP="00DB0181">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Camada Funcional</w:t>
            </w:r>
          </w:p>
        </w:tc>
        <w:tc>
          <w:tcPr>
            <w:tcW w:w="1276" w:type="dxa"/>
            <w:vAlign w:val="center"/>
          </w:tcPr>
          <w:p w14:paraId="309ABBA4" w14:textId="77777777" w:rsidR="00A04B57" w:rsidRPr="00A04B57" w:rsidRDefault="00A04B57" w:rsidP="00DB0181">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Responsável</w:t>
            </w:r>
          </w:p>
        </w:tc>
        <w:tc>
          <w:tcPr>
            <w:tcW w:w="5805" w:type="dxa"/>
            <w:vAlign w:val="center"/>
          </w:tcPr>
          <w:p w14:paraId="3B1D5A52" w14:textId="77777777" w:rsidR="00A04B57" w:rsidRPr="00A04B57" w:rsidRDefault="00A04B57" w:rsidP="00DB0181">
            <w:pPr>
              <w:spacing w:after="0" w:line="240" w:lineRule="auto"/>
              <w:jc w:val="center"/>
              <w:rPr>
                <w:rFonts w:ascii="Times New Roman" w:eastAsia="Arial" w:hAnsi="Times New Roman" w:cs="Times New Roman"/>
                <w:b/>
                <w:sz w:val="18"/>
                <w:szCs w:val="18"/>
              </w:rPr>
            </w:pPr>
            <w:r w:rsidRPr="00A04B57">
              <w:rPr>
                <w:rFonts w:ascii="Times New Roman" w:eastAsia="Arial" w:hAnsi="Times New Roman" w:cs="Times New Roman"/>
                <w:b/>
                <w:sz w:val="18"/>
                <w:szCs w:val="18"/>
              </w:rPr>
              <w:t>Atribuições</w:t>
            </w:r>
          </w:p>
        </w:tc>
      </w:tr>
      <w:tr w:rsidR="00A04B57" w:rsidRPr="00A04B57" w14:paraId="6C47B4B4" w14:textId="77777777" w:rsidTr="00DB0181">
        <w:tc>
          <w:tcPr>
            <w:tcW w:w="1276" w:type="dxa"/>
            <w:vMerge w:val="restart"/>
            <w:vAlign w:val="center"/>
          </w:tcPr>
          <w:p w14:paraId="683E86F2"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Direção e conformidade</w:t>
            </w:r>
          </w:p>
        </w:tc>
        <w:tc>
          <w:tcPr>
            <w:tcW w:w="1276" w:type="dxa"/>
            <w:vAlign w:val="center"/>
          </w:tcPr>
          <w:p w14:paraId="41CBDC16"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Órgão Gestor do Fundo (OGF)</w:t>
            </w:r>
          </w:p>
        </w:tc>
        <w:tc>
          <w:tcPr>
            <w:tcW w:w="5805" w:type="dxa"/>
            <w:vAlign w:val="center"/>
          </w:tcPr>
          <w:p w14:paraId="21664A93" w14:textId="2FBFFB03"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É a unidade administrativa responsável pelo Fundo, normalmente alocada em secretaria setorial ou fazendária. Compete-lhe a gestão orçamentária e financeira dos recursos, além da ordenação das despesas e acompanhamento das metas, a curadoria das evidências (relatórios, painéis) e a interlocução com outros órgãos (SEPLAG, SE</w:t>
            </w:r>
            <w:r w:rsidR="00164417">
              <w:rPr>
                <w:rFonts w:ascii="Times New Roman" w:eastAsia="Arial" w:hAnsi="Times New Roman" w:cs="Times New Roman"/>
                <w:sz w:val="18"/>
                <w:szCs w:val="18"/>
              </w:rPr>
              <w:t>FAZ, CGF e órgãos de controle).</w:t>
            </w:r>
          </w:p>
        </w:tc>
      </w:tr>
      <w:tr w:rsidR="00A04B57" w:rsidRPr="00A04B57" w14:paraId="1EF3DB57" w14:textId="77777777" w:rsidTr="00DB0181">
        <w:tc>
          <w:tcPr>
            <w:tcW w:w="1276" w:type="dxa"/>
            <w:vMerge/>
            <w:vAlign w:val="center"/>
          </w:tcPr>
          <w:p w14:paraId="15EC4C4A" w14:textId="77777777" w:rsidR="00A04B57" w:rsidRPr="00A04B57" w:rsidRDefault="00A04B57" w:rsidP="00DB0181">
            <w:pPr>
              <w:widowControl w:val="0"/>
              <w:pBdr>
                <w:top w:val="nil"/>
                <w:left w:val="nil"/>
                <w:bottom w:val="nil"/>
                <w:right w:val="nil"/>
                <w:between w:val="nil"/>
              </w:pBdr>
              <w:spacing w:after="0" w:line="240" w:lineRule="auto"/>
              <w:rPr>
                <w:rFonts w:ascii="Times New Roman" w:eastAsia="Arial" w:hAnsi="Times New Roman" w:cs="Times New Roman"/>
                <w:sz w:val="18"/>
                <w:szCs w:val="18"/>
              </w:rPr>
            </w:pPr>
          </w:p>
        </w:tc>
        <w:tc>
          <w:tcPr>
            <w:tcW w:w="1276" w:type="dxa"/>
            <w:vAlign w:val="center"/>
          </w:tcPr>
          <w:p w14:paraId="25375FC4"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Conselho Gestor do Fundo (CGF)</w:t>
            </w:r>
          </w:p>
        </w:tc>
        <w:tc>
          <w:tcPr>
            <w:tcW w:w="5805" w:type="dxa"/>
            <w:vAlign w:val="center"/>
          </w:tcPr>
          <w:p w14:paraId="63D2898D" w14:textId="7611ACE1" w:rsidR="00A04B57" w:rsidRPr="00A04B57" w:rsidRDefault="00A04B57" w:rsidP="00DB0181">
            <w:pPr>
              <w:tabs>
                <w:tab w:val="left" w:pos="1926"/>
              </w:tabs>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 xml:space="preserve">Colegiado deliberativo com participação governamental e da sociedade civil. É o contrapeso democrático na definição de prioridades e na aprovação do PA/PAF, além de supervisionar a aderência </w:t>
            </w:r>
            <w:r w:rsidR="00164417">
              <w:rPr>
                <w:rFonts w:ascii="Times New Roman" w:eastAsia="Arial" w:hAnsi="Times New Roman" w:cs="Times New Roman"/>
                <w:sz w:val="18"/>
                <w:szCs w:val="18"/>
              </w:rPr>
              <w:t>do gasto à finalidade do Fundo.</w:t>
            </w:r>
          </w:p>
        </w:tc>
      </w:tr>
      <w:tr w:rsidR="00A04B57" w:rsidRPr="00A04B57" w14:paraId="498A2A7E" w14:textId="77777777" w:rsidTr="00DB0181">
        <w:tc>
          <w:tcPr>
            <w:tcW w:w="1276" w:type="dxa"/>
            <w:vMerge/>
            <w:vAlign w:val="center"/>
          </w:tcPr>
          <w:p w14:paraId="0C32486A" w14:textId="77777777" w:rsidR="00A04B57" w:rsidRPr="00A04B57" w:rsidRDefault="00A04B57" w:rsidP="00DB0181">
            <w:pPr>
              <w:widowControl w:val="0"/>
              <w:pBdr>
                <w:top w:val="nil"/>
                <w:left w:val="nil"/>
                <w:bottom w:val="nil"/>
                <w:right w:val="nil"/>
                <w:between w:val="nil"/>
              </w:pBdr>
              <w:spacing w:after="0" w:line="240" w:lineRule="auto"/>
              <w:rPr>
                <w:rFonts w:ascii="Times New Roman" w:eastAsia="Arial" w:hAnsi="Times New Roman" w:cs="Times New Roman"/>
                <w:sz w:val="18"/>
                <w:szCs w:val="18"/>
              </w:rPr>
            </w:pPr>
          </w:p>
        </w:tc>
        <w:tc>
          <w:tcPr>
            <w:tcW w:w="1276" w:type="dxa"/>
            <w:vAlign w:val="center"/>
          </w:tcPr>
          <w:p w14:paraId="0010B9A4"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Procuradoria (Estado/ Município)</w:t>
            </w:r>
          </w:p>
        </w:tc>
        <w:tc>
          <w:tcPr>
            <w:tcW w:w="5805" w:type="dxa"/>
            <w:vAlign w:val="center"/>
          </w:tcPr>
          <w:p w14:paraId="1257B367" w14:textId="11F9F071"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Órgão de consultoria jurídica e representação judicial do ente. Atua como guardião da legalidade e constitucionalidade do arranjo jurídico-institucional do Fundo (lei de criação, vinculaç</w:t>
            </w:r>
            <w:r w:rsidR="00164417">
              <w:rPr>
                <w:rFonts w:ascii="Times New Roman" w:eastAsia="Arial" w:hAnsi="Times New Roman" w:cs="Times New Roman"/>
                <w:sz w:val="18"/>
                <w:szCs w:val="18"/>
              </w:rPr>
              <w:t>ão de receitas e regulamentos).</w:t>
            </w:r>
          </w:p>
        </w:tc>
      </w:tr>
      <w:tr w:rsidR="00A04B57" w:rsidRPr="00A04B57" w14:paraId="34FA30D8" w14:textId="77777777" w:rsidTr="00DB0181">
        <w:tc>
          <w:tcPr>
            <w:tcW w:w="1276" w:type="dxa"/>
            <w:vMerge/>
            <w:vAlign w:val="center"/>
          </w:tcPr>
          <w:p w14:paraId="548D06D4" w14:textId="77777777" w:rsidR="00A04B57" w:rsidRPr="00A04B57" w:rsidRDefault="00A04B57" w:rsidP="00DB0181">
            <w:pPr>
              <w:widowControl w:val="0"/>
              <w:pBdr>
                <w:top w:val="nil"/>
                <w:left w:val="nil"/>
                <w:bottom w:val="nil"/>
                <w:right w:val="nil"/>
                <w:between w:val="nil"/>
              </w:pBdr>
              <w:spacing w:after="0" w:line="240" w:lineRule="auto"/>
              <w:rPr>
                <w:rFonts w:ascii="Times New Roman" w:eastAsia="Arial" w:hAnsi="Times New Roman" w:cs="Times New Roman"/>
                <w:sz w:val="18"/>
                <w:szCs w:val="18"/>
              </w:rPr>
            </w:pPr>
          </w:p>
        </w:tc>
        <w:tc>
          <w:tcPr>
            <w:tcW w:w="1276" w:type="dxa"/>
            <w:vAlign w:val="center"/>
          </w:tcPr>
          <w:p w14:paraId="414BD1CD"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Casa Civil</w:t>
            </w:r>
          </w:p>
        </w:tc>
        <w:tc>
          <w:tcPr>
            <w:tcW w:w="5805" w:type="dxa"/>
            <w:vAlign w:val="center"/>
          </w:tcPr>
          <w:p w14:paraId="4AE10142" w14:textId="6B87CB83" w:rsidR="00A04B57" w:rsidRPr="00A04B57" w:rsidRDefault="00A04B57" w:rsidP="0016441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Instância de coordenação político-institucional do Executivo. Facilita a tramitação legislativa, a recomposição do CGF, a nomeação de membr</w:t>
            </w:r>
            <w:r w:rsidR="00164417">
              <w:rPr>
                <w:rFonts w:ascii="Times New Roman" w:eastAsia="Arial" w:hAnsi="Times New Roman" w:cs="Times New Roman"/>
                <w:sz w:val="18"/>
                <w:szCs w:val="18"/>
              </w:rPr>
              <w:t>os e a articulação entre pastas.</w:t>
            </w:r>
          </w:p>
        </w:tc>
      </w:tr>
      <w:tr w:rsidR="00A04B57" w:rsidRPr="00A04B57" w14:paraId="65C53415" w14:textId="77777777" w:rsidTr="00DB0181">
        <w:tc>
          <w:tcPr>
            <w:tcW w:w="1276" w:type="dxa"/>
            <w:vMerge/>
            <w:vAlign w:val="center"/>
          </w:tcPr>
          <w:p w14:paraId="7D30AF93" w14:textId="77777777" w:rsidR="00A04B57" w:rsidRPr="00A04B57" w:rsidRDefault="00A04B57" w:rsidP="00DB0181">
            <w:pPr>
              <w:widowControl w:val="0"/>
              <w:pBdr>
                <w:top w:val="nil"/>
                <w:left w:val="nil"/>
                <w:bottom w:val="nil"/>
                <w:right w:val="nil"/>
                <w:between w:val="nil"/>
              </w:pBdr>
              <w:spacing w:after="0" w:line="240" w:lineRule="auto"/>
              <w:rPr>
                <w:rFonts w:ascii="Times New Roman" w:eastAsia="Arial" w:hAnsi="Times New Roman" w:cs="Times New Roman"/>
                <w:sz w:val="18"/>
                <w:szCs w:val="18"/>
              </w:rPr>
            </w:pPr>
          </w:p>
        </w:tc>
        <w:tc>
          <w:tcPr>
            <w:tcW w:w="1276" w:type="dxa"/>
            <w:vAlign w:val="center"/>
          </w:tcPr>
          <w:p w14:paraId="4FCC83D3"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Legislativo (Assembleia/ Câmara)</w:t>
            </w:r>
          </w:p>
        </w:tc>
        <w:tc>
          <w:tcPr>
            <w:tcW w:w="5805" w:type="dxa"/>
            <w:vAlign w:val="center"/>
          </w:tcPr>
          <w:p w14:paraId="735D8506" w14:textId="1CA0B7E9"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Poder normativo-originário para instituir o Fundo, fixar alíquotas adicionais (quando cabível) e</w:t>
            </w:r>
            <w:r w:rsidR="00164417">
              <w:rPr>
                <w:rFonts w:ascii="Times New Roman" w:eastAsia="Arial" w:hAnsi="Times New Roman" w:cs="Times New Roman"/>
                <w:sz w:val="18"/>
                <w:szCs w:val="18"/>
              </w:rPr>
              <w:t xml:space="preserve"> incorporar salvaguardas à lei.</w:t>
            </w:r>
          </w:p>
        </w:tc>
      </w:tr>
      <w:tr w:rsidR="00A04B57" w:rsidRPr="00A04B57" w14:paraId="57D45864" w14:textId="77777777" w:rsidTr="00DB0181">
        <w:tc>
          <w:tcPr>
            <w:tcW w:w="1276" w:type="dxa"/>
            <w:vMerge w:val="restart"/>
            <w:vAlign w:val="center"/>
          </w:tcPr>
          <w:p w14:paraId="596C020A"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Planejamento, orçamento e finanças</w:t>
            </w:r>
          </w:p>
        </w:tc>
        <w:tc>
          <w:tcPr>
            <w:tcW w:w="1276" w:type="dxa"/>
            <w:vAlign w:val="center"/>
          </w:tcPr>
          <w:p w14:paraId="1F970F81"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Secretaria de Planejamento (SEPLAG ou equivalente)</w:t>
            </w:r>
          </w:p>
        </w:tc>
        <w:tc>
          <w:tcPr>
            <w:tcW w:w="5805" w:type="dxa"/>
            <w:vAlign w:val="center"/>
          </w:tcPr>
          <w:p w14:paraId="05458A39" w14:textId="41F76913" w:rsidR="00A04B57" w:rsidRPr="00A04B57" w:rsidRDefault="00A04B57" w:rsidP="0016441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Órgão de integração do ciclo PPA, LDO e LOA. Garante coerência entre as metas, indicadores e a programação do Fundo.</w:t>
            </w:r>
          </w:p>
        </w:tc>
      </w:tr>
      <w:tr w:rsidR="00A04B57" w:rsidRPr="00A04B57" w14:paraId="39B38CC6" w14:textId="77777777" w:rsidTr="00DB0181">
        <w:tc>
          <w:tcPr>
            <w:tcW w:w="1276" w:type="dxa"/>
            <w:vMerge/>
            <w:vAlign w:val="center"/>
          </w:tcPr>
          <w:p w14:paraId="084FCA33" w14:textId="77777777" w:rsidR="00A04B57" w:rsidRPr="00A04B57" w:rsidRDefault="00A04B57" w:rsidP="00DB0181">
            <w:pPr>
              <w:widowControl w:val="0"/>
              <w:pBdr>
                <w:top w:val="nil"/>
                <w:left w:val="nil"/>
                <w:bottom w:val="nil"/>
                <w:right w:val="nil"/>
                <w:between w:val="nil"/>
              </w:pBdr>
              <w:spacing w:after="0" w:line="240" w:lineRule="auto"/>
              <w:rPr>
                <w:rFonts w:ascii="Times New Roman" w:eastAsia="Arial" w:hAnsi="Times New Roman" w:cs="Times New Roman"/>
                <w:sz w:val="18"/>
                <w:szCs w:val="18"/>
              </w:rPr>
            </w:pPr>
          </w:p>
        </w:tc>
        <w:tc>
          <w:tcPr>
            <w:tcW w:w="1276" w:type="dxa"/>
            <w:vAlign w:val="center"/>
          </w:tcPr>
          <w:p w14:paraId="780CC025"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Secretaria de Fazenda (SEFAZ)</w:t>
            </w:r>
          </w:p>
        </w:tc>
        <w:tc>
          <w:tcPr>
            <w:tcW w:w="5805" w:type="dxa"/>
            <w:vAlign w:val="center"/>
          </w:tcPr>
          <w:p w14:paraId="09025640" w14:textId="1BFE5F3D" w:rsidR="00A04B57" w:rsidRPr="00A04B57" w:rsidRDefault="00A04B57" w:rsidP="0016441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Autoridade fazendária sobre a arrecadação de receita, realização de repasses e controle da disponibilidade de caixa. Responde pelo ingresso de recursos, pelo cumprimento do cronograma de desembolso e pelas conciliações.</w:t>
            </w:r>
          </w:p>
        </w:tc>
      </w:tr>
      <w:tr w:rsidR="00A04B57" w:rsidRPr="00A04B57" w14:paraId="64750AC0" w14:textId="77777777" w:rsidTr="00DB0181">
        <w:tc>
          <w:tcPr>
            <w:tcW w:w="1276" w:type="dxa"/>
            <w:vMerge/>
            <w:vAlign w:val="center"/>
          </w:tcPr>
          <w:p w14:paraId="382C5242" w14:textId="77777777" w:rsidR="00A04B57" w:rsidRPr="00A04B57" w:rsidRDefault="00A04B57" w:rsidP="00DB0181">
            <w:pPr>
              <w:widowControl w:val="0"/>
              <w:pBdr>
                <w:top w:val="nil"/>
                <w:left w:val="nil"/>
                <w:bottom w:val="nil"/>
                <w:right w:val="nil"/>
                <w:between w:val="nil"/>
              </w:pBdr>
              <w:spacing w:after="0" w:line="240" w:lineRule="auto"/>
              <w:rPr>
                <w:rFonts w:ascii="Times New Roman" w:eastAsia="Arial" w:hAnsi="Times New Roman" w:cs="Times New Roman"/>
                <w:sz w:val="18"/>
                <w:szCs w:val="18"/>
              </w:rPr>
            </w:pPr>
          </w:p>
        </w:tc>
        <w:tc>
          <w:tcPr>
            <w:tcW w:w="1276" w:type="dxa"/>
            <w:vAlign w:val="center"/>
          </w:tcPr>
          <w:p w14:paraId="175C8F03"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Unidade Contábil responsável pelo Fundo de Combate à Pobreza</w:t>
            </w:r>
          </w:p>
        </w:tc>
        <w:tc>
          <w:tcPr>
            <w:tcW w:w="5805" w:type="dxa"/>
            <w:vAlign w:val="center"/>
          </w:tcPr>
          <w:p w14:paraId="0EF83E27" w14:textId="0413E8C3" w:rsidR="00A04B57" w:rsidRPr="00A04B57" w:rsidRDefault="00A04B57" w:rsidP="0016441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Executa a classificação contábil, a escrituração, a inscrição e apuração do estoque de Restos a Pagar e a observância da ordem cronológica de pagamentos.</w:t>
            </w:r>
          </w:p>
        </w:tc>
      </w:tr>
      <w:tr w:rsidR="00A04B57" w:rsidRPr="00A04B57" w14:paraId="0828135B" w14:textId="77777777" w:rsidTr="00DB0181">
        <w:tc>
          <w:tcPr>
            <w:tcW w:w="1276" w:type="dxa"/>
            <w:vMerge w:val="restart"/>
            <w:vAlign w:val="center"/>
          </w:tcPr>
          <w:p w14:paraId="792A4482"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Controle, integridade e transparência</w:t>
            </w:r>
          </w:p>
        </w:tc>
        <w:tc>
          <w:tcPr>
            <w:tcW w:w="1276" w:type="dxa"/>
            <w:vAlign w:val="center"/>
          </w:tcPr>
          <w:p w14:paraId="65932A7B"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Controladoria Interno (CI)</w:t>
            </w:r>
          </w:p>
        </w:tc>
        <w:tc>
          <w:tcPr>
            <w:tcW w:w="5805" w:type="dxa"/>
            <w:vAlign w:val="center"/>
          </w:tcPr>
          <w:p w14:paraId="235ED542" w14:textId="0A1D8217" w:rsidR="00A04B57" w:rsidRPr="00A04B57" w:rsidRDefault="00A04B57" w:rsidP="0016441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Primeira / segunda linha de defesa em auditoria, integridade e gestão de riscos.</w:t>
            </w:r>
          </w:p>
        </w:tc>
      </w:tr>
      <w:tr w:rsidR="00A04B57" w:rsidRPr="00A04B57" w14:paraId="0FF60307" w14:textId="77777777" w:rsidTr="00DB0181">
        <w:tc>
          <w:tcPr>
            <w:tcW w:w="1276" w:type="dxa"/>
            <w:vMerge/>
            <w:vAlign w:val="center"/>
          </w:tcPr>
          <w:p w14:paraId="047B3D63" w14:textId="77777777" w:rsidR="00A04B57" w:rsidRPr="00A04B57" w:rsidRDefault="00A04B57" w:rsidP="00DB0181">
            <w:pPr>
              <w:widowControl w:val="0"/>
              <w:pBdr>
                <w:top w:val="nil"/>
                <w:left w:val="nil"/>
                <w:bottom w:val="nil"/>
                <w:right w:val="nil"/>
                <w:between w:val="nil"/>
              </w:pBdr>
              <w:spacing w:after="0" w:line="240" w:lineRule="auto"/>
              <w:rPr>
                <w:rFonts w:ascii="Times New Roman" w:eastAsia="Arial" w:hAnsi="Times New Roman" w:cs="Times New Roman"/>
                <w:sz w:val="18"/>
                <w:szCs w:val="18"/>
              </w:rPr>
            </w:pPr>
          </w:p>
        </w:tc>
        <w:tc>
          <w:tcPr>
            <w:tcW w:w="1276" w:type="dxa"/>
            <w:vAlign w:val="center"/>
          </w:tcPr>
          <w:p w14:paraId="06EEC2B4"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 xml:space="preserve">Tribunal de Contas </w:t>
            </w:r>
          </w:p>
        </w:tc>
        <w:tc>
          <w:tcPr>
            <w:tcW w:w="5805" w:type="dxa"/>
            <w:vAlign w:val="center"/>
          </w:tcPr>
          <w:p w14:paraId="51FAD6DF" w14:textId="76EE85CE" w:rsidR="00164417" w:rsidRPr="00A04B57" w:rsidRDefault="00A04B57" w:rsidP="0016441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Órgão de fiscalização independente das contas públicas.</w:t>
            </w:r>
          </w:p>
          <w:p w14:paraId="1F11FBCF" w14:textId="291463E1" w:rsidR="00A04B57" w:rsidRPr="00A04B57" w:rsidRDefault="00A04B57" w:rsidP="00DB0181">
            <w:pPr>
              <w:spacing w:after="0" w:line="240" w:lineRule="auto"/>
              <w:rPr>
                <w:rFonts w:ascii="Times New Roman" w:eastAsia="Arial" w:hAnsi="Times New Roman" w:cs="Times New Roman"/>
                <w:sz w:val="18"/>
                <w:szCs w:val="18"/>
              </w:rPr>
            </w:pPr>
          </w:p>
        </w:tc>
      </w:tr>
      <w:tr w:rsidR="00A04B57" w:rsidRPr="00A04B57" w14:paraId="4322D0EC" w14:textId="77777777" w:rsidTr="00DB0181">
        <w:tc>
          <w:tcPr>
            <w:tcW w:w="1276" w:type="dxa"/>
            <w:vMerge/>
            <w:vAlign w:val="center"/>
          </w:tcPr>
          <w:p w14:paraId="6BDEDA50" w14:textId="77777777" w:rsidR="00A04B57" w:rsidRPr="00A04B57" w:rsidRDefault="00A04B57" w:rsidP="00DB0181">
            <w:pPr>
              <w:widowControl w:val="0"/>
              <w:pBdr>
                <w:top w:val="nil"/>
                <w:left w:val="nil"/>
                <w:bottom w:val="nil"/>
                <w:right w:val="nil"/>
                <w:between w:val="nil"/>
              </w:pBdr>
              <w:spacing w:after="0" w:line="240" w:lineRule="auto"/>
              <w:rPr>
                <w:rFonts w:ascii="Times New Roman" w:eastAsia="Arial" w:hAnsi="Times New Roman" w:cs="Times New Roman"/>
                <w:sz w:val="18"/>
                <w:szCs w:val="18"/>
              </w:rPr>
            </w:pPr>
          </w:p>
        </w:tc>
        <w:tc>
          <w:tcPr>
            <w:tcW w:w="1276" w:type="dxa"/>
            <w:vAlign w:val="center"/>
          </w:tcPr>
          <w:p w14:paraId="5F6A26CC"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Ministério Público (Comum ou de Contas)</w:t>
            </w:r>
          </w:p>
        </w:tc>
        <w:tc>
          <w:tcPr>
            <w:tcW w:w="5805" w:type="dxa"/>
            <w:vAlign w:val="center"/>
          </w:tcPr>
          <w:p w14:paraId="3516B4CC" w14:textId="30D006AD" w:rsidR="00A04B57" w:rsidRPr="00A04B57" w:rsidRDefault="00A04B57" w:rsidP="0016441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Guarda a probidade administrativa e a tutela de direitos coletivos.</w:t>
            </w:r>
          </w:p>
        </w:tc>
      </w:tr>
      <w:tr w:rsidR="00A04B57" w:rsidRPr="00A04B57" w14:paraId="707B88FB" w14:textId="77777777" w:rsidTr="00DB0181">
        <w:tc>
          <w:tcPr>
            <w:tcW w:w="1276" w:type="dxa"/>
            <w:vMerge/>
            <w:vAlign w:val="center"/>
          </w:tcPr>
          <w:p w14:paraId="29B5CD45" w14:textId="77777777" w:rsidR="00A04B57" w:rsidRPr="00A04B57" w:rsidRDefault="00A04B57" w:rsidP="00DB0181">
            <w:pPr>
              <w:widowControl w:val="0"/>
              <w:pBdr>
                <w:top w:val="nil"/>
                <w:left w:val="nil"/>
                <w:bottom w:val="nil"/>
                <w:right w:val="nil"/>
                <w:between w:val="nil"/>
              </w:pBdr>
              <w:spacing w:after="0" w:line="240" w:lineRule="auto"/>
              <w:rPr>
                <w:rFonts w:ascii="Times New Roman" w:eastAsia="Arial" w:hAnsi="Times New Roman" w:cs="Times New Roman"/>
                <w:sz w:val="18"/>
                <w:szCs w:val="18"/>
              </w:rPr>
            </w:pPr>
          </w:p>
        </w:tc>
        <w:tc>
          <w:tcPr>
            <w:tcW w:w="1276" w:type="dxa"/>
            <w:vAlign w:val="center"/>
          </w:tcPr>
          <w:p w14:paraId="3E909A3F"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Unidade de Transparência/TI</w:t>
            </w:r>
          </w:p>
        </w:tc>
        <w:tc>
          <w:tcPr>
            <w:tcW w:w="5805" w:type="dxa"/>
            <w:vAlign w:val="center"/>
          </w:tcPr>
          <w:p w14:paraId="0775C8E3" w14:textId="42ECB8B6" w:rsidR="00164417" w:rsidRPr="00A04B57" w:rsidRDefault="00A04B57" w:rsidP="0016441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Estrutura a transparência ativa (portais, dados abertos e APIs) e é responsável pelo suporte tecnológico do portal do Fundo.</w:t>
            </w:r>
          </w:p>
          <w:p w14:paraId="4CA852C1" w14:textId="379CE03B" w:rsidR="00A04B57" w:rsidRPr="00A04B57" w:rsidRDefault="00A04B57" w:rsidP="00DB0181">
            <w:pPr>
              <w:spacing w:after="0" w:line="240" w:lineRule="auto"/>
              <w:rPr>
                <w:rFonts w:ascii="Times New Roman" w:eastAsia="Arial" w:hAnsi="Times New Roman" w:cs="Times New Roman"/>
                <w:sz w:val="18"/>
                <w:szCs w:val="18"/>
              </w:rPr>
            </w:pPr>
          </w:p>
        </w:tc>
      </w:tr>
      <w:tr w:rsidR="00A04B57" w:rsidRPr="00A04B57" w14:paraId="16B83FF4" w14:textId="77777777" w:rsidTr="00DB0181">
        <w:tc>
          <w:tcPr>
            <w:tcW w:w="1276" w:type="dxa"/>
            <w:vMerge w:val="restart"/>
            <w:vAlign w:val="center"/>
          </w:tcPr>
          <w:p w14:paraId="4E430157"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lastRenderedPageBreak/>
              <w:t>Execução setorial, monitoramento e capacidade estatal</w:t>
            </w:r>
          </w:p>
        </w:tc>
        <w:tc>
          <w:tcPr>
            <w:tcW w:w="1276" w:type="dxa"/>
            <w:vAlign w:val="center"/>
          </w:tcPr>
          <w:p w14:paraId="7B973FB1"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Secretarias Finalísticas (Educação, Saúde, Assistência etc.)</w:t>
            </w:r>
          </w:p>
        </w:tc>
        <w:tc>
          <w:tcPr>
            <w:tcW w:w="5805" w:type="dxa"/>
            <w:vAlign w:val="center"/>
          </w:tcPr>
          <w:p w14:paraId="3F756BE0" w14:textId="1049C97C"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São as unidades executoras das políticas financiadas pelo Fundo; trans</w:t>
            </w:r>
            <w:r w:rsidR="00164417">
              <w:rPr>
                <w:rFonts w:ascii="Times New Roman" w:eastAsia="Arial" w:hAnsi="Times New Roman" w:cs="Times New Roman"/>
                <w:sz w:val="18"/>
                <w:szCs w:val="18"/>
              </w:rPr>
              <w:t>formam gasto em entrega física.</w:t>
            </w:r>
          </w:p>
        </w:tc>
      </w:tr>
      <w:tr w:rsidR="00A04B57" w:rsidRPr="00A04B57" w14:paraId="24972275" w14:textId="77777777" w:rsidTr="00DB0181">
        <w:tc>
          <w:tcPr>
            <w:tcW w:w="1276" w:type="dxa"/>
            <w:vMerge/>
            <w:vAlign w:val="center"/>
          </w:tcPr>
          <w:p w14:paraId="357A235F" w14:textId="77777777" w:rsidR="00A04B57" w:rsidRPr="00A04B57" w:rsidRDefault="00A04B57" w:rsidP="00DB0181">
            <w:pPr>
              <w:widowControl w:val="0"/>
              <w:pBdr>
                <w:top w:val="nil"/>
                <w:left w:val="nil"/>
                <w:bottom w:val="nil"/>
                <w:right w:val="nil"/>
                <w:between w:val="nil"/>
              </w:pBdr>
              <w:spacing w:after="0" w:line="240" w:lineRule="auto"/>
              <w:rPr>
                <w:rFonts w:ascii="Times New Roman" w:eastAsia="Arial" w:hAnsi="Times New Roman" w:cs="Times New Roman"/>
                <w:sz w:val="18"/>
                <w:szCs w:val="18"/>
              </w:rPr>
            </w:pPr>
          </w:p>
        </w:tc>
        <w:tc>
          <w:tcPr>
            <w:tcW w:w="1276" w:type="dxa"/>
            <w:vAlign w:val="center"/>
          </w:tcPr>
          <w:p w14:paraId="29ABC20A"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Unidade de Monitoramento e Avaliação</w:t>
            </w:r>
          </w:p>
        </w:tc>
        <w:tc>
          <w:tcPr>
            <w:tcW w:w="5805" w:type="dxa"/>
            <w:vAlign w:val="center"/>
          </w:tcPr>
          <w:p w14:paraId="50F1C50C" w14:textId="5F600595" w:rsidR="00164417" w:rsidRPr="00A04B57" w:rsidRDefault="00A04B57" w:rsidP="0016441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Equipe técnica dedicada a indicadores, painéis e avaliações (de processo, resultado e, quando possível, de impacto).</w:t>
            </w:r>
          </w:p>
          <w:p w14:paraId="66213FBD" w14:textId="79C364AC" w:rsidR="00A04B57" w:rsidRPr="00A04B57" w:rsidRDefault="00A04B57" w:rsidP="00DB0181">
            <w:pPr>
              <w:spacing w:after="0" w:line="240" w:lineRule="auto"/>
              <w:rPr>
                <w:rFonts w:ascii="Times New Roman" w:eastAsia="Arial" w:hAnsi="Times New Roman" w:cs="Times New Roman"/>
                <w:sz w:val="18"/>
                <w:szCs w:val="18"/>
              </w:rPr>
            </w:pPr>
          </w:p>
        </w:tc>
      </w:tr>
      <w:tr w:rsidR="00A04B57" w:rsidRPr="00A04B57" w14:paraId="2C2D72D3" w14:textId="77777777" w:rsidTr="00DB0181">
        <w:tc>
          <w:tcPr>
            <w:tcW w:w="1276" w:type="dxa"/>
            <w:vMerge/>
            <w:vAlign w:val="center"/>
          </w:tcPr>
          <w:p w14:paraId="5511B274" w14:textId="77777777" w:rsidR="00A04B57" w:rsidRPr="00A04B57" w:rsidRDefault="00A04B57" w:rsidP="00DB0181">
            <w:pPr>
              <w:widowControl w:val="0"/>
              <w:pBdr>
                <w:top w:val="nil"/>
                <w:left w:val="nil"/>
                <w:bottom w:val="nil"/>
                <w:right w:val="nil"/>
                <w:between w:val="nil"/>
              </w:pBdr>
              <w:spacing w:after="0" w:line="240" w:lineRule="auto"/>
              <w:rPr>
                <w:rFonts w:ascii="Times New Roman" w:eastAsia="Arial" w:hAnsi="Times New Roman" w:cs="Times New Roman"/>
                <w:sz w:val="18"/>
                <w:szCs w:val="18"/>
              </w:rPr>
            </w:pPr>
          </w:p>
        </w:tc>
        <w:tc>
          <w:tcPr>
            <w:tcW w:w="1276" w:type="dxa"/>
            <w:vAlign w:val="center"/>
          </w:tcPr>
          <w:p w14:paraId="22F7DEB7"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Escola de Governo</w:t>
            </w:r>
          </w:p>
        </w:tc>
        <w:tc>
          <w:tcPr>
            <w:tcW w:w="5805" w:type="dxa"/>
            <w:vAlign w:val="center"/>
          </w:tcPr>
          <w:p w14:paraId="42A76DD6" w14:textId="642A8D62"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Estrutura de formação continuad</w:t>
            </w:r>
            <w:r w:rsidR="00164417">
              <w:rPr>
                <w:rFonts w:ascii="Times New Roman" w:eastAsia="Arial" w:hAnsi="Times New Roman" w:cs="Times New Roman"/>
                <w:sz w:val="18"/>
                <w:szCs w:val="18"/>
              </w:rPr>
              <w:t>a para gestores e conselheiros.</w:t>
            </w:r>
          </w:p>
        </w:tc>
      </w:tr>
      <w:tr w:rsidR="00A04B57" w:rsidRPr="00A04B57" w14:paraId="2336E5EF" w14:textId="77777777" w:rsidTr="00DB0181">
        <w:tc>
          <w:tcPr>
            <w:tcW w:w="1276" w:type="dxa"/>
            <w:vMerge/>
            <w:vAlign w:val="center"/>
          </w:tcPr>
          <w:p w14:paraId="669AD873" w14:textId="77777777" w:rsidR="00A04B57" w:rsidRPr="00A04B57" w:rsidRDefault="00A04B57" w:rsidP="00DB0181">
            <w:pPr>
              <w:widowControl w:val="0"/>
              <w:pBdr>
                <w:top w:val="nil"/>
                <w:left w:val="nil"/>
                <w:bottom w:val="nil"/>
                <w:right w:val="nil"/>
                <w:between w:val="nil"/>
              </w:pBdr>
              <w:spacing w:after="0" w:line="240" w:lineRule="auto"/>
              <w:rPr>
                <w:rFonts w:ascii="Times New Roman" w:eastAsia="Arial" w:hAnsi="Times New Roman" w:cs="Times New Roman"/>
                <w:sz w:val="18"/>
                <w:szCs w:val="18"/>
              </w:rPr>
            </w:pPr>
          </w:p>
        </w:tc>
        <w:tc>
          <w:tcPr>
            <w:tcW w:w="1276" w:type="dxa"/>
            <w:vAlign w:val="center"/>
          </w:tcPr>
          <w:p w14:paraId="5D6E9EC6" w14:textId="77777777" w:rsidR="00A04B57" w:rsidRPr="00A04B57" w:rsidRDefault="00A04B57" w:rsidP="00DB0181">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Sociedade Civil (no CGF)</w:t>
            </w:r>
          </w:p>
        </w:tc>
        <w:tc>
          <w:tcPr>
            <w:tcW w:w="5805" w:type="dxa"/>
            <w:vAlign w:val="center"/>
          </w:tcPr>
          <w:p w14:paraId="340E1CE4" w14:textId="70CA9D21" w:rsidR="00164417" w:rsidRPr="00A04B57" w:rsidRDefault="00A04B57" w:rsidP="00164417">
            <w:pPr>
              <w:spacing w:after="0" w:line="240" w:lineRule="auto"/>
              <w:rPr>
                <w:rFonts w:ascii="Times New Roman" w:eastAsia="Arial" w:hAnsi="Times New Roman" w:cs="Times New Roman"/>
                <w:sz w:val="18"/>
                <w:szCs w:val="18"/>
              </w:rPr>
            </w:pPr>
            <w:r w:rsidRPr="00A04B57">
              <w:rPr>
                <w:rFonts w:ascii="Times New Roman" w:eastAsia="Arial" w:hAnsi="Times New Roman" w:cs="Times New Roman"/>
                <w:sz w:val="18"/>
                <w:szCs w:val="18"/>
              </w:rPr>
              <w:t>Representação social institucionalizada no Conselho Gestor do Fundo, conferindo legitimidade e controle difuso aos recursos do Fundo.</w:t>
            </w:r>
          </w:p>
          <w:p w14:paraId="1C772E46" w14:textId="4F7EE1C3" w:rsidR="00A04B57" w:rsidRPr="00A04B57" w:rsidRDefault="00A04B57" w:rsidP="00DB0181">
            <w:pPr>
              <w:spacing w:after="0" w:line="240" w:lineRule="auto"/>
              <w:rPr>
                <w:rFonts w:ascii="Times New Roman" w:eastAsia="Arial" w:hAnsi="Times New Roman" w:cs="Times New Roman"/>
                <w:sz w:val="18"/>
                <w:szCs w:val="18"/>
              </w:rPr>
            </w:pPr>
          </w:p>
        </w:tc>
      </w:tr>
    </w:tbl>
    <w:p w14:paraId="0C1FC5A3" w14:textId="77777777" w:rsidR="00A04B57" w:rsidRPr="00A04B57" w:rsidRDefault="00A04B57" w:rsidP="00DB0181">
      <w:pPr>
        <w:ind w:firstLine="709"/>
        <w:rPr>
          <w:rFonts w:ascii="Times New Roman" w:eastAsia="Arial" w:hAnsi="Times New Roman" w:cs="Times New Roman"/>
          <w:sz w:val="20"/>
          <w:szCs w:val="20"/>
        </w:rPr>
      </w:pPr>
      <w:r w:rsidRPr="00A04B57">
        <w:rPr>
          <w:rFonts w:ascii="Times New Roman" w:eastAsia="Arial" w:hAnsi="Times New Roman" w:cs="Times New Roman"/>
          <w:sz w:val="20"/>
          <w:szCs w:val="20"/>
        </w:rPr>
        <w:t>Fonte: Elaboração própria.</w:t>
      </w:r>
    </w:p>
    <w:p w14:paraId="39EDC074"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Dessa forma, a governança dos Fundos de Combate à Pobreza, quando examinada a partir de um inventário de riscos, revela-se como um arranjo jurídico-institucional complexo, em que distintos atores exercem papéis complementares na prevenção e na contingência de possíveis falhas de gestão. </w:t>
      </w:r>
    </w:p>
    <w:p w14:paraId="70FCEB7E"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A camada normativa exerce função constitutiva e protetiva do Fundo. É nessa esfera que se estabelecem as regras do jogo: a lei de criação do Fundo, as normas de vinculação de receitas (adicionais de ICMS ou ISS), a definição dos objetivos institucionais e a previsão de mecanismos de governança. A clareza normativa, a densidade legal e a presença de dispositivos </w:t>
      </w:r>
      <w:r w:rsidRPr="00A04B57">
        <w:rPr>
          <w:rFonts w:ascii="Times New Roman" w:eastAsia="Arial" w:hAnsi="Times New Roman" w:cs="Times New Roman"/>
        </w:rPr>
        <w:t>anti desvio</w:t>
      </w:r>
      <w:r w:rsidRPr="00A04B57">
        <w:rPr>
          <w:rFonts w:ascii="Times New Roman" w:eastAsia="Arial" w:hAnsi="Times New Roman" w:cs="Times New Roman"/>
          <w:color w:val="000000"/>
        </w:rPr>
        <w:t xml:space="preserve"> constituem instrumentos de blindagem contra usos indevidos e asseguram estabilidade jurídico-financeira. Quando emergem riscos estruturais (como desvinculação de receitas, lacunas normativas ou desvio de finalidade), esta camada é chamada a atuar de forma célere, produzindo ajustes legais e regimentais. Isso pode ocorrer mediante a aprovação de projetos de lei em regime prioritário, edição de decretos corretivos ou resoluções do CGF. Trata-se, assim, de instância de recomposição da juridicidade, apta a restaurar a legitimidade do Fundo diante de falhas identificadas.</w:t>
      </w:r>
    </w:p>
    <w:p w14:paraId="31E33A4F"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O papel central da camada orçamentário-financeira é garantir a coerência alocativa entre os diversos instrumentos de planejamento (PPA, LDO, LOA, PA e PAF), assegurando que metas físicas e financeiras, indicadores e fontes de financiamento estejam compatibilizados. Além disso, cabe a essa camada a elaboração de projeções prudenciais de receita, a instituição de cronogramas legais de repasse e a correta classificação contábil, de modo a evitar opacidades e garantir rastreabilidade. Quando ocorrem frustrações de receita, atrasos de repasses ou acúmulo excessivo de saldos financeiros, deve ainda operar mecanismos de reprogramação orçamentária. Entre as respostas possíveis, incluem-se o ajuste do PAF, a implementação de planos escalonados de pagamento, a suplementação ou redução de dotações e a recomposição </w:t>
      </w:r>
      <w:r w:rsidRPr="00A04B57">
        <w:rPr>
          <w:rFonts w:ascii="Times New Roman" w:eastAsia="Arial" w:hAnsi="Times New Roman" w:cs="Times New Roman"/>
          <w:color w:val="000000"/>
        </w:rPr>
        <w:lastRenderedPageBreak/>
        <w:t>de previsões. Nesses casos, os atores convertem um risco de descontinuidade em oportunidade de reordenação dos recursos, preservando o foco finalístico.</w:t>
      </w:r>
    </w:p>
    <w:p w14:paraId="7540B426"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De outro modo, a camada de execução e controle dos resultados responde pela transformação de recursos em entregas sociais concretas. Para tanto, deve estruturar uma carteira de projetos “prontos para execução”, elaborar cronogramas físico-financeiros compatíveis e adotar indicadores de produto e resultado que permitam mensurar objetivamente as entregas pactuadas. Além disso, deve estar preparada para garantir a continuidade de serviços, ainda que em cenários de restrição fiscal. Quando surgem riscos de subexecução, paralisação de serviços ou desvio de finalidade, cabe a estes responsáveis reprogramarem metas e ações, priorizando aquelas de maior impacto social. Tal reprogramação pode envolver desde a suspensão de repasses a entidades que não atendam a critérios técnicos até o redesenho de contratos e convênios. O CGF, nesse contexto, atua como instância de legitimação, registrando em ata as decisões de repriorização.</w:t>
      </w:r>
    </w:p>
    <w:p w14:paraId="4E4C12A2"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Já a camada funcional do controle e transparência busca reduzir assimetrias de informação e consolidar um ambiente de integridade institucional para o Fundo. Isso ocorre por meio da implementação de programas de integridade, da manutenção da segregação de funções, da realização de auditorias periódicas, da elaboração de planos anuais de fiscalização e da disponibilização e controle de portais de dados abertos com informações atualizadas sobre arrecadação e execução. Quando identificados desvios de finalidade, indícios de fraude ou opacidade informacional, os mecanismos são mais severos, tais como instauração de auditorias extraordinárias, suspensão cautelar de repasses, emissão de determinações e glosas pelos Tribunais de Contas, além da celebração de Termo de Ajustamento de Conduta (TAC) ou de Ação Civil Pública (ACP) pelo Ministério Público. A Unidade de Transparência, por sua vez, deve publicar boletins extraordinários e relatórios corretivos, de modo a recompor a confiança pública.</w:t>
      </w:r>
    </w:p>
    <w:p w14:paraId="5773C25E" w14:textId="77777777"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A articulação entre os níveis de responsabilidade pode ser compreendida, portanto, como um circuito de governança em espiral, em que a informação flui das camadas de execução e controle para as camadas normativa e orçamentário-financeira, retroalimentando o processo decisório. Em termos práticos, os sinais de riscos surgem na execução do orçamento do Fundo (mediante atrasos, desvios ou acúmulo de saldo financeiro) ou em ações de controle (auditorias e denúncias). Os dados orçamentários e financeiros dimensionam o impacto e sugerem reprogramações ou recomposições. Caso a falha seja estrutural, a camada normativa pode promover ajustes legais ou regimentais. Por fim, a camada de controle e transparência garante </w:t>
      </w:r>
      <w:r w:rsidRPr="00A04B57">
        <w:rPr>
          <w:rFonts w:ascii="Times New Roman" w:eastAsia="Arial" w:hAnsi="Times New Roman" w:cs="Times New Roman"/>
          <w:i/>
          <w:color w:val="000000"/>
        </w:rPr>
        <w:t>accountability</w:t>
      </w:r>
      <w:r w:rsidRPr="00A04B57">
        <w:rPr>
          <w:rFonts w:ascii="Times New Roman" w:eastAsia="Arial" w:hAnsi="Times New Roman" w:cs="Times New Roman"/>
          <w:color w:val="000000"/>
        </w:rPr>
        <w:t xml:space="preserve"> e induz a correção, mediante recomendações, determinações ou ações judiciais.</w:t>
      </w:r>
    </w:p>
    <w:p w14:paraId="22973F89" w14:textId="77777777" w:rsidR="00BC3AC4" w:rsidRDefault="00A04B57" w:rsidP="00BC3AC4">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lastRenderedPageBreak/>
        <w:t>Assim, os planos preventivo e de contingência, independentemente da camada funcional, não são estanques, mas se complementam em um ciclo contínuo de regulação, execução, avaliação e correção. Trata-se de governança policêntrica, em que a legitimidade do Fundo depende da coordenação funcional entre normas claras, coerência orçamentária, efetividade executiva e integrid</w:t>
      </w:r>
      <w:r w:rsidR="00DB0181">
        <w:rPr>
          <w:rFonts w:ascii="Times New Roman" w:eastAsia="Arial" w:hAnsi="Times New Roman" w:cs="Times New Roman"/>
          <w:color w:val="000000"/>
        </w:rPr>
        <w:t>ade nos mecanismos de controle.</w:t>
      </w:r>
      <w:bookmarkStart w:id="22" w:name="_heading=h.78jfib6c5y34" w:colFirst="0" w:colLast="0"/>
      <w:bookmarkStart w:id="23" w:name="_heading=h.91xvl2f2hx5e" w:colFirst="0" w:colLast="0"/>
      <w:bookmarkEnd w:id="22"/>
      <w:bookmarkEnd w:id="23"/>
    </w:p>
    <w:p w14:paraId="3A3C30E5" w14:textId="77777777" w:rsidR="00BC3AC4" w:rsidRDefault="00BC3AC4" w:rsidP="00BC3AC4">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p>
    <w:p w14:paraId="5AC3D550" w14:textId="1F6D2BF6" w:rsidR="00A04B57" w:rsidRPr="00BC3AC4" w:rsidRDefault="00A04B57" w:rsidP="00BC3AC4">
      <w:pPr>
        <w:pStyle w:val="Ttulo2"/>
        <w:rPr>
          <w:rFonts w:eastAsia="Arial"/>
          <w:color w:val="000000"/>
        </w:rPr>
      </w:pPr>
      <w:r w:rsidRPr="00A04B57">
        <w:t xml:space="preserve">Ficha Técnica </w:t>
      </w:r>
    </w:p>
    <w:p w14:paraId="25DB4C5C" w14:textId="56BD8906"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A Ficha Técnica constitui o último elemento do </w:t>
      </w:r>
      <w:r w:rsidR="00DB0181">
        <w:rPr>
          <w:rFonts w:ascii="Times New Roman" w:eastAsia="Arial" w:hAnsi="Times New Roman" w:cs="Times New Roman"/>
          <w:color w:val="000000"/>
        </w:rPr>
        <w:t>MoMMA</w:t>
      </w:r>
      <w:r w:rsidRPr="00A04B57">
        <w:rPr>
          <w:rFonts w:ascii="Times New Roman" w:eastAsia="Arial" w:hAnsi="Times New Roman" w:cs="Times New Roman"/>
          <w:color w:val="000000"/>
        </w:rPr>
        <w:t xml:space="preserve"> e tem como função sistematizar, padronizar e consolidar todas as evidências necessárias para a validação dos indicadores, a análise de riscos e a formulação de recomendações sobre o Fundo de Combate à Pobreza. </w:t>
      </w:r>
    </w:p>
    <w:p w14:paraId="690D2748" w14:textId="5083926E" w:rsidR="00A04B57" w:rsidRPr="00A04B57" w:rsidRDefault="00A04B57"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 xml:space="preserve">Configura, portanto, instrumento de referência, ancorado no </w:t>
      </w:r>
      <w:r w:rsidR="00DB0181">
        <w:rPr>
          <w:rFonts w:ascii="Times New Roman" w:eastAsia="Arial" w:hAnsi="Times New Roman" w:cs="Times New Roman"/>
          <w:color w:val="000000"/>
        </w:rPr>
        <w:t>PV</w:t>
      </w:r>
      <w:r w:rsidRPr="00A04B57">
        <w:rPr>
          <w:rFonts w:ascii="Times New Roman" w:eastAsia="Arial" w:hAnsi="Times New Roman" w:cs="Times New Roman"/>
          <w:color w:val="000000"/>
        </w:rPr>
        <w:t xml:space="preserve"> de cada Fundo, como uma espécie de “radiografia institucional e orçamentária”, que permite não apenas a análise intrafederativa, acompanhando a evolução de um mesmo </w:t>
      </w:r>
      <w:r w:rsidR="00DB0181">
        <w:rPr>
          <w:rFonts w:ascii="Times New Roman" w:eastAsia="Arial" w:hAnsi="Times New Roman" w:cs="Times New Roman"/>
          <w:color w:val="000000"/>
        </w:rPr>
        <w:t>FCP</w:t>
      </w:r>
      <w:r w:rsidRPr="00A04B57">
        <w:rPr>
          <w:rFonts w:ascii="Times New Roman" w:eastAsia="Arial" w:hAnsi="Times New Roman" w:cs="Times New Roman"/>
          <w:color w:val="000000"/>
        </w:rPr>
        <w:t xml:space="preserve"> ao longo do tempo (ex.: 2023 a 2025), mas também a comparação horizontal entre diferentes entes federativos (ex.: Rio de Janeiro </w:t>
      </w:r>
      <w:r w:rsidRPr="00DB0181">
        <w:rPr>
          <w:rFonts w:ascii="Times New Roman" w:eastAsia="Arial" w:hAnsi="Times New Roman" w:cs="Times New Roman"/>
          <w:i/>
          <w:color w:val="000000"/>
        </w:rPr>
        <w:t>vs</w:t>
      </w:r>
      <w:r w:rsidRPr="00A04B57">
        <w:rPr>
          <w:rFonts w:ascii="Times New Roman" w:eastAsia="Arial" w:hAnsi="Times New Roman" w:cs="Times New Roman"/>
          <w:color w:val="000000"/>
        </w:rPr>
        <w:t xml:space="preserve">. São Paulo). </w:t>
      </w:r>
    </w:p>
    <w:p w14:paraId="6FC31B81" w14:textId="0705C02B" w:rsidR="00A04B57" w:rsidRDefault="00A04B57" w:rsidP="00DB0181">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Organiza-se em dimensões que correspondem às etapas centrais da governança orçamentária e financeira, permitindo a identificação de ponto</w:t>
      </w:r>
      <w:r w:rsidR="00DB0181">
        <w:rPr>
          <w:rFonts w:ascii="Times New Roman" w:eastAsia="Arial" w:hAnsi="Times New Roman" w:cs="Times New Roman"/>
          <w:color w:val="000000"/>
        </w:rPr>
        <w:t xml:space="preserve">s fortes, fragilidades e riscos. </w:t>
      </w:r>
      <w:r w:rsidRPr="00A04B57">
        <w:rPr>
          <w:rFonts w:ascii="Times New Roman" w:eastAsia="Arial" w:hAnsi="Times New Roman" w:cs="Times New Roman"/>
          <w:color w:val="000000"/>
        </w:rPr>
        <w:t>Na prática, incorpora e operacionaliza os três eixos do MoMMA e seus indicadores específicos, transformando-os em informações objetivas.</w:t>
      </w:r>
    </w:p>
    <w:p w14:paraId="5A495C6C" w14:textId="77777777" w:rsidR="00DB0181" w:rsidRPr="00A04B57" w:rsidRDefault="00DB0181" w:rsidP="00A04B5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p>
    <w:p w14:paraId="5327B9ED" w14:textId="469732FC" w:rsidR="00A04B57" w:rsidRPr="00A04B57" w:rsidRDefault="00A04B57" w:rsidP="00A04B57">
      <w:pPr>
        <w:keepNext/>
        <w:pBdr>
          <w:top w:val="nil"/>
          <w:left w:val="nil"/>
          <w:bottom w:val="nil"/>
          <w:right w:val="nil"/>
          <w:between w:val="nil"/>
        </w:pBdr>
        <w:spacing w:after="0" w:line="360" w:lineRule="auto"/>
        <w:rPr>
          <w:rFonts w:ascii="Times New Roman" w:eastAsia="Arial" w:hAnsi="Times New Roman" w:cs="Times New Roman"/>
          <w:color w:val="000000"/>
          <w:sz w:val="20"/>
          <w:szCs w:val="20"/>
        </w:rPr>
      </w:pPr>
      <w:r w:rsidRPr="00A04B57">
        <w:rPr>
          <w:rFonts w:ascii="Times New Roman" w:eastAsia="Arial" w:hAnsi="Times New Roman" w:cs="Times New Roman"/>
          <w:color w:val="000000"/>
          <w:sz w:val="20"/>
          <w:szCs w:val="20"/>
        </w:rPr>
        <w:t xml:space="preserve">Quadro </w:t>
      </w:r>
      <w:r w:rsidR="00E53A82">
        <w:rPr>
          <w:rFonts w:ascii="Times New Roman" w:eastAsia="Arial" w:hAnsi="Times New Roman" w:cs="Times New Roman"/>
          <w:color w:val="000000"/>
          <w:sz w:val="20"/>
          <w:szCs w:val="20"/>
        </w:rPr>
        <w:t>7</w:t>
      </w:r>
      <w:r w:rsidRPr="00A04B57">
        <w:rPr>
          <w:rFonts w:ascii="Times New Roman" w:eastAsia="Arial" w:hAnsi="Times New Roman" w:cs="Times New Roman"/>
          <w:color w:val="000000"/>
          <w:sz w:val="20"/>
          <w:szCs w:val="20"/>
        </w:rPr>
        <w:t xml:space="preserve"> – Ficha Técnica do Fundo de Combate à Pobreza</w:t>
      </w:r>
    </w:p>
    <w:tbl>
      <w:tblPr>
        <w:tblW w:w="906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6798"/>
      </w:tblGrid>
      <w:tr w:rsidR="00A04B57" w:rsidRPr="00A04B57" w14:paraId="4F052AF8" w14:textId="77777777" w:rsidTr="00A04B57">
        <w:trPr>
          <w:trHeight w:val="397"/>
        </w:trPr>
        <w:tc>
          <w:tcPr>
            <w:tcW w:w="9061" w:type="dxa"/>
            <w:gridSpan w:val="2"/>
            <w:shd w:val="clear" w:color="auto" w:fill="auto"/>
            <w:vAlign w:val="center"/>
          </w:tcPr>
          <w:p w14:paraId="36149782"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Eixo 1 – Responsabilidade Arrecadatória</w:t>
            </w:r>
          </w:p>
        </w:tc>
      </w:tr>
      <w:tr w:rsidR="00A04B57" w:rsidRPr="00A04B57" w14:paraId="78922624" w14:textId="77777777" w:rsidTr="00A04B57">
        <w:trPr>
          <w:trHeight w:val="20"/>
        </w:trPr>
        <w:tc>
          <w:tcPr>
            <w:tcW w:w="2263" w:type="dxa"/>
            <w:shd w:val="clear" w:color="auto" w:fill="auto"/>
            <w:vAlign w:val="center"/>
          </w:tcPr>
          <w:p w14:paraId="144E56A5"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1.1 Base legal</w:t>
            </w:r>
          </w:p>
        </w:tc>
        <w:tc>
          <w:tcPr>
            <w:tcW w:w="6798" w:type="dxa"/>
            <w:shd w:val="clear" w:color="auto" w:fill="auto"/>
            <w:vAlign w:val="center"/>
          </w:tcPr>
          <w:p w14:paraId="1C5EB6A9"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Fundamento jurídico válido, a partir de lei formal de criação, previsão em Constituição Estadual/Lei Orgânica Municipal e regulamentação infralegal (decretos, portarias, resoluções).</w:t>
            </w:r>
          </w:p>
        </w:tc>
      </w:tr>
      <w:tr w:rsidR="00A04B57" w:rsidRPr="00A04B57" w14:paraId="6DB75F45" w14:textId="77777777" w:rsidTr="00A04B57">
        <w:trPr>
          <w:trHeight w:val="20"/>
        </w:trPr>
        <w:tc>
          <w:tcPr>
            <w:tcW w:w="2263" w:type="dxa"/>
            <w:shd w:val="clear" w:color="auto" w:fill="auto"/>
            <w:vAlign w:val="center"/>
          </w:tcPr>
          <w:p w14:paraId="19CE2E7D"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1.2 Definição normativa</w:t>
            </w:r>
          </w:p>
        </w:tc>
        <w:tc>
          <w:tcPr>
            <w:tcW w:w="6798" w:type="dxa"/>
            <w:shd w:val="clear" w:color="auto" w:fill="auto"/>
            <w:vAlign w:val="center"/>
          </w:tcPr>
          <w:p w14:paraId="15DA2B2F"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Garanti</w:t>
            </w:r>
            <w:r w:rsidRPr="00A04B57">
              <w:rPr>
                <w:rFonts w:ascii="Times New Roman" w:eastAsia="Arial" w:hAnsi="Times New Roman" w:cs="Times New Roman"/>
                <w:sz w:val="18"/>
                <w:szCs w:val="18"/>
              </w:rPr>
              <w:t>a de</w:t>
            </w:r>
            <w:r w:rsidRPr="00A04B57">
              <w:rPr>
                <w:rFonts w:ascii="Times New Roman" w:eastAsia="Arial" w:hAnsi="Times New Roman" w:cs="Times New Roman"/>
                <w:color w:val="000000"/>
                <w:sz w:val="18"/>
                <w:szCs w:val="18"/>
              </w:rPr>
              <w:t xml:space="preserve"> clareza dos objetivos, das fontes de recursos e origens da receita e suas destinações, evitando fungibilidade e desvio de finalidade.</w:t>
            </w:r>
          </w:p>
        </w:tc>
      </w:tr>
      <w:tr w:rsidR="00A04B57" w:rsidRPr="00A04B57" w14:paraId="3EED4BE4" w14:textId="77777777" w:rsidTr="00A04B57">
        <w:trPr>
          <w:trHeight w:val="20"/>
        </w:trPr>
        <w:tc>
          <w:tcPr>
            <w:tcW w:w="2263" w:type="dxa"/>
            <w:shd w:val="clear" w:color="auto" w:fill="auto"/>
            <w:vAlign w:val="center"/>
          </w:tcPr>
          <w:p w14:paraId="2ECED8EC"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1.3 Governança arrecadatória</w:t>
            </w:r>
          </w:p>
        </w:tc>
        <w:tc>
          <w:tcPr>
            <w:tcW w:w="6798" w:type="dxa"/>
            <w:shd w:val="clear" w:color="auto" w:fill="auto"/>
            <w:vAlign w:val="center"/>
          </w:tcPr>
          <w:p w14:paraId="50649D24"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Previsão de mecanismos de gestão (Órgão Gestor, Conselho Gestor, prestação de contas), assegurando controles e responsabilidades.</w:t>
            </w:r>
          </w:p>
        </w:tc>
      </w:tr>
      <w:tr w:rsidR="00A04B57" w:rsidRPr="00A04B57" w14:paraId="6A7CD5EF" w14:textId="77777777" w:rsidTr="00A04B57">
        <w:trPr>
          <w:trHeight w:val="20"/>
        </w:trPr>
        <w:tc>
          <w:tcPr>
            <w:tcW w:w="2263" w:type="dxa"/>
            <w:shd w:val="clear" w:color="auto" w:fill="auto"/>
            <w:vAlign w:val="center"/>
          </w:tcPr>
          <w:p w14:paraId="30852D31"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1.4 Previsibilidade arrecadatória</w:t>
            </w:r>
          </w:p>
        </w:tc>
        <w:tc>
          <w:tcPr>
            <w:tcW w:w="6798" w:type="dxa"/>
            <w:shd w:val="clear" w:color="auto" w:fill="auto"/>
            <w:vAlign w:val="center"/>
          </w:tcPr>
          <w:p w14:paraId="00236F98"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Regularidade da arrecadação ao longo do exercício, ausência de atrasos ou perdas nos repasses. Acurácia da receita, a partir do planejamento (PA e PAF).</w:t>
            </w:r>
          </w:p>
        </w:tc>
      </w:tr>
      <w:tr w:rsidR="00A04B57" w:rsidRPr="00A04B57" w14:paraId="39F8AD8D" w14:textId="77777777" w:rsidTr="00A04B57">
        <w:trPr>
          <w:trHeight w:val="20"/>
        </w:trPr>
        <w:tc>
          <w:tcPr>
            <w:tcW w:w="2263" w:type="dxa"/>
            <w:shd w:val="clear" w:color="auto" w:fill="auto"/>
            <w:vAlign w:val="center"/>
          </w:tcPr>
          <w:p w14:paraId="5228291C"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1.5 Complementaridade</w:t>
            </w:r>
          </w:p>
        </w:tc>
        <w:tc>
          <w:tcPr>
            <w:tcW w:w="6798" w:type="dxa"/>
            <w:shd w:val="clear" w:color="auto" w:fill="auto"/>
            <w:vAlign w:val="center"/>
          </w:tcPr>
          <w:p w14:paraId="69BE05FD"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Garant</w:t>
            </w:r>
            <w:r w:rsidRPr="00A04B57">
              <w:rPr>
                <w:rFonts w:ascii="Times New Roman" w:eastAsia="Arial" w:hAnsi="Times New Roman" w:cs="Times New Roman"/>
                <w:sz w:val="18"/>
                <w:szCs w:val="18"/>
              </w:rPr>
              <w:t>ia de</w:t>
            </w:r>
            <w:r w:rsidRPr="00A04B57">
              <w:rPr>
                <w:rFonts w:ascii="Times New Roman" w:eastAsia="Arial" w:hAnsi="Times New Roman" w:cs="Times New Roman"/>
                <w:color w:val="000000"/>
                <w:sz w:val="18"/>
                <w:szCs w:val="18"/>
              </w:rPr>
              <w:t xml:space="preserve"> que a receita do Fundo </w:t>
            </w:r>
            <w:r w:rsidRPr="00A04B57">
              <w:rPr>
                <w:rFonts w:ascii="Times New Roman" w:eastAsia="Arial" w:hAnsi="Times New Roman" w:cs="Times New Roman"/>
                <w:sz w:val="18"/>
                <w:szCs w:val="18"/>
              </w:rPr>
              <w:t>incremente</w:t>
            </w:r>
            <w:r w:rsidRPr="00A04B57">
              <w:rPr>
                <w:rFonts w:ascii="Times New Roman" w:eastAsia="Arial" w:hAnsi="Times New Roman" w:cs="Times New Roman"/>
                <w:color w:val="000000"/>
                <w:sz w:val="18"/>
                <w:szCs w:val="18"/>
              </w:rPr>
              <w:t xml:space="preserve"> ao financiamento das políticas de combate à pobreza e redução das desigualdades (efeito adicional), sem substituir o gasto ordinário. </w:t>
            </w:r>
          </w:p>
        </w:tc>
      </w:tr>
      <w:tr w:rsidR="00A04B57" w:rsidRPr="00A04B57" w14:paraId="0A29D678" w14:textId="77777777" w:rsidTr="00A04B57">
        <w:trPr>
          <w:trHeight w:val="20"/>
        </w:trPr>
        <w:tc>
          <w:tcPr>
            <w:tcW w:w="2263" w:type="dxa"/>
            <w:shd w:val="clear" w:color="auto" w:fill="auto"/>
            <w:vAlign w:val="center"/>
          </w:tcPr>
          <w:p w14:paraId="1426D09E"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1.6 Concentração de execução</w:t>
            </w:r>
          </w:p>
        </w:tc>
        <w:tc>
          <w:tcPr>
            <w:tcW w:w="6798" w:type="dxa"/>
            <w:shd w:val="clear" w:color="auto" w:fill="auto"/>
            <w:vAlign w:val="center"/>
          </w:tcPr>
          <w:p w14:paraId="301E016F"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Identificação do risco de captura quando a aplicação fica excessivamente concentrada em poucos atores, afetando a pluralidade dos objetivos e a </w:t>
            </w:r>
            <w:r w:rsidRPr="00A04B57">
              <w:rPr>
                <w:rFonts w:ascii="Times New Roman" w:eastAsia="Arial" w:hAnsi="Times New Roman" w:cs="Times New Roman"/>
                <w:i/>
                <w:color w:val="000000"/>
                <w:sz w:val="18"/>
                <w:szCs w:val="18"/>
              </w:rPr>
              <w:t>accountability</w:t>
            </w:r>
            <w:r w:rsidRPr="00A04B57">
              <w:rPr>
                <w:rFonts w:ascii="Times New Roman" w:eastAsia="Arial" w:hAnsi="Times New Roman" w:cs="Times New Roman"/>
                <w:color w:val="000000"/>
                <w:sz w:val="18"/>
                <w:szCs w:val="18"/>
              </w:rPr>
              <w:t xml:space="preserve">. </w:t>
            </w:r>
          </w:p>
        </w:tc>
      </w:tr>
      <w:tr w:rsidR="00A04B57" w:rsidRPr="00A04B57" w14:paraId="398A0220" w14:textId="77777777" w:rsidTr="00A04B57">
        <w:trPr>
          <w:trHeight w:val="435"/>
        </w:trPr>
        <w:tc>
          <w:tcPr>
            <w:tcW w:w="2263" w:type="dxa"/>
            <w:shd w:val="clear" w:color="auto" w:fill="auto"/>
            <w:vAlign w:val="center"/>
          </w:tcPr>
          <w:p w14:paraId="02157697"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1.7 Transparência da arrecadação</w:t>
            </w:r>
          </w:p>
        </w:tc>
        <w:tc>
          <w:tcPr>
            <w:tcW w:w="6798" w:type="dxa"/>
            <w:shd w:val="clear" w:color="auto" w:fill="auto"/>
            <w:vAlign w:val="center"/>
          </w:tcPr>
          <w:p w14:paraId="0C732CCA"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Assegura</w:t>
            </w:r>
            <w:r w:rsidRPr="00A04B57">
              <w:rPr>
                <w:rFonts w:ascii="Times New Roman" w:eastAsia="Arial" w:hAnsi="Times New Roman" w:cs="Times New Roman"/>
                <w:sz w:val="18"/>
                <w:szCs w:val="18"/>
              </w:rPr>
              <w:t>mento de</w:t>
            </w:r>
            <w:r w:rsidRPr="00A04B57">
              <w:rPr>
                <w:rFonts w:ascii="Times New Roman" w:eastAsia="Arial" w:hAnsi="Times New Roman" w:cs="Times New Roman"/>
                <w:color w:val="000000"/>
                <w:sz w:val="18"/>
                <w:szCs w:val="18"/>
              </w:rPr>
              <w:t xml:space="preserve"> rastreabilidade e controle social sobre a receita (o que foi previsto, quanto entrou e quando). Existência de portal de transparência ou painel de arrecadação, com periodicidade de atualização definida (tempo real ou mensal).</w:t>
            </w:r>
          </w:p>
        </w:tc>
      </w:tr>
      <w:tr w:rsidR="00A04B57" w:rsidRPr="00A04B57" w14:paraId="1B318C8B" w14:textId="77777777" w:rsidTr="00A04B57">
        <w:trPr>
          <w:trHeight w:val="397"/>
        </w:trPr>
        <w:tc>
          <w:tcPr>
            <w:tcW w:w="9061" w:type="dxa"/>
            <w:gridSpan w:val="2"/>
            <w:shd w:val="clear" w:color="auto" w:fill="auto"/>
            <w:vAlign w:val="center"/>
          </w:tcPr>
          <w:p w14:paraId="7E804DB1"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Eixo 2 – Planejamento Orçamentário</w:t>
            </w:r>
          </w:p>
        </w:tc>
      </w:tr>
      <w:tr w:rsidR="00A04B57" w:rsidRPr="00A04B57" w14:paraId="59396E4A" w14:textId="77777777" w:rsidTr="00A04B57">
        <w:trPr>
          <w:trHeight w:val="20"/>
        </w:trPr>
        <w:tc>
          <w:tcPr>
            <w:tcW w:w="2263" w:type="dxa"/>
            <w:shd w:val="clear" w:color="auto" w:fill="auto"/>
            <w:vAlign w:val="center"/>
          </w:tcPr>
          <w:p w14:paraId="56E9731B"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2.1 Destinação legal</w:t>
            </w:r>
          </w:p>
        </w:tc>
        <w:tc>
          <w:tcPr>
            <w:tcW w:w="6798" w:type="dxa"/>
            <w:shd w:val="clear" w:color="auto" w:fill="auto"/>
            <w:vAlign w:val="center"/>
          </w:tcPr>
          <w:p w14:paraId="54F1BF01"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Vinculação expressa dos recursos a políticas de combate à pobreza.</w:t>
            </w:r>
          </w:p>
        </w:tc>
      </w:tr>
      <w:tr w:rsidR="00A04B57" w:rsidRPr="00A04B57" w14:paraId="05C729A1" w14:textId="77777777" w:rsidTr="00A04B57">
        <w:trPr>
          <w:trHeight w:val="20"/>
        </w:trPr>
        <w:tc>
          <w:tcPr>
            <w:tcW w:w="2263" w:type="dxa"/>
            <w:shd w:val="clear" w:color="auto" w:fill="auto"/>
            <w:vAlign w:val="center"/>
          </w:tcPr>
          <w:p w14:paraId="0B49006D"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lastRenderedPageBreak/>
              <w:t>2.2 Instrumentos de planejamento</w:t>
            </w:r>
          </w:p>
        </w:tc>
        <w:tc>
          <w:tcPr>
            <w:tcW w:w="6798" w:type="dxa"/>
            <w:shd w:val="clear" w:color="auto" w:fill="auto"/>
            <w:vAlign w:val="center"/>
          </w:tcPr>
          <w:p w14:paraId="0AA20C86"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Obrigatoriedade e existência de Plano de Ação (PA) e Plano de Aplicação Financeira (PAF), aprovados pelo Conselho Gestor, além da adequação e compatibilidade da LOA com o PPA e a LDO.</w:t>
            </w:r>
          </w:p>
        </w:tc>
      </w:tr>
      <w:tr w:rsidR="00A04B57" w:rsidRPr="00A04B57" w14:paraId="250B0F2F" w14:textId="77777777" w:rsidTr="00A04B57">
        <w:trPr>
          <w:trHeight w:val="20"/>
        </w:trPr>
        <w:tc>
          <w:tcPr>
            <w:tcW w:w="2263" w:type="dxa"/>
            <w:shd w:val="clear" w:color="auto" w:fill="auto"/>
            <w:vAlign w:val="center"/>
          </w:tcPr>
          <w:p w14:paraId="4494BAC3"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2.3 Qualidade do planejamento</w:t>
            </w:r>
          </w:p>
        </w:tc>
        <w:tc>
          <w:tcPr>
            <w:tcW w:w="6798" w:type="dxa"/>
            <w:shd w:val="clear" w:color="auto" w:fill="auto"/>
            <w:vAlign w:val="center"/>
          </w:tcPr>
          <w:p w14:paraId="18CDAA4D"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Verificaç</w:t>
            </w:r>
            <w:r w:rsidRPr="00A04B57">
              <w:rPr>
                <w:rFonts w:ascii="Times New Roman" w:eastAsia="Arial" w:hAnsi="Times New Roman" w:cs="Times New Roman"/>
                <w:sz w:val="18"/>
                <w:szCs w:val="18"/>
              </w:rPr>
              <w:t>ão sobre estarem as</w:t>
            </w:r>
            <w:r w:rsidRPr="00A04B57">
              <w:rPr>
                <w:rFonts w:ascii="Times New Roman" w:eastAsia="Arial" w:hAnsi="Times New Roman" w:cs="Times New Roman"/>
                <w:color w:val="000000"/>
                <w:sz w:val="18"/>
                <w:szCs w:val="18"/>
              </w:rPr>
              <w:t xml:space="preserve"> metas, objetivos, custos, cronograma e indicadores do Fundo claros.</w:t>
            </w:r>
          </w:p>
        </w:tc>
      </w:tr>
      <w:tr w:rsidR="00A04B57" w:rsidRPr="00A04B57" w14:paraId="4B58DB6D" w14:textId="77777777" w:rsidTr="00A04B57">
        <w:trPr>
          <w:trHeight w:val="20"/>
        </w:trPr>
        <w:tc>
          <w:tcPr>
            <w:tcW w:w="2263" w:type="dxa"/>
            <w:shd w:val="clear" w:color="auto" w:fill="auto"/>
            <w:vAlign w:val="center"/>
          </w:tcPr>
          <w:p w14:paraId="3452554B"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2.4 Governança institucional</w:t>
            </w:r>
          </w:p>
        </w:tc>
        <w:tc>
          <w:tcPr>
            <w:tcW w:w="6798" w:type="dxa"/>
            <w:shd w:val="clear" w:color="auto" w:fill="auto"/>
            <w:vAlign w:val="center"/>
          </w:tcPr>
          <w:p w14:paraId="559EE234"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Defin</w:t>
            </w:r>
            <w:r w:rsidRPr="00A04B57">
              <w:rPr>
                <w:rFonts w:ascii="Times New Roman" w:eastAsia="Arial" w:hAnsi="Times New Roman" w:cs="Times New Roman"/>
                <w:sz w:val="18"/>
                <w:szCs w:val="18"/>
              </w:rPr>
              <w:t>ição de</w:t>
            </w:r>
            <w:r w:rsidRPr="00A04B57">
              <w:rPr>
                <w:rFonts w:ascii="Times New Roman" w:eastAsia="Arial" w:hAnsi="Times New Roman" w:cs="Times New Roman"/>
                <w:color w:val="000000"/>
                <w:sz w:val="18"/>
                <w:szCs w:val="18"/>
              </w:rPr>
              <w:t xml:space="preserve"> quem decide, aprova e revisa os planos e como ocorre o contrapeso democrático. Formalização e composição do Conselho Gestor, paridade governo x sociedade civil, autonomia, poder deliberativo e capacitações periódicas dos conselheiros.</w:t>
            </w:r>
          </w:p>
        </w:tc>
      </w:tr>
      <w:tr w:rsidR="00A04B57" w:rsidRPr="00A04B57" w14:paraId="0B380AEA" w14:textId="77777777" w:rsidTr="00A04B57">
        <w:trPr>
          <w:trHeight w:val="20"/>
        </w:trPr>
        <w:tc>
          <w:tcPr>
            <w:tcW w:w="2263" w:type="dxa"/>
            <w:shd w:val="clear" w:color="auto" w:fill="auto"/>
            <w:vAlign w:val="center"/>
          </w:tcPr>
          <w:p w14:paraId="2AE6CC13"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2.5 Capacitação técnica</w:t>
            </w:r>
          </w:p>
        </w:tc>
        <w:tc>
          <w:tcPr>
            <w:tcW w:w="6798" w:type="dxa"/>
            <w:shd w:val="clear" w:color="auto" w:fill="auto"/>
            <w:vAlign w:val="center"/>
          </w:tcPr>
          <w:p w14:paraId="732FC8D2"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Qualificação dos gestores e ordenadores do Fundo em planejamento, orçamento e avaliação. Verifica ainda se há equipe técnica de apoio.</w:t>
            </w:r>
          </w:p>
        </w:tc>
      </w:tr>
      <w:tr w:rsidR="00A04B57" w:rsidRPr="00A04B57" w14:paraId="4FEE7D8E" w14:textId="77777777" w:rsidTr="00A04B57">
        <w:trPr>
          <w:trHeight w:val="20"/>
        </w:trPr>
        <w:tc>
          <w:tcPr>
            <w:tcW w:w="2263" w:type="dxa"/>
            <w:shd w:val="clear" w:color="auto" w:fill="auto"/>
            <w:vAlign w:val="center"/>
          </w:tcPr>
          <w:p w14:paraId="000778C5"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2.6 Articulação intersetorial</w:t>
            </w:r>
          </w:p>
        </w:tc>
        <w:tc>
          <w:tcPr>
            <w:tcW w:w="6798" w:type="dxa"/>
            <w:shd w:val="clear" w:color="auto" w:fill="auto"/>
            <w:vAlign w:val="center"/>
          </w:tcPr>
          <w:p w14:paraId="39B0D52A"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Existência de instâncias de coordenação, coerência e sinergia com diferentes áreas de políticas (saúde, educação, assistência social etc.). Planos integrados, comitês intersetoriais e metas compartilhadas.</w:t>
            </w:r>
          </w:p>
        </w:tc>
      </w:tr>
      <w:tr w:rsidR="00A04B57" w:rsidRPr="00A04B57" w14:paraId="5F47F312" w14:textId="77777777" w:rsidTr="00A04B57">
        <w:trPr>
          <w:trHeight w:val="20"/>
        </w:trPr>
        <w:tc>
          <w:tcPr>
            <w:tcW w:w="2263" w:type="dxa"/>
            <w:shd w:val="clear" w:color="auto" w:fill="auto"/>
            <w:vAlign w:val="center"/>
          </w:tcPr>
          <w:p w14:paraId="0B539B23"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2.7 Prestação de contas</w:t>
            </w:r>
          </w:p>
        </w:tc>
        <w:tc>
          <w:tcPr>
            <w:tcW w:w="6798" w:type="dxa"/>
            <w:shd w:val="clear" w:color="auto" w:fill="auto"/>
            <w:vAlign w:val="center"/>
          </w:tcPr>
          <w:p w14:paraId="21734C6F"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A lei prevê “o quê”, “quando” e “como” os resultados do Fundo serão reportados ao público e aos controles. Periodicidade e publicidade de relatórios específicos.</w:t>
            </w:r>
          </w:p>
        </w:tc>
      </w:tr>
      <w:tr w:rsidR="00A04B57" w:rsidRPr="00A04B57" w14:paraId="0785700E" w14:textId="77777777" w:rsidTr="00A04B57">
        <w:trPr>
          <w:trHeight w:val="20"/>
        </w:trPr>
        <w:tc>
          <w:tcPr>
            <w:tcW w:w="2263" w:type="dxa"/>
            <w:shd w:val="clear" w:color="auto" w:fill="auto"/>
            <w:vAlign w:val="center"/>
          </w:tcPr>
          <w:p w14:paraId="6644F4F2"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2.8 Critérios redistributivos</w:t>
            </w:r>
          </w:p>
        </w:tc>
        <w:tc>
          <w:tcPr>
            <w:tcW w:w="6798" w:type="dxa"/>
            <w:shd w:val="clear" w:color="auto" w:fill="auto"/>
            <w:vAlign w:val="center"/>
          </w:tcPr>
          <w:p w14:paraId="7E75C7F8"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Orientação sobre a alocação de recursos por equidade (território, vulnerabilidade e público-alvo), mediante aplicação de parâmetros técnicos (IDH, CadÚnico, mapas de pobreza, entre outros).</w:t>
            </w:r>
          </w:p>
        </w:tc>
      </w:tr>
      <w:tr w:rsidR="00A04B57" w:rsidRPr="00A04B57" w14:paraId="047861C9" w14:textId="77777777" w:rsidTr="00A04B57">
        <w:trPr>
          <w:trHeight w:val="20"/>
        </w:trPr>
        <w:tc>
          <w:tcPr>
            <w:tcW w:w="2263" w:type="dxa"/>
            <w:shd w:val="clear" w:color="auto" w:fill="auto"/>
            <w:vAlign w:val="center"/>
          </w:tcPr>
          <w:p w14:paraId="25287F69"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2.9 Estabilidade institucional</w:t>
            </w:r>
          </w:p>
        </w:tc>
        <w:tc>
          <w:tcPr>
            <w:tcW w:w="6798" w:type="dxa"/>
            <w:shd w:val="clear" w:color="auto" w:fill="auto"/>
            <w:vAlign w:val="center"/>
          </w:tcPr>
          <w:p w14:paraId="1DACAD13"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sz w:val="18"/>
                <w:szCs w:val="18"/>
              </w:rPr>
              <w:t>Identificação do t</w:t>
            </w:r>
            <w:r w:rsidRPr="00A04B57">
              <w:rPr>
                <w:rFonts w:ascii="Times New Roman" w:eastAsia="Arial" w:hAnsi="Times New Roman" w:cs="Times New Roman"/>
                <w:color w:val="000000"/>
                <w:sz w:val="18"/>
                <w:szCs w:val="18"/>
              </w:rPr>
              <w:t>empo de existência do Fundo, alterações normativas relevantes, ausência de judicializações, continuidade do Conselho nos últimos 5 anos. Mensuração da previsibilidade do planejamento frente a trocas de gestão e ciclos eleitorais.</w:t>
            </w:r>
          </w:p>
        </w:tc>
      </w:tr>
      <w:tr w:rsidR="00A04B57" w:rsidRPr="00A04B57" w14:paraId="785EF4C2" w14:textId="77777777" w:rsidTr="00A04B57">
        <w:trPr>
          <w:trHeight w:val="20"/>
        </w:trPr>
        <w:tc>
          <w:tcPr>
            <w:tcW w:w="2263" w:type="dxa"/>
            <w:shd w:val="clear" w:color="auto" w:fill="auto"/>
            <w:vAlign w:val="center"/>
          </w:tcPr>
          <w:p w14:paraId="194C121F"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2.10 Revisão e correção de metas</w:t>
            </w:r>
          </w:p>
        </w:tc>
        <w:tc>
          <w:tcPr>
            <w:tcW w:w="6798" w:type="dxa"/>
            <w:shd w:val="clear" w:color="auto" w:fill="auto"/>
            <w:vAlign w:val="center"/>
          </w:tcPr>
          <w:p w14:paraId="165FE849"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Incorporação do PDCA na gestão dos recursos do Fundo. Monitora e ajusta os planos (PA e PAF) diante de desafios.</w:t>
            </w:r>
          </w:p>
        </w:tc>
      </w:tr>
      <w:tr w:rsidR="00A04B57" w:rsidRPr="00A04B57" w14:paraId="51779740" w14:textId="77777777" w:rsidTr="00A04B57">
        <w:trPr>
          <w:trHeight w:val="20"/>
        </w:trPr>
        <w:tc>
          <w:tcPr>
            <w:tcW w:w="2263" w:type="dxa"/>
            <w:shd w:val="clear" w:color="auto" w:fill="auto"/>
            <w:vAlign w:val="center"/>
          </w:tcPr>
          <w:p w14:paraId="6DE0B82D"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2.11 Participação social no planejamento</w:t>
            </w:r>
          </w:p>
        </w:tc>
        <w:tc>
          <w:tcPr>
            <w:tcW w:w="6798" w:type="dxa"/>
            <w:shd w:val="clear" w:color="auto" w:fill="auto"/>
            <w:vAlign w:val="center"/>
          </w:tcPr>
          <w:p w14:paraId="6106805F"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Participação </w:t>
            </w:r>
            <w:r w:rsidRPr="00A04B57">
              <w:rPr>
                <w:rFonts w:ascii="Times New Roman" w:eastAsia="Arial" w:hAnsi="Times New Roman" w:cs="Times New Roman"/>
                <w:i/>
                <w:color w:val="000000"/>
                <w:sz w:val="18"/>
                <w:szCs w:val="18"/>
              </w:rPr>
              <w:t>ex ante</w:t>
            </w:r>
            <w:r w:rsidRPr="00A04B57">
              <w:rPr>
                <w:rFonts w:ascii="Times New Roman" w:eastAsia="Arial" w:hAnsi="Times New Roman" w:cs="Times New Roman"/>
                <w:color w:val="000000"/>
                <w:sz w:val="18"/>
                <w:szCs w:val="18"/>
              </w:rPr>
              <w:t>. Avaliação se sociedade ou o Conselho interveio antes da alocação dos recursos, definindo prioridades, metas, PA ou PAF e critérios objetivos de aplicação. O foco está na representatividade paritária, influência efetiva, tempestividade e rastreabilidade (atas, deliberações, calendário de reuniões, versões comparadas dos planos etc.). Realização de audiências públicas ou consultas sobre prioridades custeadas. A sociedade decide “o quê” e “por quê”.</w:t>
            </w:r>
          </w:p>
        </w:tc>
      </w:tr>
      <w:tr w:rsidR="00A04B57" w:rsidRPr="00A04B57" w14:paraId="26BB3DDE" w14:textId="77777777" w:rsidTr="00A04B57">
        <w:trPr>
          <w:trHeight w:val="20"/>
        </w:trPr>
        <w:tc>
          <w:tcPr>
            <w:tcW w:w="2263" w:type="dxa"/>
            <w:shd w:val="clear" w:color="auto" w:fill="auto"/>
            <w:vAlign w:val="center"/>
          </w:tcPr>
          <w:p w14:paraId="73F24AD0"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2.12 Histórico de Políticas Públicas custeadas pelo Fundo</w:t>
            </w:r>
          </w:p>
        </w:tc>
        <w:tc>
          <w:tcPr>
            <w:tcW w:w="6798" w:type="dxa"/>
            <w:shd w:val="clear" w:color="auto" w:fill="auto"/>
            <w:vAlign w:val="center"/>
          </w:tcPr>
          <w:p w14:paraId="312D023A"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Registr</w:t>
            </w:r>
            <w:r w:rsidRPr="00A04B57">
              <w:rPr>
                <w:rFonts w:ascii="Times New Roman" w:eastAsia="Arial" w:hAnsi="Times New Roman" w:cs="Times New Roman"/>
                <w:sz w:val="18"/>
                <w:szCs w:val="18"/>
              </w:rPr>
              <w:t>os</w:t>
            </w:r>
            <w:r w:rsidRPr="00A04B57">
              <w:rPr>
                <w:rFonts w:ascii="Times New Roman" w:eastAsia="Arial" w:hAnsi="Times New Roman" w:cs="Times New Roman"/>
                <w:color w:val="000000"/>
                <w:sz w:val="18"/>
                <w:szCs w:val="18"/>
              </w:rPr>
              <w:t xml:space="preserve"> do que funcionou (eficácia), quanto financiou (eficiência) e para quem chegou (equidade), gerando lições para calibrar o PA e o PAF, as metas e os critérios de alocação. </w:t>
            </w:r>
          </w:p>
        </w:tc>
      </w:tr>
      <w:tr w:rsidR="00A04B57" w:rsidRPr="00A04B57" w14:paraId="79B9CB17" w14:textId="77777777" w:rsidTr="00A04B57">
        <w:trPr>
          <w:trHeight w:val="397"/>
        </w:trPr>
        <w:tc>
          <w:tcPr>
            <w:tcW w:w="9061" w:type="dxa"/>
            <w:gridSpan w:val="2"/>
            <w:shd w:val="clear" w:color="auto" w:fill="auto"/>
            <w:vAlign w:val="center"/>
          </w:tcPr>
          <w:p w14:paraId="78413C78" w14:textId="77777777" w:rsidR="00A04B57" w:rsidRPr="00A04B57" w:rsidRDefault="00A04B57" w:rsidP="00A04B57">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Eixo 3 – Execução Orçamentária e Financeira</w:t>
            </w:r>
          </w:p>
        </w:tc>
      </w:tr>
      <w:tr w:rsidR="00A04B57" w:rsidRPr="00A04B57" w14:paraId="17709545" w14:textId="77777777" w:rsidTr="00A04B57">
        <w:trPr>
          <w:trHeight w:val="20"/>
        </w:trPr>
        <w:tc>
          <w:tcPr>
            <w:tcW w:w="2263" w:type="dxa"/>
            <w:shd w:val="clear" w:color="auto" w:fill="auto"/>
            <w:vAlign w:val="center"/>
          </w:tcPr>
          <w:p w14:paraId="67B1292A"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3.1 Arrecadação e execução</w:t>
            </w:r>
          </w:p>
        </w:tc>
        <w:tc>
          <w:tcPr>
            <w:tcW w:w="6798" w:type="dxa"/>
            <w:shd w:val="clear" w:color="auto" w:fill="auto"/>
            <w:vAlign w:val="center"/>
          </w:tcPr>
          <w:p w14:paraId="12851B2F"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Confront</w:t>
            </w:r>
            <w:r w:rsidRPr="00A04B57">
              <w:rPr>
                <w:rFonts w:ascii="Times New Roman" w:eastAsia="Arial" w:hAnsi="Times New Roman" w:cs="Times New Roman"/>
                <w:sz w:val="18"/>
                <w:szCs w:val="18"/>
              </w:rPr>
              <w:t>o de</w:t>
            </w:r>
            <w:sdt>
              <w:sdtPr>
                <w:rPr>
                  <w:rFonts w:ascii="Times New Roman" w:hAnsi="Times New Roman" w:cs="Times New Roman"/>
                </w:rPr>
                <w:tag w:val="goog_rdk_5"/>
                <w:id w:val="2012180593"/>
              </w:sdtPr>
              <w:sdtContent>
                <w:r w:rsidRPr="00A04B57">
                  <w:rPr>
                    <w:rFonts w:ascii="Times New Roman" w:eastAsia="Arial Unicode MS" w:hAnsi="Times New Roman" w:cs="Times New Roman"/>
                    <w:color w:val="000000"/>
                    <w:sz w:val="18"/>
                    <w:szCs w:val="18"/>
                  </w:rPr>
                  <w:t xml:space="preserve"> previsão × arrecadação × execução, aferindo aderência do gasto à capacidade real do Fundo. Mensura o percentual arrecadado em relação à previsão (≥85%) e o percentual executado em relação ao fixado (≥85%).</w:t>
                </w:r>
              </w:sdtContent>
            </w:sdt>
          </w:p>
        </w:tc>
      </w:tr>
      <w:tr w:rsidR="00A04B57" w:rsidRPr="00A04B57" w14:paraId="54E16C3D" w14:textId="77777777" w:rsidTr="00A04B57">
        <w:trPr>
          <w:trHeight w:val="20"/>
        </w:trPr>
        <w:tc>
          <w:tcPr>
            <w:tcW w:w="2263" w:type="dxa"/>
            <w:shd w:val="clear" w:color="auto" w:fill="auto"/>
            <w:vAlign w:val="center"/>
          </w:tcPr>
          <w:p w14:paraId="551B3E93"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3.2 Restrições e desvios</w:t>
            </w:r>
          </w:p>
        </w:tc>
        <w:tc>
          <w:tcPr>
            <w:tcW w:w="6798" w:type="dxa"/>
            <w:shd w:val="clear" w:color="auto" w:fill="auto"/>
            <w:vAlign w:val="center"/>
          </w:tcPr>
          <w:p w14:paraId="113C6453" w14:textId="77777777" w:rsidR="00A04B57" w:rsidRPr="00A04B57" w:rsidRDefault="00A04B57" w:rsidP="00A04B57">
            <w:pPr>
              <w:spacing w:after="0" w:line="240" w:lineRule="auto"/>
              <w:rPr>
                <w:rFonts w:ascii="Times New Roman" w:eastAsia="Arial" w:hAnsi="Times New Roman" w:cs="Times New Roman"/>
                <w:color w:val="000000"/>
                <w:sz w:val="18"/>
                <w:szCs w:val="18"/>
              </w:rPr>
            </w:pPr>
            <w:sdt>
              <w:sdtPr>
                <w:rPr>
                  <w:rFonts w:ascii="Times New Roman" w:hAnsi="Times New Roman" w:cs="Times New Roman"/>
                </w:rPr>
                <w:tag w:val="goog_rdk_6"/>
                <w:id w:val="-345097689"/>
              </w:sdtPr>
              <w:sdtContent>
                <w:r w:rsidRPr="00A04B57">
                  <w:rPr>
                    <w:rFonts w:ascii="Times New Roman" w:eastAsia="Arial Unicode MS" w:hAnsi="Times New Roman" w:cs="Times New Roman"/>
                    <w:color w:val="000000"/>
                    <w:sz w:val="18"/>
                    <w:szCs w:val="18"/>
                  </w:rPr>
                  <w:t>Identificação de contingenciamentos, desvinculações, remanejamentos indevidos ou perdas de arrecadação por desvinculação ≥20%.</w:t>
                </w:r>
              </w:sdtContent>
            </w:sdt>
          </w:p>
        </w:tc>
      </w:tr>
      <w:tr w:rsidR="00A04B57" w:rsidRPr="00A04B57" w14:paraId="546DBAEC" w14:textId="77777777" w:rsidTr="00A04B57">
        <w:trPr>
          <w:trHeight w:val="20"/>
        </w:trPr>
        <w:tc>
          <w:tcPr>
            <w:tcW w:w="2263" w:type="dxa"/>
            <w:shd w:val="clear" w:color="auto" w:fill="auto"/>
            <w:vAlign w:val="center"/>
          </w:tcPr>
          <w:p w14:paraId="670240D1"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3.3 Execução setorial</w:t>
            </w:r>
          </w:p>
        </w:tc>
        <w:tc>
          <w:tcPr>
            <w:tcW w:w="6798" w:type="dxa"/>
            <w:shd w:val="clear" w:color="auto" w:fill="auto"/>
            <w:vAlign w:val="center"/>
          </w:tcPr>
          <w:p w14:paraId="5C7D77E7"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Verificação da descentralização e aderência temática (quem executa o quê e com que critério). Demonstra a distribuição dos recursos por Unidade Orçamentária e áreas.</w:t>
            </w:r>
          </w:p>
        </w:tc>
      </w:tr>
      <w:tr w:rsidR="00A04B57" w:rsidRPr="00A04B57" w14:paraId="055D6F7F" w14:textId="77777777" w:rsidTr="00A04B57">
        <w:trPr>
          <w:trHeight w:val="20"/>
        </w:trPr>
        <w:tc>
          <w:tcPr>
            <w:tcW w:w="2263" w:type="dxa"/>
            <w:shd w:val="clear" w:color="auto" w:fill="auto"/>
            <w:vAlign w:val="center"/>
          </w:tcPr>
          <w:p w14:paraId="10A8E00E"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3.6 Entrega física das ações</w:t>
            </w:r>
          </w:p>
        </w:tc>
        <w:tc>
          <w:tcPr>
            <w:tcW w:w="6798" w:type="dxa"/>
            <w:shd w:val="clear" w:color="auto" w:fill="auto"/>
            <w:vAlign w:val="center"/>
          </w:tcPr>
          <w:p w14:paraId="39A83747"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sz w:val="18"/>
                <w:szCs w:val="18"/>
              </w:rPr>
              <w:t>Aferição de p</w:t>
            </w:r>
            <w:sdt>
              <w:sdtPr>
                <w:rPr>
                  <w:rFonts w:ascii="Times New Roman" w:hAnsi="Times New Roman" w:cs="Times New Roman"/>
                </w:rPr>
                <w:tag w:val="goog_rdk_7"/>
                <w:id w:val="718868564"/>
              </w:sdtPr>
              <w:sdtContent>
                <w:r w:rsidRPr="00A04B57">
                  <w:rPr>
                    <w:rFonts w:ascii="Times New Roman" w:eastAsia="Arial Unicode MS" w:hAnsi="Times New Roman" w:cs="Times New Roman"/>
                    <w:color w:val="000000"/>
                    <w:sz w:val="18"/>
                    <w:szCs w:val="18"/>
                  </w:rPr>
                  <w:t>ercentual de execução das metas planejadas (≥85%), a partir do produto/serviço entregue.</w:t>
                </w:r>
              </w:sdtContent>
            </w:sdt>
          </w:p>
        </w:tc>
      </w:tr>
      <w:tr w:rsidR="00A04B57" w:rsidRPr="00A04B57" w14:paraId="6A66EE19" w14:textId="77777777" w:rsidTr="00A04B57">
        <w:trPr>
          <w:trHeight w:val="20"/>
        </w:trPr>
        <w:tc>
          <w:tcPr>
            <w:tcW w:w="2263" w:type="dxa"/>
            <w:shd w:val="clear" w:color="auto" w:fill="auto"/>
            <w:vAlign w:val="center"/>
          </w:tcPr>
          <w:p w14:paraId="6C8B004C"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3.7 Integridade do gasto</w:t>
            </w:r>
          </w:p>
        </w:tc>
        <w:tc>
          <w:tcPr>
            <w:tcW w:w="6798" w:type="dxa"/>
            <w:shd w:val="clear" w:color="auto" w:fill="auto"/>
            <w:vAlign w:val="center"/>
          </w:tcPr>
          <w:p w14:paraId="2B976769"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sz w:val="18"/>
                <w:szCs w:val="18"/>
              </w:rPr>
              <w:t>Certificação de i</w:t>
            </w:r>
            <w:r w:rsidRPr="00A04B57">
              <w:rPr>
                <w:rFonts w:ascii="Times New Roman" w:eastAsia="Arial" w:hAnsi="Times New Roman" w:cs="Times New Roman"/>
                <w:color w:val="000000"/>
                <w:sz w:val="18"/>
                <w:szCs w:val="18"/>
              </w:rPr>
              <w:t>nexistência de desvios de finalidade, fraudes ou ações judiciais relacionadas ao Fundo. Assegura conformidade e probidade na execução.</w:t>
            </w:r>
          </w:p>
        </w:tc>
      </w:tr>
      <w:tr w:rsidR="00A04B57" w:rsidRPr="00A04B57" w14:paraId="438A2D6D" w14:textId="77777777" w:rsidTr="00A04B57">
        <w:trPr>
          <w:trHeight w:val="20"/>
        </w:trPr>
        <w:tc>
          <w:tcPr>
            <w:tcW w:w="2263" w:type="dxa"/>
            <w:shd w:val="clear" w:color="auto" w:fill="auto"/>
            <w:vAlign w:val="center"/>
          </w:tcPr>
          <w:p w14:paraId="09C935D0"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3.8 Avaliação de resultados</w:t>
            </w:r>
          </w:p>
        </w:tc>
        <w:tc>
          <w:tcPr>
            <w:tcW w:w="6798" w:type="dxa"/>
            <w:shd w:val="clear" w:color="auto" w:fill="auto"/>
            <w:vAlign w:val="center"/>
          </w:tcPr>
          <w:p w14:paraId="0722224A"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Realização de avaliação anual dos recursos, análises de custo-benefício e custo-efetividade.</w:t>
            </w:r>
          </w:p>
        </w:tc>
      </w:tr>
      <w:tr w:rsidR="00A04B57" w:rsidRPr="00A04B57" w14:paraId="6B2DB9EE" w14:textId="77777777" w:rsidTr="00A04B57">
        <w:trPr>
          <w:trHeight w:val="20"/>
        </w:trPr>
        <w:tc>
          <w:tcPr>
            <w:tcW w:w="2263" w:type="dxa"/>
            <w:shd w:val="clear" w:color="auto" w:fill="auto"/>
            <w:vAlign w:val="center"/>
          </w:tcPr>
          <w:p w14:paraId="26FD7F72"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3.9 Impactos sociais</w:t>
            </w:r>
          </w:p>
        </w:tc>
        <w:tc>
          <w:tcPr>
            <w:tcW w:w="6798" w:type="dxa"/>
            <w:shd w:val="clear" w:color="auto" w:fill="auto"/>
            <w:vAlign w:val="center"/>
          </w:tcPr>
          <w:p w14:paraId="660F11E0"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Evidenciação dos efeitos do financiamento de ações de combate à pobreza na população-alvo (equidade e bem-estar). Correlação com a melhoria aparente de indicadores sociais (taxa de pobreza, renda per capita, cobertura de serviços, entre outros possíveis).</w:t>
            </w:r>
          </w:p>
        </w:tc>
      </w:tr>
      <w:tr w:rsidR="00A04B57" w:rsidRPr="00A04B57" w14:paraId="627627EB" w14:textId="77777777" w:rsidTr="00A04B57">
        <w:trPr>
          <w:trHeight w:val="20"/>
        </w:trPr>
        <w:tc>
          <w:tcPr>
            <w:tcW w:w="2263" w:type="dxa"/>
            <w:shd w:val="clear" w:color="auto" w:fill="auto"/>
            <w:vAlign w:val="center"/>
          </w:tcPr>
          <w:p w14:paraId="5442CD74"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3.10 Transparência</w:t>
            </w:r>
          </w:p>
        </w:tc>
        <w:tc>
          <w:tcPr>
            <w:tcW w:w="6798" w:type="dxa"/>
            <w:shd w:val="clear" w:color="auto" w:fill="auto"/>
            <w:vAlign w:val="center"/>
          </w:tcPr>
          <w:p w14:paraId="21D0CDDC"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Disponibilidade pública dos dados de execução orçamentária, legislação, PA, PAF, metas e relatórios. Rastreabilidade em tempo hábil.</w:t>
            </w:r>
          </w:p>
        </w:tc>
      </w:tr>
      <w:tr w:rsidR="00A04B57" w:rsidRPr="00A04B57" w14:paraId="72005B1F" w14:textId="77777777" w:rsidTr="00A04B57">
        <w:trPr>
          <w:trHeight w:val="20"/>
        </w:trPr>
        <w:tc>
          <w:tcPr>
            <w:tcW w:w="2263" w:type="dxa"/>
            <w:shd w:val="clear" w:color="auto" w:fill="auto"/>
            <w:vAlign w:val="center"/>
          </w:tcPr>
          <w:p w14:paraId="69E648A5"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3.11 Participação social na execução</w:t>
            </w:r>
          </w:p>
        </w:tc>
        <w:tc>
          <w:tcPr>
            <w:tcW w:w="6798" w:type="dxa"/>
            <w:shd w:val="clear" w:color="auto" w:fill="auto"/>
            <w:vAlign w:val="center"/>
          </w:tcPr>
          <w:p w14:paraId="427DDFD2"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Participação </w:t>
            </w:r>
            <w:r w:rsidRPr="00A04B57">
              <w:rPr>
                <w:rFonts w:ascii="Times New Roman" w:eastAsia="Arial" w:hAnsi="Times New Roman" w:cs="Times New Roman"/>
                <w:i/>
                <w:color w:val="000000"/>
                <w:sz w:val="18"/>
                <w:szCs w:val="18"/>
              </w:rPr>
              <w:t>in itinere</w:t>
            </w:r>
            <w:r w:rsidRPr="00A04B57">
              <w:rPr>
                <w:rFonts w:ascii="Times New Roman" w:eastAsia="Arial" w:hAnsi="Times New Roman" w:cs="Times New Roman"/>
                <w:color w:val="000000"/>
                <w:sz w:val="18"/>
                <w:szCs w:val="18"/>
              </w:rPr>
              <w:t xml:space="preserve"> ou </w:t>
            </w:r>
            <w:r w:rsidRPr="00A04B57">
              <w:rPr>
                <w:rFonts w:ascii="Times New Roman" w:eastAsia="Arial" w:hAnsi="Times New Roman" w:cs="Times New Roman"/>
                <w:i/>
                <w:color w:val="000000"/>
                <w:sz w:val="18"/>
                <w:szCs w:val="18"/>
              </w:rPr>
              <w:t>ex post</w:t>
            </w:r>
            <w:r w:rsidRPr="00A04B57">
              <w:rPr>
                <w:rFonts w:ascii="Times New Roman" w:eastAsia="Arial" w:hAnsi="Times New Roman" w:cs="Times New Roman"/>
                <w:color w:val="000000"/>
                <w:sz w:val="18"/>
                <w:szCs w:val="18"/>
              </w:rPr>
              <w:t xml:space="preserve">. Verifica se a sociedade acompanha e cobra a entrega do que foi planejado, monitorando empenho, liquidação, pagamento, reprogramações, contingenciamentos e prestações de contas. Mede-se a transparência e tempestividade dos dados e a capacidade de acionamento corretivo (ouvidoria e canais de denúncias). A sociedade verifica “como” foi realizado o gasto e “o quê” foi entregue como resultado. </w:t>
            </w:r>
          </w:p>
        </w:tc>
      </w:tr>
      <w:tr w:rsidR="00A04B57" w:rsidRPr="00A04B57" w14:paraId="10C27D36" w14:textId="77777777" w:rsidTr="00A04B57">
        <w:trPr>
          <w:trHeight w:val="20"/>
        </w:trPr>
        <w:tc>
          <w:tcPr>
            <w:tcW w:w="2263" w:type="dxa"/>
            <w:shd w:val="clear" w:color="auto" w:fill="auto"/>
            <w:vAlign w:val="center"/>
          </w:tcPr>
          <w:p w14:paraId="12B49A51"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3.12 Capacidade institucional</w:t>
            </w:r>
          </w:p>
        </w:tc>
        <w:tc>
          <w:tcPr>
            <w:tcW w:w="6798" w:type="dxa"/>
            <w:shd w:val="clear" w:color="auto" w:fill="auto"/>
            <w:vAlign w:val="center"/>
          </w:tcPr>
          <w:p w14:paraId="3590D830"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Governança (equipe, processos e sistemas) suficiente para executar os recursos do Fundo. Inclui os sistemas de justiça, de controle interno e de controle externo. </w:t>
            </w:r>
          </w:p>
        </w:tc>
      </w:tr>
      <w:tr w:rsidR="00A04B57" w:rsidRPr="00A04B57" w14:paraId="0A2A897B" w14:textId="77777777" w:rsidTr="00A04B57">
        <w:trPr>
          <w:trHeight w:val="397"/>
        </w:trPr>
        <w:tc>
          <w:tcPr>
            <w:tcW w:w="9061" w:type="dxa"/>
            <w:gridSpan w:val="2"/>
            <w:shd w:val="clear" w:color="auto" w:fill="auto"/>
            <w:vAlign w:val="center"/>
          </w:tcPr>
          <w:p w14:paraId="104A36F2" w14:textId="77777777" w:rsidR="00A04B57" w:rsidRPr="00A04B57" w:rsidRDefault="00A04B57" w:rsidP="00A04B57">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b/>
                <w:color w:val="000000"/>
                <w:sz w:val="18"/>
                <w:szCs w:val="18"/>
              </w:rPr>
              <w:t>Diagnóstico do Fundo de Combate à Pobreza</w:t>
            </w:r>
          </w:p>
        </w:tc>
      </w:tr>
      <w:tr w:rsidR="00A04B57" w:rsidRPr="00A04B57" w14:paraId="12BE7651" w14:textId="77777777" w:rsidTr="00A04B57">
        <w:trPr>
          <w:trHeight w:val="20"/>
        </w:trPr>
        <w:tc>
          <w:tcPr>
            <w:tcW w:w="2263" w:type="dxa"/>
            <w:shd w:val="clear" w:color="auto" w:fill="auto"/>
            <w:vAlign w:val="center"/>
          </w:tcPr>
          <w:p w14:paraId="1CE8E391"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Perfil dos Eixos e Dimensões do Fundo</w:t>
            </w:r>
          </w:p>
        </w:tc>
        <w:tc>
          <w:tcPr>
            <w:tcW w:w="6798" w:type="dxa"/>
            <w:shd w:val="clear" w:color="auto" w:fill="auto"/>
            <w:vAlign w:val="center"/>
          </w:tcPr>
          <w:p w14:paraId="2D6EE7C7"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Identificação d</w:t>
            </w:r>
            <w:r w:rsidRPr="00A04B57">
              <w:rPr>
                <w:rFonts w:ascii="Times New Roman" w:eastAsia="Arial" w:hAnsi="Times New Roman" w:cs="Times New Roman"/>
                <w:sz w:val="18"/>
                <w:szCs w:val="18"/>
              </w:rPr>
              <w:t>os</w:t>
            </w:r>
            <w:r w:rsidRPr="00A04B57">
              <w:rPr>
                <w:rFonts w:ascii="Times New Roman" w:eastAsia="Arial" w:hAnsi="Times New Roman" w:cs="Times New Roman"/>
                <w:color w:val="000000"/>
                <w:sz w:val="18"/>
                <w:szCs w:val="18"/>
              </w:rPr>
              <w:t xml:space="preserve"> gargalos estruturais, separa causas de sintomas e cria uma linha de base mensurável, possibilitando priorizar as ações preventivas e de contingências por criticidade e impacto. Em termos metodológicos, o perfil é a leitura granular do Fundo, identificando forças e fragilidades por eixo e dimensão.</w:t>
            </w:r>
          </w:p>
        </w:tc>
      </w:tr>
      <w:tr w:rsidR="00A04B57" w:rsidRPr="00A04B57" w14:paraId="1E6D8674" w14:textId="77777777" w:rsidTr="00A04B57">
        <w:trPr>
          <w:trHeight w:val="20"/>
        </w:trPr>
        <w:tc>
          <w:tcPr>
            <w:tcW w:w="2263" w:type="dxa"/>
            <w:shd w:val="clear" w:color="auto" w:fill="auto"/>
            <w:vAlign w:val="center"/>
          </w:tcPr>
          <w:p w14:paraId="2FCDBDAB"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lastRenderedPageBreak/>
              <w:t>Nível de Maturidade do Fundo</w:t>
            </w:r>
          </w:p>
        </w:tc>
        <w:tc>
          <w:tcPr>
            <w:tcW w:w="6798" w:type="dxa"/>
            <w:shd w:val="clear" w:color="auto" w:fill="auto"/>
            <w:vAlign w:val="center"/>
          </w:tcPr>
          <w:p w14:paraId="02F22476" w14:textId="77777777" w:rsidR="00A04B57" w:rsidRPr="00A04B57" w:rsidRDefault="00A04B57" w:rsidP="00A04B57">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Indicador sintético, calculado por agregado ponderado (pesos/criticidade) dos elementos de verificação do PV. Como regra, usa-se o perfil para priorizar intervenções e o nível global para comunicar o estado geral e comparar o Fundo ao longo do tempo ou entre entes.</w:t>
            </w:r>
          </w:p>
        </w:tc>
      </w:tr>
    </w:tbl>
    <w:p w14:paraId="6ACBE3D6" w14:textId="77777777" w:rsidR="00A04B57" w:rsidRPr="00A04B57" w:rsidRDefault="00A04B57" w:rsidP="00A04B57">
      <w:pPr>
        <w:pBdr>
          <w:top w:val="nil"/>
          <w:left w:val="nil"/>
          <w:bottom w:val="nil"/>
          <w:right w:val="nil"/>
          <w:between w:val="nil"/>
        </w:pBdr>
        <w:spacing w:after="0" w:line="360" w:lineRule="auto"/>
        <w:jc w:val="both"/>
        <w:rPr>
          <w:rFonts w:ascii="Times New Roman" w:eastAsia="Arial" w:hAnsi="Times New Roman" w:cs="Times New Roman"/>
          <w:color w:val="000000"/>
          <w:sz w:val="20"/>
          <w:szCs w:val="20"/>
        </w:rPr>
      </w:pPr>
      <w:r w:rsidRPr="00A04B57">
        <w:rPr>
          <w:rFonts w:ascii="Times New Roman" w:eastAsia="Arial" w:hAnsi="Times New Roman" w:cs="Times New Roman"/>
          <w:color w:val="000000"/>
          <w:sz w:val="20"/>
          <w:szCs w:val="20"/>
        </w:rPr>
        <w:t>Fonte: Elaboração própria.</w:t>
      </w:r>
    </w:p>
    <w:p w14:paraId="2AF07577" w14:textId="77777777" w:rsidR="00A04B57" w:rsidRPr="00A04B57" w:rsidRDefault="00A04B57" w:rsidP="00A04B57">
      <w:pPr>
        <w:pBdr>
          <w:top w:val="nil"/>
          <w:left w:val="nil"/>
          <w:bottom w:val="nil"/>
          <w:right w:val="nil"/>
          <w:between w:val="nil"/>
        </w:pBdr>
        <w:spacing w:after="0" w:line="360" w:lineRule="auto"/>
        <w:jc w:val="both"/>
        <w:rPr>
          <w:rFonts w:ascii="Times New Roman" w:eastAsia="Arial" w:hAnsi="Times New Roman" w:cs="Times New Roman"/>
          <w:color w:val="000000"/>
          <w:sz w:val="20"/>
          <w:szCs w:val="20"/>
        </w:rPr>
      </w:pPr>
    </w:p>
    <w:p w14:paraId="1661BF86" w14:textId="1DDAB414" w:rsidR="00164417" w:rsidRDefault="00A04B57" w:rsidP="00164417">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A04B57">
        <w:rPr>
          <w:rFonts w:ascii="Times New Roman" w:eastAsia="Arial" w:hAnsi="Times New Roman" w:cs="Times New Roman"/>
          <w:color w:val="000000"/>
        </w:rPr>
        <w:t>A</w:t>
      </w:r>
      <w:r w:rsidR="00DB0181">
        <w:rPr>
          <w:rFonts w:ascii="Times New Roman" w:eastAsia="Arial" w:hAnsi="Times New Roman" w:cs="Times New Roman"/>
          <w:color w:val="000000"/>
        </w:rPr>
        <w:t xml:space="preserve"> seguir, a</w:t>
      </w:r>
      <w:r w:rsidRPr="00A04B57">
        <w:rPr>
          <w:rFonts w:ascii="Times New Roman" w:eastAsia="Arial" w:hAnsi="Times New Roman" w:cs="Times New Roman"/>
          <w:color w:val="000000"/>
        </w:rPr>
        <w:t xml:space="preserve"> avaliação dos </w:t>
      </w:r>
      <w:r w:rsidR="00DB0181">
        <w:rPr>
          <w:rFonts w:ascii="Times New Roman" w:eastAsia="Arial" w:hAnsi="Times New Roman" w:cs="Times New Roman"/>
          <w:color w:val="000000"/>
        </w:rPr>
        <w:t>FCPs</w:t>
      </w:r>
      <w:r w:rsidRPr="00A04B57">
        <w:rPr>
          <w:rFonts w:ascii="Times New Roman" w:eastAsia="Arial" w:hAnsi="Times New Roman" w:cs="Times New Roman"/>
          <w:color w:val="000000"/>
        </w:rPr>
        <w:t xml:space="preserve"> </w:t>
      </w:r>
      <w:r w:rsidR="00DB0181">
        <w:rPr>
          <w:rFonts w:ascii="Times New Roman" w:eastAsia="Arial" w:hAnsi="Times New Roman" w:cs="Times New Roman"/>
          <w:color w:val="000000"/>
        </w:rPr>
        <w:t xml:space="preserve">estaduais </w:t>
      </w:r>
      <w:r w:rsidRPr="00A04B57">
        <w:rPr>
          <w:rFonts w:ascii="Times New Roman" w:eastAsia="Arial" w:hAnsi="Times New Roman" w:cs="Times New Roman"/>
          <w:color w:val="000000"/>
        </w:rPr>
        <w:t xml:space="preserve">de São Paulo e Rio de Janeiro validou a metodologia ao revelar convergências, diferenças institucionais e riscos estruturais, estabelecendo um marco de referência para fortalecer a governança, ampliar a transparência e assegurar maior efetividade no uso dos recursos destinados ao combate da pobreza e à redução das desigualdades. </w:t>
      </w:r>
      <w:bookmarkStart w:id="24" w:name="_Toc210287295"/>
      <w:bookmarkEnd w:id="7"/>
      <w:bookmarkEnd w:id="8"/>
      <w:bookmarkEnd w:id="9"/>
      <w:bookmarkEnd w:id="10"/>
      <w:bookmarkEnd w:id="11"/>
      <w:bookmarkEnd w:id="12"/>
      <w:bookmarkEnd w:id="13"/>
    </w:p>
    <w:p w14:paraId="3651E3D7" w14:textId="1E670599" w:rsidR="00774F87" w:rsidRPr="00A04B57" w:rsidRDefault="00952995" w:rsidP="00BC3AC4">
      <w:pPr>
        <w:pStyle w:val="Ttulo1"/>
      </w:pPr>
      <w:r w:rsidRPr="00A04B57">
        <w:t xml:space="preserve">APLICAÇÃO </w:t>
      </w:r>
      <w:bookmarkEnd w:id="24"/>
      <w:r w:rsidR="00774F87" w:rsidRPr="00A04B57">
        <w:t>EMPÍRICA DO MoMMA</w:t>
      </w:r>
      <w:bookmarkStart w:id="25" w:name="_Toc210287296"/>
    </w:p>
    <w:p w14:paraId="620EB2CF" w14:textId="4590969E" w:rsidR="004D48D3" w:rsidRPr="00A04B57" w:rsidRDefault="004D48D3" w:rsidP="00DB0181">
      <w:pPr>
        <w:pStyle w:val="Ttulo2"/>
      </w:pPr>
      <w:r w:rsidRPr="00A04B57">
        <w:t>Estado de São Paulo</w:t>
      </w:r>
      <w:bookmarkEnd w:id="25"/>
    </w:p>
    <w:p w14:paraId="3F657543" w14:textId="77777777" w:rsidR="008E2B68" w:rsidRPr="00A04B57" w:rsidRDefault="00CC6AE2" w:rsidP="00B40789">
      <w:pPr>
        <w:spacing w:after="0" w:line="360" w:lineRule="auto"/>
        <w:ind w:firstLine="709"/>
        <w:jc w:val="both"/>
        <w:rPr>
          <w:rFonts w:ascii="Times New Roman" w:hAnsi="Times New Roman" w:cs="Times New Roman"/>
        </w:rPr>
      </w:pPr>
      <w:r w:rsidRPr="00A04B57">
        <w:rPr>
          <w:rFonts w:ascii="Times New Roman" w:hAnsi="Times New Roman" w:cs="Times New Roman"/>
        </w:rPr>
        <w:t>O Estado de São Paulo, unidade federativa mais populosa do país, c</w:t>
      </w:r>
      <w:r w:rsidR="008E2B68" w:rsidRPr="00A04B57">
        <w:rPr>
          <w:rFonts w:ascii="Times New Roman" w:hAnsi="Times New Roman" w:cs="Times New Roman"/>
        </w:rPr>
        <w:t>oncentra aproximadamente</w:t>
      </w:r>
      <w:r w:rsidRPr="00A04B57">
        <w:rPr>
          <w:rFonts w:ascii="Times New Roman" w:hAnsi="Times New Roman" w:cs="Times New Roman"/>
        </w:rPr>
        <w:t xml:space="preserve"> 4</w:t>
      </w:r>
      <w:r w:rsidR="001E3C5B" w:rsidRPr="00A04B57">
        <w:rPr>
          <w:rFonts w:ascii="Times New Roman" w:hAnsi="Times New Roman" w:cs="Times New Roman"/>
        </w:rPr>
        <w:t>7,</w:t>
      </w:r>
      <w:r w:rsidR="007D4893" w:rsidRPr="00A04B57">
        <w:rPr>
          <w:rFonts w:ascii="Times New Roman" w:hAnsi="Times New Roman" w:cs="Times New Roman"/>
        </w:rPr>
        <w:t>3</w:t>
      </w:r>
      <w:r w:rsidRPr="00A04B57">
        <w:rPr>
          <w:rFonts w:ascii="Times New Roman" w:hAnsi="Times New Roman" w:cs="Times New Roman"/>
        </w:rPr>
        <w:t xml:space="preserve"> milhões de habitantes distribuídos em 645 municípios (IBGE, 202</w:t>
      </w:r>
      <w:r w:rsidR="007D4893" w:rsidRPr="00A04B57">
        <w:rPr>
          <w:rFonts w:ascii="Times New Roman" w:hAnsi="Times New Roman" w:cs="Times New Roman"/>
        </w:rPr>
        <w:t>3</w:t>
      </w:r>
      <w:r w:rsidRPr="00A04B57">
        <w:rPr>
          <w:rFonts w:ascii="Times New Roman" w:hAnsi="Times New Roman" w:cs="Times New Roman"/>
        </w:rPr>
        <w:t xml:space="preserve">). </w:t>
      </w:r>
      <w:r w:rsidR="008E2B68" w:rsidRPr="00A04B57">
        <w:rPr>
          <w:rFonts w:ascii="Times New Roman" w:hAnsi="Times New Roman" w:cs="Times New Roman"/>
        </w:rPr>
        <w:t>Embora exerça papel central na economia nacional, com elevada participação no PIB brasileiro (31,1%, em 2022)</w:t>
      </w:r>
      <w:r w:rsidR="008E2B68" w:rsidRPr="00A04B57">
        <w:rPr>
          <w:rStyle w:val="Refdenotaderodap"/>
          <w:rFonts w:ascii="Times New Roman" w:hAnsi="Times New Roman" w:cs="Times New Roman"/>
        </w:rPr>
        <w:footnoteReference w:id="9"/>
      </w:r>
      <w:r w:rsidR="008E2B68" w:rsidRPr="00A04B57">
        <w:rPr>
          <w:rFonts w:ascii="Times New Roman" w:hAnsi="Times New Roman" w:cs="Times New Roman"/>
        </w:rPr>
        <w:t xml:space="preserve">, os indicadores sociais revelam vulnerabilidades expressivas. </w:t>
      </w:r>
    </w:p>
    <w:p w14:paraId="30885CC0" w14:textId="453180F9" w:rsidR="008E2B68" w:rsidRPr="00A04B57" w:rsidRDefault="008E2B68" w:rsidP="00B40789">
      <w:pPr>
        <w:spacing w:line="360" w:lineRule="auto"/>
        <w:ind w:firstLine="709"/>
        <w:jc w:val="both"/>
        <w:rPr>
          <w:rFonts w:ascii="Times New Roman" w:hAnsi="Times New Roman" w:cs="Times New Roman"/>
        </w:rPr>
      </w:pPr>
      <w:r w:rsidRPr="00A04B57">
        <w:rPr>
          <w:rFonts w:ascii="Times New Roman" w:hAnsi="Times New Roman" w:cs="Times New Roman"/>
        </w:rPr>
        <w:t>Em agosto de 2025</w:t>
      </w:r>
      <w:r w:rsidR="004A6D59" w:rsidRPr="00A04B57">
        <w:rPr>
          <w:rStyle w:val="Refdenotaderodap"/>
          <w:rFonts w:ascii="Times New Roman" w:hAnsi="Times New Roman" w:cs="Times New Roman"/>
        </w:rPr>
        <w:footnoteReference w:id="10"/>
      </w:r>
      <w:r w:rsidR="004A6D59" w:rsidRPr="00A04B57">
        <w:rPr>
          <w:rFonts w:ascii="Times New Roman" w:hAnsi="Times New Roman" w:cs="Times New Roman"/>
        </w:rPr>
        <w:t>,</w:t>
      </w:r>
      <w:r w:rsidRPr="00A04B57">
        <w:rPr>
          <w:rFonts w:ascii="Times New Roman" w:hAnsi="Times New Roman" w:cs="Times New Roman"/>
        </w:rPr>
        <w:t xml:space="preserve"> 8,27 milhões (17,49%) de pessoas vivia em famílias com renda de até um salário mínimo, evidenciando a predominância da pobreza e da extrema pobreza entre os cadastrados. Outros 3,02 milhões situavam-se na faixa de um a dois salários mínimos, enquanto 1,25 milhão pertencia a famílias com renda entre dois e três salários mínimos. Juntos representam 26,52% da população paulista. A</w:t>
      </w:r>
      <w:r w:rsidR="004A6D59" w:rsidRPr="00A04B57">
        <w:rPr>
          <w:rFonts w:ascii="Times New Roman" w:hAnsi="Times New Roman" w:cs="Times New Roman"/>
        </w:rPr>
        <w:t>demais, a</w:t>
      </w:r>
      <w:r w:rsidRPr="00A04B57">
        <w:rPr>
          <w:rFonts w:ascii="Times New Roman" w:hAnsi="Times New Roman" w:cs="Times New Roman"/>
        </w:rPr>
        <w:t xml:space="preserve">penas 1,16 milhão de pessoas estavam em famílias com renda superior a três salários mínimos. </w:t>
      </w:r>
    </w:p>
    <w:p w14:paraId="740D48CA" w14:textId="486FD900" w:rsidR="0082250F" w:rsidRPr="00A04B57" w:rsidRDefault="0082250F" w:rsidP="00B40789">
      <w:pPr>
        <w:spacing w:after="0" w:line="360" w:lineRule="auto"/>
        <w:rPr>
          <w:rFonts w:ascii="Times New Roman" w:hAnsi="Times New Roman" w:cs="Times New Roman"/>
        </w:rPr>
      </w:pPr>
      <w:r w:rsidRPr="00A04B57">
        <w:rPr>
          <w:rFonts w:ascii="Times New Roman" w:hAnsi="Times New Roman" w:cs="Times New Roman"/>
          <w:noProof/>
          <w:lang w:eastAsia="pt-BR"/>
        </w:rPr>
        <w:drawing>
          <wp:inline distT="0" distB="0" distL="0" distR="0" wp14:anchorId="30B3AFD8" wp14:editId="36DD4425">
            <wp:extent cx="5760085" cy="968375"/>
            <wp:effectExtent l="0" t="0" r="0" b="31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968375"/>
                    </a:xfrm>
                    <a:prstGeom prst="rect">
                      <a:avLst/>
                    </a:prstGeom>
                  </pic:spPr>
                </pic:pic>
              </a:graphicData>
            </a:graphic>
          </wp:inline>
        </w:drawing>
      </w:r>
    </w:p>
    <w:p w14:paraId="05E4B164" w14:textId="4E1C8FF1" w:rsidR="0082250F" w:rsidRPr="00BC3AC4" w:rsidRDefault="0082250F" w:rsidP="00BC3AC4">
      <w:pPr>
        <w:spacing w:after="0" w:line="240" w:lineRule="auto"/>
        <w:rPr>
          <w:rFonts w:ascii="Times New Roman" w:hAnsi="Times New Roman" w:cs="Times New Roman"/>
          <w:sz w:val="20"/>
        </w:rPr>
      </w:pPr>
      <w:r w:rsidRPr="00BC3AC4">
        <w:rPr>
          <w:rFonts w:ascii="Times New Roman" w:hAnsi="Times New Roman" w:cs="Times New Roman"/>
          <w:sz w:val="20"/>
        </w:rPr>
        <w:t>Fonte: Pessoas inscritas no Cadastro Único – agosto de 2025. Secretaria de Avaliação, Gestão da Informação e Cadastro Único.</w:t>
      </w:r>
    </w:p>
    <w:p w14:paraId="38CAE8E4" w14:textId="77777777" w:rsidR="004A6D59" w:rsidRPr="00A04B57" w:rsidRDefault="004A6D59" w:rsidP="00B40789">
      <w:pPr>
        <w:spacing w:after="0" w:line="360" w:lineRule="auto"/>
        <w:rPr>
          <w:rFonts w:ascii="Times New Roman" w:hAnsi="Times New Roman" w:cs="Times New Roman"/>
        </w:rPr>
      </w:pPr>
    </w:p>
    <w:p w14:paraId="058E022E" w14:textId="35563D63" w:rsidR="0082250F" w:rsidRPr="00A04B57" w:rsidRDefault="0082250F" w:rsidP="00B40789">
      <w:pPr>
        <w:spacing w:line="360" w:lineRule="auto"/>
        <w:rPr>
          <w:rFonts w:ascii="Times New Roman" w:hAnsi="Times New Roman" w:cs="Times New Roman"/>
        </w:rPr>
      </w:pPr>
      <w:r w:rsidRPr="00A04B57">
        <w:rPr>
          <w:rFonts w:ascii="Times New Roman" w:hAnsi="Times New Roman" w:cs="Times New Roman"/>
          <w:noProof/>
          <w:lang w:eastAsia="pt-BR"/>
        </w:rPr>
        <w:lastRenderedPageBreak/>
        <w:drawing>
          <wp:inline distT="0" distB="0" distL="0" distR="0" wp14:anchorId="47CC785C" wp14:editId="3E281D4C">
            <wp:extent cx="5760085" cy="185674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1856740"/>
                    </a:xfrm>
                    <a:prstGeom prst="rect">
                      <a:avLst/>
                    </a:prstGeom>
                  </pic:spPr>
                </pic:pic>
              </a:graphicData>
            </a:graphic>
          </wp:inline>
        </w:drawing>
      </w:r>
    </w:p>
    <w:p w14:paraId="61AAD59B" w14:textId="77777777" w:rsidR="00BC3AC4" w:rsidRDefault="004A6D59" w:rsidP="00BC3AC4">
      <w:pPr>
        <w:spacing w:after="0" w:line="360" w:lineRule="auto"/>
        <w:ind w:firstLine="709"/>
        <w:jc w:val="both"/>
        <w:rPr>
          <w:rFonts w:ascii="Times New Roman" w:hAnsi="Times New Roman" w:cs="Times New Roman"/>
        </w:rPr>
      </w:pPr>
      <w:r w:rsidRPr="00A04B57">
        <w:rPr>
          <w:rFonts w:ascii="Times New Roman" w:hAnsi="Times New Roman" w:cs="Times New Roman"/>
        </w:rPr>
        <w:t xml:space="preserve">Esse retrato revela que, mesmo em um estado de grande capacidade arrecadatória e atividade econômica desenvolvida, persistem desigualdades sociais profundas. A concentração expressiva de famílias nas faixas de baixa renda evidencia que o dinamismo não se converteu em distribuição equitativa de riqueza, o que impõe desafios à efetividade das políticas públicas e demanda estratégias redistributivas mais consistentes e sustentáveis. </w:t>
      </w:r>
    </w:p>
    <w:p w14:paraId="36ED374C" w14:textId="187D5AED" w:rsidR="00BC3AC4" w:rsidRPr="00BC3AC4" w:rsidRDefault="00BC3AC4" w:rsidP="00BC3AC4">
      <w:pPr>
        <w:spacing w:line="360" w:lineRule="auto"/>
        <w:ind w:firstLine="709"/>
        <w:jc w:val="both"/>
        <w:rPr>
          <w:rFonts w:ascii="Times New Roman" w:hAnsi="Times New Roman" w:cs="Times New Roman"/>
        </w:rPr>
      </w:pPr>
      <w:r w:rsidRPr="00BC3AC4">
        <w:rPr>
          <w:rFonts w:ascii="Times New Roman" w:hAnsi="Times New Roman" w:cs="Times New Roman"/>
        </w:rPr>
        <w:t>A aplicação d</w:t>
      </w:r>
      <w:r>
        <w:rPr>
          <w:rFonts w:ascii="Times New Roman" w:hAnsi="Times New Roman" w:cs="Times New Roman"/>
        </w:rPr>
        <w:t>o</w:t>
      </w:r>
      <w:r w:rsidRPr="00BC3AC4">
        <w:rPr>
          <w:rFonts w:ascii="Times New Roman" w:hAnsi="Times New Roman" w:cs="Times New Roman"/>
        </w:rPr>
        <w:t xml:space="preserve"> MoMMA ao Fundo Estadual de Combate e Erradicação da Pobreza de São Paulo (FECOEP-SP), cobrindo os ciclos orçamentários de 2023 a 2025, resultou em um Índice de Maturidade Global de 65%, classificando a instituição no nível de "Boa Maturidade". Contudo, a radiografia gerada pelo modelo expôs uma</w:t>
      </w:r>
      <w:r>
        <w:rPr>
          <w:rFonts w:ascii="Times New Roman" w:hAnsi="Times New Roman" w:cs="Times New Roman"/>
        </w:rPr>
        <w:t xml:space="preserve"> profunda assimetria estrutural, visto que </w:t>
      </w:r>
      <w:r w:rsidRPr="00BC3AC4">
        <w:rPr>
          <w:rFonts w:ascii="Times New Roman" w:hAnsi="Times New Roman" w:cs="Times New Roman"/>
        </w:rPr>
        <w:t>o Fundo possui alta eficiência na entrada dos recursos, mas enfrenta gargalos severos na destinação e na avaliação do impacto social.</w:t>
      </w:r>
    </w:p>
    <w:p w14:paraId="456F426A" w14:textId="6C639FAA" w:rsidR="00BC3AC4" w:rsidRPr="00BC3AC4" w:rsidRDefault="004E368A" w:rsidP="00BC3AC4">
      <w:pPr>
        <w:spacing w:line="360" w:lineRule="auto"/>
        <w:ind w:firstLine="709"/>
        <w:jc w:val="both"/>
        <w:rPr>
          <w:rFonts w:ascii="Times New Roman" w:hAnsi="Times New Roman" w:cs="Times New Roman"/>
        </w:rPr>
      </w:pPr>
      <w:r>
        <w:rPr>
          <w:rFonts w:ascii="Times New Roman" w:hAnsi="Times New Roman" w:cs="Times New Roman"/>
        </w:rPr>
        <w:t>A partir da Ficha Técnica do FECOEP-SP</w:t>
      </w:r>
      <w:r>
        <w:rPr>
          <w:rStyle w:val="Refdenotaderodap"/>
          <w:rFonts w:ascii="Times New Roman" w:hAnsi="Times New Roman" w:cs="Times New Roman"/>
        </w:rPr>
        <w:footnoteReference w:id="11"/>
      </w:r>
      <w:r>
        <w:rPr>
          <w:rFonts w:ascii="Times New Roman" w:hAnsi="Times New Roman" w:cs="Times New Roman"/>
        </w:rPr>
        <w:t>, o</w:t>
      </w:r>
      <w:r w:rsidR="00BC3AC4" w:rsidRPr="00BC3AC4">
        <w:rPr>
          <w:rFonts w:ascii="Times New Roman" w:hAnsi="Times New Roman" w:cs="Times New Roman"/>
        </w:rPr>
        <w:t xml:space="preserve">s </w:t>
      </w:r>
      <w:r w:rsidR="00BC3AC4">
        <w:rPr>
          <w:rFonts w:ascii="Times New Roman" w:hAnsi="Times New Roman" w:cs="Times New Roman"/>
        </w:rPr>
        <w:t xml:space="preserve">principais </w:t>
      </w:r>
      <w:r w:rsidR="00BC3AC4" w:rsidRPr="00BC3AC4">
        <w:rPr>
          <w:rFonts w:ascii="Times New Roman" w:hAnsi="Times New Roman" w:cs="Times New Roman"/>
        </w:rPr>
        <w:t>achados encontram-se segmentados nos três eixos analíticos da metodologia:</w:t>
      </w:r>
    </w:p>
    <w:p w14:paraId="5853B43F" w14:textId="28F69241" w:rsidR="00BC3AC4" w:rsidRPr="00BC3AC4" w:rsidRDefault="00BC3AC4" w:rsidP="0032733E">
      <w:pPr>
        <w:pStyle w:val="PargrafodaLista"/>
        <w:numPr>
          <w:ilvl w:val="3"/>
          <w:numId w:val="47"/>
        </w:numPr>
        <w:ind w:left="709"/>
        <w:rPr>
          <w:rFonts w:ascii="Times New Roman" w:hAnsi="Times New Roman" w:cs="Times New Roman"/>
        </w:rPr>
      </w:pPr>
      <w:r w:rsidRPr="00BC3AC4">
        <w:rPr>
          <w:rFonts w:ascii="Times New Roman" w:hAnsi="Times New Roman" w:cs="Times New Roman"/>
        </w:rPr>
        <w:t xml:space="preserve">Eixo de Responsabilidade Arrecadatória (88% - Perfil Pleno) </w:t>
      </w:r>
      <w:r w:rsidR="00AC631C">
        <w:rPr>
          <w:rFonts w:ascii="Times New Roman" w:hAnsi="Times New Roman" w:cs="Times New Roman"/>
        </w:rPr>
        <w:t xml:space="preserve">- </w:t>
      </w:r>
      <w:r w:rsidRPr="00BC3AC4">
        <w:rPr>
          <w:rFonts w:ascii="Times New Roman" w:hAnsi="Times New Roman" w:cs="Times New Roman"/>
        </w:rPr>
        <w:t>O Fundo paulista demonstrou uma "espinha dorsal" sólida no que tange à captação de recursos. Atingiu pontuação máxima (100%) na dimensão Jurídico-Estrutural, evidenciando bases legais seguras e previsibilidade normativa, além de desempenhos plenos nas dimensões Político-Institucional e de Participação e Transparência relacionadas à arrecadação. O diagnóstico confirma que o Estado é eficiente em assegurar as receitas vinculadas ao combate à pobreza.</w:t>
      </w:r>
    </w:p>
    <w:p w14:paraId="1E36C9A1" w14:textId="69C462FD" w:rsidR="00BC3AC4" w:rsidRPr="00BC3AC4" w:rsidRDefault="00BC3AC4" w:rsidP="0032733E">
      <w:pPr>
        <w:pStyle w:val="PargrafodaLista"/>
        <w:numPr>
          <w:ilvl w:val="3"/>
          <w:numId w:val="47"/>
        </w:numPr>
        <w:ind w:left="709"/>
        <w:rPr>
          <w:rFonts w:ascii="Times New Roman" w:hAnsi="Times New Roman" w:cs="Times New Roman"/>
        </w:rPr>
      </w:pPr>
      <w:r w:rsidRPr="00BC3AC4">
        <w:rPr>
          <w:rFonts w:ascii="Times New Roman" w:hAnsi="Times New Roman" w:cs="Times New Roman"/>
        </w:rPr>
        <w:t xml:space="preserve">Eixo de Planejamento Orçamentário (54% - Perfil Intermediário) </w:t>
      </w:r>
      <w:r w:rsidR="00AC631C">
        <w:rPr>
          <w:rFonts w:ascii="Times New Roman" w:hAnsi="Times New Roman" w:cs="Times New Roman"/>
        </w:rPr>
        <w:t xml:space="preserve">- </w:t>
      </w:r>
      <w:r w:rsidRPr="00BC3AC4">
        <w:rPr>
          <w:rFonts w:ascii="Times New Roman" w:hAnsi="Times New Roman" w:cs="Times New Roman"/>
        </w:rPr>
        <w:t xml:space="preserve">Foi neste eixo que as principais vulnerabilidades institucionais emergiram. Em termos práticos, o diagnóstico indicou que o Fundo "planeja no papel". As evidências apontaram a </w:t>
      </w:r>
      <w:r w:rsidRPr="00BC3AC4">
        <w:rPr>
          <w:rFonts w:ascii="Times New Roman" w:hAnsi="Times New Roman" w:cs="Times New Roman"/>
        </w:rPr>
        <w:lastRenderedPageBreak/>
        <w:t>inexistência de Planos de Ação (PA) e de Aplicação Financeira (PAF) aprovados para os exercícios avaliados, caracterizando uma grave falha estrutural. A governança institucional também se mostrou frágil: o Conselho de Orientação e Acompanhamento (COA/FECOEP-SP) não possui composição paritária, contando com três secretários de governo e apenas um representante da sociedade civil. A ausência de articulação política estruturada para sustentar as escolhas orçamentárias resultou em uma nota de 0% (Inexistente) na dimensão Político-Institucional do planejamento.</w:t>
      </w:r>
    </w:p>
    <w:p w14:paraId="36E1D8D1" w14:textId="2EEE7432" w:rsidR="00BC3AC4" w:rsidRPr="00BC3AC4" w:rsidRDefault="00BC3AC4" w:rsidP="0032733E">
      <w:pPr>
        <w:pStyle w:val="PargrafodaLista"/>
        <w:numPr>
          <w:ilvl w:val="3"/>
          <w:numId w:val="47"/>
        </w:numPr>
        <w:ind w:left="709"/>
        <w:rPr>
          <w:rFonts w:ascii="Times New Roman" w:hAnsi="Times New Roman" w:cs="Times New Roman"/>
        </w:rPr>
      </w:pPr>
      <w:r w:rsidRPr="00BC3AC4">
        <w:rPr>
          <w:rFonts w:ascii="Times New Roman" w:hAnsi="Times New Roman" w:cs="Times New Roman"/>
        </w:rPr>
        <w:t xml:space="preserve">Eixo de Execução Orçamentária e Financeira (54% - Perfil Intermediário) </w:t>
      </w:r>
      <w:r w:rsidR="00AC631C">
        <w:rPr>
          <w:rFonts w:ascii="Times New Roman" w:hAnsi="Times New Roman" w:cs="Times New Roman"/>
        </w:rPr>
        <w:t xml:space="preserve">- </w:t>
      </w:r>
      <w:r w:rsidRPr="00BC3AC4">
        <w:rPr>
          <w:rFonts w:ascii="Times New Roman" w:hAnsi="Times New Roman" w:cs="Times New Roman"/>
        </w:rPr>
        <w:t>A execução do Fundo paulista revelou uma trajetória instável e cíclica. Houve expressiva subexecução em 2023 (apenas 56,9% do valor fixado liquidado), contrastando com a alta absorção em 2024 (99,4%), o que culminou na geração de elevados saldos financeiros inativos em caixa, prejudicando a efetividade redistributiva imediata. O dado mais crítico deste eixo, no entanto, foi o desempenho 0% (Inexistente) na dimensão Avaliativa. Não foram localizados mecanismos sistemáticos para mensurar o custo-benefício das políticas custeadas, tampouco evidências de que o dinheiro gasto tenha gerado impacto direto na redução dos índices de pobreza, configurando um cenário onde o Fundo "paga e direciona bem o 'para quem', mas não demonstra 'o que entregou'".</w:t>
      </w:r>
    </w:p>
    <w:p w14:paraId="5C9E1478" w14:textId="51A3ADE8" w:rsidR="00BC3AC4" w:rsidRDefault="00BC3AC4" w:rsidP="00AC631C">
      <w:pPr>
        <w:spacing w:after="0" w:line="360" w:lineRule="auto"/>
        <w:ind w:firstLine="709"/>
        <w:jc w:val="both"/>
        <w:rPr>
          <w:rFonts w:ascii="Times New Roman" w:hAnsi="Times New Roman" w:cs="Times New Roman"/>
        </w:rPr>
      </w:pPr>
      <w:r w:rsidRPr="00BC3AC4">
        <w:rPr>
          <w:rFonts w:ascii="Times New Roman" w:hAnsi="Times New Roman" w:cs="Times New Roman"/>
        </w:rPr>
        <w:t>O Mapa de Criticidade</w:t>
      </w:r>
      <w:r w:rsidR="004E368A">
        <w:rPr>
          <w:rStyle w:val="Refdenotaderodap"/>
          <w:rFonts w:ascii="Times New Roman" w:hAnsi="Times New Roman" w:cs="Times New Roman"/>
        </w:rPr>
        <w:footnoteReference w:id="12"/>
      </w:r>
      <w:r w:rsidRPr="00BC3AC4">
        <w:rPr>
          <w:rFonts w:ascii="Times New Roman" w:hAnsi="Times New Roman" w:cs="Times New Roman"/>
        </w:rPr>
        <w:t xml:space="preserve"> alertou para a urgência de correção de rota. Riscos classificados como Altos e Muito Altos foram mapeados, incluindo o risco de descontinuidade de serviços e subexecução (Risco R21) e a execução de despesas sem base em planos colegiados (Risco R10). Para mitigar esses cenários, a Matriz de Recomendações</w:t>
      </w:r>
      <w:r w:rsidR="004E368A">
        <w:rPr>
          <w:rStyle w:val="Refdenotaderodap"/>
          <w:rFonts w:ascii="Times New Roman" w:hAnsi="Times New Roman" w:cs="Times New Roman"/>
        </w:rPr>
        <w:footnoteReference w:id="13"/>
      </w:r>
      <w:r w:rsidRPr="00BC3AC4">
        <w:rPr>
          <w:rFonts w:ascii="Times New Roman" w:hAnsi="Times New Roman" w:cs="Times New Roman"/>
        </w:rPr>
        <w:t xml:space="preserve"> sugere a imediata formalização de planos de ação pelo C</w:t>
      </w:r>
      <w:r w:rsidR="00AC631C">
        <w:rPr>
          <w:rFonts w:ascii="Times New Roman" w:hAnsi="Times New Roman" w:cs="Times New Roman"/>
        </w:rPr>
        <w:t>onselho</w:t>
      </w:r>
      <w:r w:rsidRPr="00BC3AC4">
        <w:rPr>
          <w:rFonts w:ascii="Times New Roman" w:hAnsi="Times New Roman" w:cs="Times New Roman"/>
        </w:rPr>
        <w:t>, recomposição da paridade e adoção de indicadores sociais que vinculem as despesas a entregas efetivas para a população vulnerável.</w:t>
      </w:r>
    </w:p>
    <w:p w14:paraId="66EAEC97" w14:textId="4C6266B7" w:rsidR="00AC631C" w:rsidRPr="004E368A" w:rsidRDefault="00AC631C" w:rsidP="004E368A">
      <w:pPr>
        <w:pStyle w:val="PargrafodaLista"/>
        <w:spacing w:after="0"/>
        <w:rPr>
          <w:rFonts w:ascii="Times New Roman" w:hAnsi="Times New Roman" w:cs="Times New Roman"/>
        </w:rPr>
      </w:pPr>
      <w:r w:rsidRPr="00AC631C">
        <w:rPr>
          <w:rFonts w:ascii="Times New Roman" w:hAnsi="Times New Roman" w:cs="Times New Roman"/>
        </w:rPr>
        <w:t>Dessa forma, o radar de maturidade compara o perfil dos eixos e dimensões do FECOEP-SP. Quanto mais “inflado” para a borda, melhor o desempenho naquela dimensão. Como regra, o radar evidencia que a condução do recurso está relativamente firme na entrada (arrecadação), mas estreita no planejamento e trava na avaliação da execução. Por essa razão, o conjunto entrega boa maturidade, mas sem converter, de modo consistente, a capacidade arrecadatória em resultados mensuráveis.</w:t>
      </w:r>
    </w:p>
    <w:p w14:paraId="63DC3769" w14:textId="59AC5B4D" w:rsidR="00AC631C" w:rsidRPr="00AC631C" w:rsidRDefault="00AC631C" w:rsidP="004E368A">
      <w:pPr>
        <w:pStyle w:val="Legenda"/>
        <w:keepNext/>
        <w:spacing w:line="240" w:lineRule="auto"/>
        <w:rPr>
          <w:rFonts w:ascii="Times New Roman" w:hAnsi="Times New Roman" w:cs="Times New Roman"/>
          <w:b w:val="0"/>
          <w:sz w:val="20"/>
        </w:rPr>
      </w:pPr>
      <w:r w:rsidRPr="00AC631C">
        <w:rPr>
          <w:rFonts w:ascii="Times New Roman" w:hAnsi="Times New Roman" w:cs="Times New Roman"/>
          <w:b w:val="0"/>
          <w:sz w:val="20"/>
        </w:rPr>
        <w:lastRenderedPageBreak/>
        <w:t xml:space="preserve">Figura </w:t>
      </w:r>
      <w:r w:rsidR="00E53A82">
        <w:rPr>
          <w:rFonts w:ascii="Times New Roman" w:hAnsi="Times New Roman" w:cs="Times New Roman"/>
          <w:b w:val="0"/>
          <w:sz w:val="20"/>
        </w:rPr>
        <w:t>2</w:t>
      </w:r>
      <w:r w:rsidRPr="00AC631C">
        <w:rPr>
          <w:rFonts w:ascii="Times New Roman" w:hAnsi="Times New Roman" w:cs="Times New Roman"/>
          <w:b w:val="0"/>
          <w:sz w:val="20"/>
        </w:rPr>
        <w:t xml:space="preserve"> - Radar de Maturidade do FECOEP-SP</w:t>
      </w:r>
    </w:p>
    <w:p w14:paraId="1246A717" w14:textId="77777777" w:rsidR="00AC631C" w:rsidRPr="00AC631C" w:rsidRDefault="00AC631C" w:rsidP="004E368A">
      <w:pPr>
        <w:pStyle w:val="PargrafodaLista"/>
        <w:spacing w:line="240" w:lineRule="auto"/>
        <w:ind w:firstLine="0"/>
        <w:jc w:val="center"/>
        <w:rPr>
          <w:rFonts w:ascii="Times New Roman" w:hAnsi="Times New Roman" w:cs="Times New Roman"/>
        </w:rPr>
      </w:pPr>
      <w:r w:rsidRPr="00AC631C">
        <w:rPr>
          <w:rFonts w:ascii="Times New Roman" w:hAnsi="Times New Roman" w:cs="Times New Roman"/>
          <w:noProof/>
          <w:lang w:eastAsia="pt-BR"/>
        </w:rPr>
        <w:drawing>
          <wp:inline distT="0" distB="0" distL="0" distR="0" wp14:anchorId="260C395F" wp14:editId="29F9D4BC">
            <wp:extent cx="5785945" cy="5369426"/>
            <wp:effectExtent l="0" t="0" r="5715" b="317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08658" cy="5390504"/>
                    </a:xfrm>
                    <a:prstGeom prst="rect">
                      <a:avLst/>
                    </a:prstGeom>
                  </pic:spPr>
                </pic:pic>
              </a:graphicData>
            </a:graphic>
          </wp:inline>
        </w:drawing>
      </w:r>
    </w:p>
    <w:p w14:paraId="3B84DF11" w14:textId="165C431D" w:rsidR="00AC631C" w:rsidRDefault="00AC631C" w:rsidP="004E368A">
      <w:pPr>
        <w:pStyle w:val="PargrafodaLista"/>
        <w:spacing w:line="240" w:lineRule="auto"/>
        <w:ind w:firstLine="0"/>
        <w:jc w:val="center"/>
        <w:rPr>
          <w:rFonts w:ascii="Times New Roman" w:hAnsi="Times New Roman" w:cs="Times New Roman"/>
          <w:sz w:val="20"/>
        </w:rPr>
      </w:pPr>
      <w:r w:rsidRPr="00AC631C">
        <w:rPr>
          <w:rFonts w:ascii="Times New Roman" w:hAnsi="Times New Roman" w:cs="Times New Roman"/>
          <w:sz w:val="20"/>
        </w:rPr>
        <w:t>Fonte: Elaboração própria.</w:t>
      </w:r>
    </w:p>
    <w:p w14:paraId="6C877823" w14:textId="1BB5DBD7" w:rsidR="00164417" w:rsidRDefault="00164417" w:rsidP="004E368A">
      <w:pPr>
        <w:pStyle w:val="PargrafodaLista"/>
        <w:spacing w:line="240" w:lineRule="auto"/>
        <w:ind w:firstLine="0"/>
        <w:jc w:val="center"/>
        <w:rPr>
          <w:rFonts w:ascii="Times New Roman" w:hAnsi="Times New Roman" w:cs="Times New Roman"/>
          <w:sz w:val="20"/>
        </w:rPr>
      </w:pPr>
    </w:p>
    <w:p w14:paraId="2ABF9735" w14:textId="13188667" w:rsidR="00164417" w:rsidRDefault="00164417" w:rsidP="004E368A">
      <w:pPr>
        <w:pStyle w:val="PargrafodaLista"/>
        <w:spacing w:line="240" w:lineRule="auto"/>
        <w:ind w:firstLine="0"/>
        <w:jc w:val="center"/>
        <w:rPr>
          <w:rFonts w:ascii="Times New Roman" w:hAnsi="Times New Roman" w:cs="Times New Roman"/>
          <w:sz w:val="20"/>
        </w:rPr>
      </w:pPr>
    </w:p>
    <w:p w14:paraId="2EE8CF19" w14:textId="345DB5F8" w:rsidR="00164417" w:rsidRDefault="00164417" w:rsidP="004E368A">
      <w:pPr>
        <w:pStyle w:val="PargrafodaLista"/>
        <w:spacing w:line="240" w:lineRule="auto"/>
        <w:ind w:firstLine="0"/>
        <w:jc w:val="center"/>
        <w:rPr>
          <w:rFonts w:ascii="Times New Roman" w:hAnsi="Times New Roman" w:cs="Times New Roman"/>
          <w:sz w:val="20"/>
        </w:rPr>
      </w:pPr>
    </w:p>
    <w:p w14:paraId="0A1AB44D" w14:textId="3D83B335" w:rsidR="00164417" w:rsidRDefault="00164417" w:rsidP="004E368A">
      <w:pPr>
        <w:pStyle w:val="PargrafodaLista"/>
        <w:spacing w:line="240" w:lineRule="auto"/>
        <w:ind w:firstLine="0"/>
        <w:jc w:val="center"/>
        <w:rPr>
          <w:rFonts w:ascii="Times New Roman" w:hAnsi="Times New Roman" w:cs="Times New Roman"/>
          <w:sz w:val="20"/>
        </w:rPr>
      </w:pPr>
    </w:p>
    <w:p w14:paraId="007ECBCE" w14:textId="1B5D3F42" w:rsidR="00164417" w:rsidRDefault="00164417" w:rsidP="004E368A">
      <w:pPr>
        <w:pStyle w:val="PargrafodaLista"/>
        <w:spacing w:line="240" w:lineRule="auto"/>
        <w:ind w:firstLine="0"/>
        <w:jc w:val="center"/>
        <w:rPr>
          <w:rFonts w:ascii="Times New Roman" w:hAnsi="Times New Roman" w:cs="Times New Roman"/>
          <w:sz w:val="20"/>
        </w:rPr>
      </w:pPr>
    </w:p>
    <w:p w14:paraId="63507AE7" w14:textId="2187D08A" w:rsidR="00164417" w:rsidRDefault="00164417" w:rsidP="004E368A">
      <w:pPr>
        <w:pStyle w:val="PargrafodaLista"/>
        <w:spacing w:line="240" w:lineRule="auto"/>
        <w:ind w:firstLine="0"/>
        <w:jc w:val="center"/>
        <w:rPr>
          <w:rFonts w:ascii="Times New Roman" w:hAnsi="Times New Roman" w:cs="Times New Roman"/>
          <w:sz w:val="20"/>
        </w:rPr>
      </w:pPr>
    </w:p>
    <w:p w14:paraId="72580D67" w14:textId="37072F5D" w:rsidR="00164417" w:rsidRDefault="00164417" w:rsidP="004E368A">
      <w:pPr>
        <w:pStyle w:val="PargrafodaLista"/>
        <w:spacing w:line="240" w:lineRule="auto"/>
        <w:ind w:firstLine="0"/>
        <w:jc w:val="center"/>
        <w:rPr>
          <w:rFonts w:ascii="Times New Roman" w:hAnsi="Times New Roman" w:cs="Times New Roman"/>
          <w:sz w:val="20"/>
        </w:rPr>
      </w:pPr>
    </w:p>
    <w:p w14:paraId="29B0E1DF" w14:textId="01D5EEC0" w:rsidR="00164417" w:rsidRDefault="00164417" w:rsidP="004E368A">
      <w:pPr>
        <w:pStyle w:val="PargrafodaLista"/>
        <w:spacing w:line="240" w:lineRule="auto"/>
        <w:ind w:firstLine="0"/>
        <w:jc w:val="center"/>
        <w:rPr>
          <w:rFonts w:ascii="Times New Roman" w:hAnsi="Times New Roman" w:cs="Times New Roman"/>
          <w:sz w:val="20"/>
        </w:rPr>
      </w:pPr>
    </w:p>
    <w:p w14:paraId="0734DAD9" w14:textId="11BC78ED" w:rsidR="00164417" w:rsidRDefault="00164417" w:rsidP="004E368A">
      <w:pPr>
        <w:pStyle w:val="PargrafodaLista"/>
        <w:spacing w:line="240" w:lineRule="auto"/>
        <w:ind w:firstLine="0"/>
        <w:jc w:val="center"/>
        <w:rPr>
          <w:rFonts w:ascii="Times New Roman" w:hAnsi="Times New Roman" w:cs="Times New Roman"/>
          <w:sz w:val="20"/>
        </w:rPr>
      </w:pPr>
    </w:p>
    <w:p w14:paraId="0677C826" w14:textId="3C461CE7" w:rsidR="00164417" w:rsidRDefault="00164417" w:rsidP="004E368A">
      <w:pPr>
        <w:pStyle w:val="PargrafodaLista"/>
        <w:spacing w:line="240" w:lineRule="auto"/>
        <w:ind w:firstLine="0"/>
        <w:jc w:val="center"/>
        <w:rPr>
          <w:rFonts w:ascii="Times New Roman" w:hAnsi="Times New Roman" w:cs="Times New Roman"/>
          <w:sz w:val="20"/>
        </w:rPr>
      </w:pPr>
    </w:p>
    <w:p w14:paraId="68CFA9DD" w14:textId="01B460A6" w:rsidR="00164417" w:rsidRDefault="00164417" w:rsidP="004E368A">
      <w:pPr>
        <w:pStyle w:val="PargrafodaLista"/>
        <w:spacing w:line="240" w:lineRule="auto"/>
        <w:ind w:firstLine="0"/>
        <w:jc w:val="center"/>
        <w:rPr>
          <w:rFonts w:ascii="Times New Roman" w:hAnsi="Times New Roman" w:cs="Times New Roman"/>
          <w:sz w:val="20"/>
        </w:rPr>
      </w:pPr>
    </w:p>
    <w:p w14:paraId="7FEC8037" w14:textId="2EFFBBDD" w:rsidR="00164417" w:rsidRDefault="00164417" w:rsidP="004E368A">
      <w:pPr>
        <w:pStyle w:val="PargrafodaLista"/>
        <w:spacing w:line="240" w:lineRule="auto"/>
        <w:ind w:firstLine="0"/>
        <w:jc w:val="center"/>
        <w:rPr>
          <w:rFonts w:ascii="Times New Roman" w:hAnsi="Times New Roman" w:cs="Times New Roman"/>
          <w:sz w:val="20"/>
        </w:rPr>
      </w:pPr>
    </w:p>
    <w:p w14:paraId="23D6DDD6" w14:textId="05091856" w:rsidR="00164417" w:rsidRDefault="00164417" w:rsidP="004E368A">
      <w:pPr>
        <w:pStyle w:val="PargrafodaLista"/>
        <w:spacing w:line="240" w:lineRule="auto"/>
        <w:ind w:firstLine="0"/>
        <w:jc w:val="center"/>
        <w:rPr>
          <w:rFonts w:ascii="Times New Roman" w:hAnsi="Times New Roman" w:cs="Times New Roman"/>
          <w:sz w:val="20"/>
        </w:rPr>
      </w:pPr>
    </w:p>
    <w:p w14:paraId="48F75A8E" w14:textId="5459E615" w:rsidR="00164417" w:rsidRDefault="00164417" w:rsidP="004E368A">
      <w:pPr>
        <w:pStyle w:val="PargrafodaLista"/>
        <w:spacing w:line="240" w:lineRule="auto"/>
        <w:ind w:firstLine="0"/>
        <w:jc w:val="center"/>
        <w:rPr>
          <w:rFonts w:ascii="Times New Roman" w:hAnsi="Times New Roman" w:cs="Times New Roman"/>
          <w:sz w:val="20"/>
        </w:rPr>
      </w:pPr>
    </w:p>
    <w:p w14:paraId="17DC8E12" w14:textId="0343053C" w:rsidR="00164417" w:rsidRDefault="00164417" w:rsidP="004E368A">
      <w:pPr>
        <w:pStyle w:val="PargrafodaLista"/>
        <w:spacing w:line="240" w:lineRule="auto"/>
        <w:ind w:firstLine="0"/>
        <w:jc w:val="center"/>
        <w:rPr>
          <w:rFonts w:ascii="Times New Roman" w:hAnsi="Times New Roman" w:cs="Times New Roman"/>
          <w:sz w:val="20"/>
        </w:rPr>
      </w:pPr>
    </w:p>
    <w:p w14:paraId="3D2C8738" w14:textId="704C4091" w:rsidR="00164417" w:rsidRDefault="00164417" w:rsidP="004E368A">
      <w:pPr>
        <w:pStyle w:val="PargrafodaLista"/>
        <w:spacing w:line="240" w:lineRule="auto"/>
        <w:ind w:firstLine="0"/>
        <w:jc w:val="center"/>
        <w:rPr>
          <w:rFonts w:ascii="Times New Roman" w:hAnsi="Times New Roman" w:cs="Times New Roman"/>
          <w:sz w:val="20"/>
        </w:rPr>
      </w:pPr>
    </w:p>
    <w:p w14:paraId="3855E79F" w14:textId="52A39CCC" w:rsidR="00164417" w:rsidRDefault="00164417" w:rsidP="004E368A">
      <w:pPr>
        <w:pStyle w:val="PargrafodaLista"/>
        <w:spacing w:line="240" w:lineRule="auto"/>
        <w:ind w:firstLine="0"/>
        <w:jc w:val="center"/>
        <w:rPr>
          <w:rFonts w:ascii="Times New Roman" w:hAnsi="Times New Roman" w:cs="Times New Roman"/>
          <w:sz w:val="20"/>
        </w:rPr>
      </w:pPr>
    </w:p>
    <w:p w14:paraId="69C3165F" w14:textId="7C3E39A9" w:rsidR="00164417" w:rsidRDefault="00164417" w:rsidP="004E368A">
      <w:pPr>
        <w:pStyle w:val="PargrafodaLista"/>
        <w:spacing w:line="240" w:lineRule="auto"/>
        <w:ind w:firstLine="0"/>
        <w:jc w:val="center"/>
        <w:rPr>
          <w:rFonts w:ascii="Times New Roman" w:hAnsi="Times New Roman" w:cs="Times New Roman"/>
          <w:sz w:val="20"/>
        </w:rPr>
      </w:pPr>
    </w:p>
    <w:p w14:paraId="7A3711F6" w14:textId="2DB8F717" w:rsidR="00164417" w:rsidRDefault="00164417" w:rsidP="004E368A">
      <w:pPr>
        <w:pStyle w:val="PargrafodaLista"/>
        <w:spacing w:line="240" w:lineRule="auto"/>
        <w:ind w:firstLine="0"/>
        <w:jc w:val="center"/>
        <w:rPr>
          <w:rFonts w:ascii="Times New Roman" w:hAnsi="Times New Roman" w:cs="Times New Roman"/>
          <w:sz w:val="20"/>
        </w:rPr>
      </w:pPr>
    </w:p>
    <w:p w14:paraId="2BEBF669" w14:textId="1658F7CF" w:rsidR="00164417" w:rsidRDefault="00164417" w:rsidP="004E368A">
      <w:pPr>
        <w:pStyle w:val="PargrafodaLista"/>
        <w:spacing w:line="240" w:lineRule="auto"/>
        <w:ind w:firstLine="0"/>
        <w:jc w:val="center"/>
        <w:rPr>
          <w:rFonts w:ascii="Times New Roman" w:hAnsi="Times New Roman" w:cs="Times New Roman"/>
          <w:sz w:val="20"/>
        </w:rPr>
      </w:pPr>
    </w:p>
    <w:p w14:paraId="6E27759F" w14:textId="7AD84227" w:rsidR="00164417" w:rsidRDefault="00164417" w:rsidP="004E368A">
      <w:pPr>
        <w:pStyle w:val="PargrafodaLista"/>
        <w:spacing w:line="240" w:lineRule="auto"/>
        <w:ind w:firstLine="0"/>
        <w:jc w:val="center"/>
        <w:rPr>
          <w:rFonts w:ascii="Times New Roman" w:hAnsi="Times New Roman" w:cs="Times New Roman"/>
          <w:sz w:val="20"/>
        </w:rPr>
      </w:pPr>
    </w:p>
    <w:p w14:paraId="556ED9DD" w14:textId="18A8CB54" w:rsidR="00164417" w:rsidRDefault="00164417" w:rsidP="004E368A">
      <w:pPr>
        <w:pStyle w:val="PargrafodaLista"/>
        <w:spacing w:line="240" w:lineRule="auto"/>
        <w:ind w:firstLine="0"/>
        <w:jc w:val="center"/>
        <w:rPr>
          <w:rFonts w:ascii="Times New Roman" w:hAnsi="Times New Roman" w:cs="Times New Roman"/>
          <w:sz w:val="20"/>
        </w:rPr>
      </w:pPr>
    </w:p>
    <w:p w14:paraId="104B37A6" w14:textId="0D39A0D5" w:rsidR="00AC631C" w:rsidRDefault="00AC631C" w:rsidP="00AC631C">
      <w:pPr>
        <w:pStyle w:val="PargrafodaLista"/>
        <w:spacing w:after="0"/>
      </w:pPr>
      <w:r w:rsidRPr="00AC631C">
        <w:rPr>
          <w:rFonts w:ascii="Times New Roman" w:hAnsi="Times New Roman" w:cs="Times New Roman"/>
        </w:rPr>
        <w:lastRenderedPageBreak/>
        <w:t xml:space="preserve">A seguir, são demonstrados os desempenhos do FECOEP-SP por eixos e dimensões: </w:t>
      </w:r>
    </w:p>
    <w:p w14:paraId="30A2A82F" w14:textId="443779EE" w:rsidR="00AC631C" w:rsidRDefault="00AC631C" w:rsidP="00AC631C">
      <w:pPr>
        <w:pStyle w:val="Legenda"/>
        <w:keepNext/>
        <w:jc w:val="left"/>
        <w:rPr>
          <w:b w:val="0"/>
          <w:sz w:val="20"/>
        </w:rPr>
      </w:pPr>
      <w:r w:rsidRPr="00CA530A">
        <w:rPr>
          <w:b w:val="0"/>
          <w:sz w:val="20"/>
        </w:rPr>
        <w:t xml:space="preserve">Tabela </w:t>
      </w:r>
      <w:r w:rsidRPr="00CA530A">
        <w:rPr>
          <w:b w:val="0"/>
          <w:sz w:val="20"/>
        </w:rPr>
        <w:fldChar w:fldCharType="begin"/>
      </w:r>
      <w:r w:rsidRPr="00CA530A">
        <w:rPr>
          <w:b w:val="0"/>
          <w:sz w:val="20"/>
        </w:rPr>
        <w:instrText xml:space="preserve"> SEQ Tabela \* ARABIC </w:instrText>
      </w:r>
      <w:r w:rsidRPr="00CA530A">
        <w:rPr>
          <w:b w:val="0"/>
          <w:sz w:val="20"/>
        </w:rPr>
        <w:fldChar w:fldCharType="separate"/>
      </w:r>
      <w:r>
        <w:rPr>
          <w:b w:val="0"/>
          <w:noProof/>
          <w:sz w:val="20"/>
        </w:rPr>
        <w:t>1</w:t>
      </w:r>
      <w:r w:rsidRPr="00CA530A">
        <w:rPr>
          <w:b w:val="0"/>
          <w:sz w:val="20"/>
        </w:rPr>
        <w:fldChar w:fldCharType="end"/>
      </w:r>
      <w:r w:rsidRPr="00CA530A">
        <w:rPr>
          <w:b w:val="0"/>
          <w:sz w:val="20"/>
        </w:rPr>
        <w:t xml:space="preserve"> – Perfil e Nível de Maturidade do FECOEP-SP (2023-2025)</w:t>
      </w:r>
    </w:p>
    <w:tbl>
      <w:tblPr>
        <w:tblW w:w="9180" w:type="dxa"/>
        <w:tblLayout w:type="fixed"/>
        <w:tblCellMar>
          <w:left w:w="70" w:type="dxa"/>
          <w:right w:w="70" w:type="dxa"/>
        </w:tblCellMar>
        <w:tblLook w:val="04A0" w:firstRow="1" w:lastRow="0" w:firstColumn="1" w:lastColumn="0" w:noHBand="0" w:noVBand="1"/>
      </w:tblPr>
      <w:tblGrid>
        <w:gridCol w:w="1388"/>
        <w:gridCol w:w="1301"/>
        <w:gridCol w:w="850"/>
        <w:gridCol w:w="992"/>
        <w:gridCol w:w="851"/>
        <w:gridCol w:w="1101"/>
        <w:gridCol w:w="1225"/>
        <w:gridCol w:w="419"/>
        <w:gridCol w:w="1053"/>
      </w:tblGrid>
      <w:tr w:rsidR="00AC631C" w:rsidRPr="00E233B4" w14:paraId="53AA0111" w14:textId="77777777" w:rsidTr="003926FC">
        <w:trPr>
          <w:trHeight w:val="20"/>
        </w:trPr>
        <w:tc>
          <w:tcPr>
            <w:tcW w:w="1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6B1AD47C" w14:textId="77777777" w:rsidR="00AC631C" w:rsidRPr="00E233B4" w:rsidRDefault="00AC631C" w:rsidP="003926FC">
            <w:pPr>
              <w:spacing w:after="0" w:line="240" w:lineRule="auto"/>
              <w:jc w:val="center"/>
              <w:rPr>
                <w:rFonts w:asciiTheme="minorHAnsi" w:eastAsia="Times New Roman" w:hAnsiTheme="minorHAnsi" w:cstheme="minorHAnsi"/>
                <w:b/>
                <w:bCs/>
                <w:color w:val="FFFFFF"/>
                <w:sz w:val="16"/>
                <w:szCs w:val="16"/>
                <w:lang w:eastAsia="pt-BR"/>
              </w:rPr>
            </w:pPr>
            <w:r w:rsidRPr="00E233B4">
              <w:rPr>
                <w:rFonts w:asciiTheme="minorHAnsi" w:eastAsia="Times New Roman" w:hAnsiTheme="minorHAnsi" w:cstheme="minorHAnsi"/>
                <w:b/>
                <w:bCs/>
                <w:color w:val="FFFFFF"/>
                <w:sz w:val="16"/>
                <w:szCs w:val="16"/>
                <w:lang w:eastAsia="pt-BR"/>
              </w:rPr>
              <w:t>Eixo</w:t>
            </w: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7F5688D6" w14:textId="77777777" w:rsidR="00AC631C" w:rsidRPr="00E233B4" w:rsidRDefault="00AC631C" w:rsidP="003926FC">
            <w:pPr>
              <w:spacing w:after="0" w:line="240" w:lineRule="auto"/>
              <w:jc w:val="center"/>
              <w:rPr>
                <w:rFonts w:asciiTheme="minorHAnsi" w:eastAsia="Times New Roman" w:hAnsiTheme="minorHAnsi" w:cstheme="minorHAnsi"/>
                <w:b/>
                <w:bCs/>
                <w:color w:val="FFFFFF"/>
                <w:sz w:val="16"/>
                <w:szCs w:val="16"/>
                <w:lang w:eastAsia="pt-BR"/>
              </w:rPr>
            </w:pPr>
            <w:r w:rsidRPr="00E233B4">
              <w:rPr>
                <w:rFonts w:asciiTheme="minorHAnsi" w:eastAsia="Times New Roman" w:hAnsiTheme="minorHAnsi" w:cstheme="minorHAnsi"/>
                <w:b/>
                <w:bCs/>
                <w:color w:val="FFFFFF"/>
                <w:sz w:val="16"/>
                <w:szCs w:val="16"/>
                <w:lang w:eastAsia="pt-BR"/>
              </w:rPr>
              <w:t>Dimensão</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35CC7A3F" w14:textId="77777777" w:rsidR="00AC631C" w:rsidRPr="00E233B4" w:rsidRDefault="00AC631C" w:rsidP="003926FC">
            <w:pPr>
              <w:spacing w:after="0" w:line="240" w:lineRule="auto"/>
              <w:jc w:val="center"/>
              <w:rPr>
                <w:rFonts w:asciiTheme="minorHAnsi" w:eastAsia="Times New Roman" w:hAnsiTheme="minorHAnsi" w:cstheme="minorHAnsi"/>
                <w:b/>
                <w:bCs/>
                <w:color w:val="FFFFFF"/>
                <w:sz w:val="16"/>
                <w:szCs w:val="16"/>
                <w:lang w:eastAsia="pt-BR"/>
              </w:rPr>
            </w:pPr>
            <w:r w:rsidRPr="00E233B4">
              <w:rPr>
                <w:rFonts w:asciiTheme="minorHAnsi" w:eastAsia="Times New Roman" w:hAnsiTheme="minorHAnsi" w:cstheme="minorHAnsi"/>
                <w:b/>
                <w:bCs/>
                <w:color w:val="FFFFFF"/>
                <w:sz w:val="16"/>
                <w:szCs w:val="16"/>
                <w:lang w:eastAsia="pt-BR"/>
              </w:rPr>
              <w:t>Pontuação Obtida</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007A8A26" w14:textId="77777777" w:rsidR="00AC631C" w:rsidRPr="00E233B4" w:rsidRDefault="00AC631C" w:rsidP="003926FC">
            <w:pPr>
              <w:spacing w:after="0" w:line="240" w:lineRule="auto"/>
              <w:jc w:val="center"/>
              <w:rPr>
                <w:rFonts w:asciiTheme="minorHAnsi" w:eastAsia="Times New Roman" w:hAnsiTheme="minorHAnsi" w:cstheme="minorHAnsi"/>
                <w:b/>
                <w:bCs/>
                <w:i/>
                <w:iCs/>
                <w:color w:val="FFFFFF"/>
                <w:sz w:val="16"/>
                <w:szCs w:val="16"/>
                <w:lang w:eastAsia="pt-BR"/>
              </w:rPr>
            </w:pPr>
            <w:r w:rsidRPr="00E233B4">
              <w:rPr>
                <w:rFonts w:asciiTheme="minorHAnsi" w:eastAsia="Times New Roman" w:hAnsiTheme="minorHAnsi" w:cstheme="minorHAnsi"/>
                <w:b/>
                <w:bCs/>
                <w:i/>
                <w:iCs/>
                <w:color w:val="FFFFFF"/>
                <w:sz w:val="16"/>
                <w:szCs w:val="16"/>
                <w:lang w:eastAsia="pt-BR"/>
              </w:rPr>
              <w:t>Pontuação Máxima</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78127D50" w14:textId="77777777" w:rsidR="00AC631C" w:rsidRPr="00E233B4" w:rsidRDefault="00AC631C" w:rsidP="003926FC">
            <w:pPr>
              <w:spacing w:after="0" w:line="240" w:lineRule="auto"/>
              <w:ind w:left="-68"/>
              <w:jc w:val="center"/>
              <w:rPr>
                <w:rFonts w:asciiTheme="minorHAnsi" w:eastAsia="Times New Roman" w:hAnsiTheme="minorHAnsi" w:cstheme="minorHAnsi"/>
                <w:b/>
                <w:bCs/>
                <w:color w:val="FFFFFF"/>
                <w:sz w:val="16"/>
                <w:szCs w:val="16"/>
                <w:lang w:eastAsia="pt-BR"/>
              </w:rPr>
            </w:pPr>
            <w:r w:rsidRPr="00E233B4">
              <w:rPr>
                <w:rFonts w:asciiTheme="minorHAnsi" w:eastAsia="Times New Roman" w:hAnsiTheme="minorHAnsi" w:cstheme="minorHAnsi"/>
                <w:b/>
                <w:bCs/>
                <w:color w:val="FFFFFF"/>
                <w:sz w:val="16"/>
                <w:szCs w:val="16"/>
                <w:lang w:eastAsia="pt-BR"/>
              </w:rPr>
              <w:t>Percentual (%)</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785E5807" w14:textId="77777777" w:rsidR="00AC631C" w:rsidRPr="00E233B4" w:rsidRDefault="00AC631C" w:rsidP="003926FC">
            <w:pPr>
              <w:spacing w:after="0" w:line="240" w:lineRule="auto"/>
              <w:jc w:val="center"/>
              <w:rPr>
                <w:rFonts w:asciiTheme="minorHAnsi" w:eastAsia="Times New Roman" w:hAnsiTheme="minorHAnsi" w:cstheme="minorHAnsi"/>
                <w:b/>
                <w:bCs/>
                <w:color w:val="FFFFFF"/>
                <w:sz w:val="16"/>
                <w:szCs w:val="16"/>
                <w:lang w:eastAsia="pt-BR"/>
              </w:rPr>
            </w:pPr>
            <w:r w:rsidRPr="00E233B4">
              <w:rPr>
                <w:rFonts w:asciiTheme="minorHAnsi" w:eastAsia="Times New Roman" w:hAnsiTheme="minorHAnsi" w:cstheme="minorHAnsi"/>
                <w:b/>
                <w:bCs/>
                <w:color w:val="FFFFFF"/>
                <w:sz w:val="16"/>
                <w:szCs w:val="16"/>
                <w:lang w:eastAsia="pt-BR"/>
              </w:rPr>
              <w:t>Perfil do Fundo (Base)</w:t>
            </w:r>
          </w:p>
        </w:tc>
        <w:tc>
          <w:tcPr>
            <w:tcW w:w="269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5663F48F" w14:textId="77777777" w:rsidR="00AC631C" w:rsidRPr="00E233B4" w:rsidRDefault="00AC631C" w:rsidP="003926FC">
            <w:pPr>
              <w:spacing w:after="0" w:line="240" w:lineRule="auto"/>
              <w:jc w:val="center"/>
              <w:rPr>
                <w:rFonts w:asciiTheme="minorHAnsi" w:eastAsia="Times New Roman" w:hAnsiTheme="minorHAnsi" w:cstheme="minorHAnsi"/>
                <w:b/>
                <w:bCs/>
                <w:color w:val="FFFFFF"/>
                <w:sz w:val="16"/>
                <w:szCs w:val="16"/>
                <w:lang w:eastAsia="pt-BR"/>
              </w:rPr>
            </w:pPr>
            <w:r w:rsidRPr="00E233B4">
              <w:rPr>
                <w:rFonts w:asciiTheme="minorHAnsi" w:eastAsia="Times New Roman" w:hAnsiTheme="minorHAnsi" w:cstheme="minorHAnsi"/>
                <w:b/>
                <w:bCs/>
                <w:color w:val="FFFFFF"/>
                <w:sz w:val="16"/>
                <w:szCs w:val="16"/>
                <w:lang w:eastAsia="pt-BR"/>
              </w:rPr>
              <w:t>Perfil do Fundo (por Dimensão)</w:t>
            </w:r>
          </w:p>
        </w:tc>
      </w:tr>
      <w:tr w:rsidR="00AC631C" w:rsidRPr="00E233B4" w14:paraId="6B9A7B5F" w14:textId="77777777" w:rsidTr="003926FC">
        <w:trPr>
          <w:trHeight w:val="20"/>
        </w:trPr>
        <w:tc>
          <w:tcPr>
            <w:tcW w:w="138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vAlign w:val="center"/>
            <w:hideMark/>
          </w:tcPr>
          <w:p w14:paraId="3BF7D154"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Responsabilidade Arrecadatória</w:t>
            </w: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26496D"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Jurídico-Estrutural</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0DBA022"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23</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9B0167"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23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91D070"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100%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9F65AFC"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Pleno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B0D70F5"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Jurídico-Estrutural</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DB320B3"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83%</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BFA47A0"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Pleno</w:t>
            </w:r>
          </w:p>
        </w:tc>
      </w:tr>
      <w:tr w:rsidR="00AC631C" w:rsidRPr="00E233B4" w14:paraId="1703C2F9" w14:textId="77777777" w:rsidTr="003926FC">
        <w:trPr>
          <w:trHeight w:val="20"/>
        </w:trPr>
        <w:tc>
          <w:tcPr>
            <w:tcW w:w="1388" w:type="dxa"/>
            <w:vMerge/>
            <w:tcBorders>
              <w:left w:val="single" w:sz="4" w:space="0" w:color="BFBFBF" w:themeColor="background1" w:themeShade="BF"/>
              <w:right w:val="single" w:sz="4" w:space="0" w:color="BFBFBF" w:themeColor="background1" w:themeShade="BF"/>
            </w:tcBorders>
            <w:shd w:val="clear" w:color="auto" w:fill="auto"/>
            <w:vAlign w:val="center"/>
          </w:tcPr>
          <w:p w14:paraId="207BD8D6"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A3A3DD1"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Financeira e Orçamentária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7625DFB"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2</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BC44F8"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AEAF50"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888C5E"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Intermediário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17DD92C"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Financeira e Orçamentária</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0163D3"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62%</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5F4C6D"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Avançado</w:t>
            </w:r>
          </w:p>
        </w:tc>
      </w:tr>
      <w:tr w:rsidR="00AC631C" w:rsidRPr="00E233B4" w14:paraId="3940BEC4" w14:textId="77777777" w:rsidTr="003926FC">
        <w:trPr>
          <w:trHeight w:val="20"/>
        </w:trPr>
        <w:tc>
          <w:tcPr>
            <w:tcW w:w="1388" w:type="dxa"/>
            <w:vMerge/>
            <w:tcBorders>
              <w:left w:val="single" w:sz="4" w:space="0" w:color="BFBFBF" w:themeColor="background1" w:themeShade="BF"/>
              <w:right w:val="single" w:sz="4" w:space="0" w:color="BFBFBF" w:themeColor="background1" w:themeShade="BF"/>
            </w:tcBorders>
            <w:shd w:val="clear" w:color="auto" w:fill="auto"/>
            <w:vAlign w:val="center"/>
          </w:tcPr>
          <w:p w14:paraId="065B87FA"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07C3A2C"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Político-Institucional</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8D04DE0"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3</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A486471"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6420EBB"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100%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F3BE0F2"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Pleno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31628E"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Político-Institucional</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C9EB5BC"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67%</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FAEA01A"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Avançado</w:t>
            </w:r>
          </w:p>
        </w:tc>
      </w:tr>
      <w:tr w:rsidR="00AC631C" w:rsidRPr="00E233B4" w14:paraId="1A979E31" w14:textId="77777777" w:rsidTr="003926FC">
        <w:trPr>
          <w:trHeight w:val="20"/>
        </w:trPr>
        <w:tc>
          <w:tcPr>
            <w:tcW w:w="1388"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3E33D53"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FB43DA5" w14:textId="77777777" w:rsidR="00AC631C"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 xml:space="preserve">Participativa e </w:t>
            </w:r>
          </w:p>
          <w:p w14:paraId="00ADA808"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de Transparência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13DA27"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3</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1A4DA32"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C536ED7"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100%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D018EB"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Pleno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558B354"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Participativa e de Transparência</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6E4940D"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75%</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A109E59"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Avançado</w:t>
            </w:r>
          </w:p>
        </w:tc>
      </w:tr>
      <w:tr w:rsidR="00AC631C" w:rsidRPr="00E233B4" w14:paraId="2804CA3F" w14:textId="77777777" w:rsidTr="003926FC">
        <w:trPr>
          <w:trHeight w:val="20"/>
        </w:trPr>
        <w:tc>
          <w:tcPr>
            <w:tcW w:w="138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vAlign w:val="center"/>
            <w:hideMark/>
          </w:tcPr>
          <w:p w14:paraId="459C79D1"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Planejamento Orçamentário</w:t>
            </w: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EFA33B9"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Jurídico-Estrutural</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F9F1027"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6</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43BA11B"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9</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EA042E1"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67%</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53282CF"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Avançado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D12D92"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CCE02F2"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53CDA4" w14:textId="77777777" w:rsidR="00AC631C" w:rsidRPr="000C70F3" w:rsidRDefault="00AC631C" w:rsidP="003926FC">
            <w:pPr>
              <w:spacing w:after="0" w:line="240" w:lineRule="auto"/>
              <w:jc w:val="center"/>
              <w:rPr>
                <w:rFonts w:asciiTheme="minorHAnsi" w:eastAsia="Times New Roman" w:hAnsiTheme="minorHAnsi" w:cstheme="minorHAnsi"/>
                <w:iCs/>
                <w:color w:val="C00000"/>
                <w:sz w:val="16"/>
                <w:szCs w:val="16"/>
                <w:lang w:eastAsia="pt-BR"/>
              </w:rPr>
            </w:pPr>
            <w:r w:rsidRPr="000C70F3">
              <w:rPr>
                <w:rFonts w:asciiTheme="minorHAnsi" w:eastAsia="Times New Roman" w:hAnsiTheme="minorHAnsi" w:cstheme="minorHAnsi"/>
                <w:iCs/>
                <w:color w:val="C00000"/>
                <w:sz w:val="16"/>
                <w:szCs w:val="16"/>
                <w:lang w:eastAsia="pt-BR"/>
              </w:rPr>
              <w:t>-</w:t>
            </w:r>
          </w:p>
        </w:tc>
      </w:tr>
      <w:tr w:rsidR="00AC631C" w:rsidRPr="00E233B4" w14:paraId="29C6F39F" w14:textId="77777777" w:rsidTr="003926FC">
        <w:trPr>
          <w:trHeight w:val="20"/>
        </w:trPr>
        <w:tc>
          <w:tcPr>
            <w:tcW w:w="1388" w:type="dxa"/>
            <w:vMerge/>
            <w:tcBorders>
              <w:left w:val="single" w:sz="4" w:space="0" w:color="BFBFBF" w:themeColor="background1" w:themeShade="BF"/>
              <w:right w:val="single" w:sz="4" w:space="0" w:color="BFBFBF" w:themeColor="background1" w:themeShade="BF"/>
            </w:tcBorders>
            <w:shd w:val="clear" w:color="auto" w:fill="auto"/>
            <w:vAlign w:val="center"/>
          </w:tcPr>
          <w:p w14:paraId="5ACF992B"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933EEFE"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Institucional e Organizacional</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648774"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6</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3AD2650"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11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A3953D"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55%</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2A13E9E"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Intermediário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EC1E2C"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Institucional e Organizacional</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34E519C"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55%</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E9D760E"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Intermediário</w:t>
            </w:r>
          </w:p>
        </w:tc>
      </w:tr>
      <w:tr w:rsidR="00AC631C" w:rsidRPr="00E233B4" w14:paraId="50F54C7F" w14:textId="77777777" w:rsidTr="003926FC">
        <w:trPr>
          <w:trHeight w:val="20"/>
        </w:trPr>
        <w:tc>
          <w:tcPr>
            <w:tcW w:w="1388" w:type="dxa"/>
            <w:vMerge/>
            <w:tcBorders>
              <w:left w:val="single" w:sz="4" w:space="0" w:color="BFBFBF" w:themeColor="background1" w:themeShade="BF"/>
              <w:right w:val="single" w:sz="4" w:space="0" w:color="BFBFBF" w:themeColor="background1" w:themeShade="BF"/>
            </w:tcBorders>
            <w:shd w:val="clear" w:color="auto" w:fill="auto"/>
            <w:vAlign w:val="center"/>
          </w:tcPr>
          <w:p w14:paraId="507CE0F8"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CF6B80"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Político-Institucional</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D5BEC6F"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0</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A8A3D7B"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4658BE6"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6B4C5E7"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Inexistente</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191678"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D7FD47C"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C07592F" w14:textId="77777777" w:rsidR="00AC631C" w:rsidRPr="000C70F3" w:rsidRDefault="00AC631C" w:rsidP="003926FC">
            <w:pPr>
              <w:spacing w:after="0" w:line="240" w:lineRule="auto"/>
              <w:jc w:val="center"/>
              <w:rPr>
                <w:rFonts w:asciiTheme="minorHAnsi" w:eastAsia="Times New Roman" w:hAnsiTheme="minorHAnsi" w:cstheme="minorHAnsi"/>
                <w:iCs/>
                <w:color w:val="C00000"/>
                <w:sz w:val="16"/>
                <w:szCs w:val="16"/>
                <w:lang w:eastAsia="pt-BR"/>
              </w:rPr>
            </w:pPr>
            <w:r w:rsidRPr="000C70F3">
              <w:rPr>
                <w:rFonts w:asciiTheme="minorHAnsi" w:eastAsia="Times New Roman" w:hAnsiTheme="minorHAnsi" w:cstheme="minorHAnsi"/>
                <w:iCs/>
                <w:color w:val="C00000"/>
                <w:sz w:val="16"/>
                <w:szCs w:val="16"/>
                <w:lang w:eastAsia="pt-BR"/>
              </w:rPr>
              <w:t>-</w:t>
            </w:r>
          </w:p>
        </w:tc>
      </w:tr>
      <w:tr w:rsidR="00AC631C" w:rsidRPr="00E233B4" w14:paraId="4B8FE7A1" w14:textId="77777777" w:rsidTr="003926FC">
        <w:trPr>
          <w:trHeight w:val="20"/>
        </w:trPr>
        <w:tc>
          <w:tcPr>
            <w:tcW w:w="1388" w:type="dxa"/>
            <w:vMerge/>
            <w:tcBorders>
              <w:left w:val="single" w:sz="4" w:space="0" w:color="BFBFBF" w:themeColor="background1" w:themeShade="BF"/>
              <w:right w:val="single" w:sz="4" w:space="0" w:color="BFBFBF" w:themeColor="background1" w:themeShade="BF"/>
            </w:tcBorders>
            <w:shd w:val="clear" w:color="auto" w:fill="auto"/>
            <w:vAlign w:val="center"/>
          </w:tcPr>
          <w:p w14:paraId="6D84779B"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DED5C7D"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Financeira e Orçamentária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601DF88"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0E9401E"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F4DA553"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71%</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CC46AF"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Avançado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C05FC5"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A26EB40"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1BB232" w14:textId="77777777" w:rsidR="00AC631C" w:rsidRPr="000C70F3" w:rsidRDefault="00AC631C" w:rsidP="003926FC">
            <w:pPr>
              <w:spacing w:after="0" w:line="240" w:lineRule="auto"/>
              <w:jc w:val="center"/>
              <w:rPr>
                <w:rFonts w:asciiTheme="minorHAnsi" w:eastAsia="Times New Roman" w:hAnsiTheme="minorHAnsi" w:cstheme="minorHAnsi"/>
                <w:iCs/>
                <w:color w:val="C00000"/>
                <w:sz w:val="16"/>
                <w:szCs w:val="16"/>
                <w:lang w:eastAsia="pt-BR"/>
              </w:rPr>
            </w:pPr>
            <w:r w:rsidRPr="000C70F3">
              <w:rPr>
                <w:rFonts w:asciiTheme="minorHAnsi" w:eastAsia="Times New Roman" w:hAnsiTheme="minorHAnsi" w:cstheme="minorHAnsi"/>
                <w:iCs/>
                <w:color w:val="C00000"/>
                <w:sz w:val="16"/>
                <w:szCs w:val="16"/>
                <w:lang w:eastAsia="pt-BR"/>
              </w:rPr>
              <w:t>-</w:t>
            </w:r>
          </w:p>
        </w:tc>
      </w:tr>
      <w:tr w:rsidR="00AC631C" w:rsidRPr="00E233B4" w14:paraId="5C9FC85C" w14:textId="77777777" w:rsidTr="003926FC">
        <w:trPr>
          <w:trHeight w:val="20"/>
        </w:trPr>
        <w:tc>
          <w:tcPr>
            <w:tcW w:w="1388" w:type="dxa"/>
            <w:vMerge/>
            <w:tcBorders>
              <w:left w:val="single" w:sz="4" w:space="0" w:color="BFBFBF" w:themeColor="background1" w:themeShade="BF"/>
              <w:right w:val="single" w:sz="4" w:space="0" w:color="BFBFBF" w:themeColor="background1" w:themeShade="BF"/>
            </w:tcBorders>
            <w:shd w:val="clear" w:color="auto" w:fill="auto"/>
            <w:vAlign w:val="center"/>
          </w:tcPr>
          <w:p w14:paraId="6AB5DF8E"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E4E4325"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Avaliativa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B72C63E"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2</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D2C36A0"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4388CF1"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883B3EC"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Intermediário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F9A2B51"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Avaliativa</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87CA050"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25%</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1EE765"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Inicial</w:t>
            </w:r>
          </w:p>
        </w:tc>
      </w:tr>
      <w:tr w:rsidR="00AC631C" w:rsidRPr="00E233B4" w14:paraId="6B5E63FC" w14:textId="77777777" w:rsidTr="003926FC">
        <w:trPr>
          <w:trHeight w:val="20"/>
        </w:trPr>
        <w:tc>
          <w:tcPr>
            <w:tcW w:w="1388"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8D653E0"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15CAC23"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Histórico-Evolutiva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44ACFA"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4</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ACF319"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9F6DEB9"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80%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ECB347A"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Avançado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4A8FAEB"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Histórico-Evolutiva</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1AEF7F7"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80%</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06B9C77"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Avançado</w:t>
            </w:r>
          </w:p>
        </w:tc>
      </w:tr>
      <w:tr w:rsidR="00AC631C" w:rsidRPr="00E233B4" w14:paraId="48D1DC9B" w14:textId="77777777" w:rsidTr="003926FC">
        <w:trPr>
          <w:trHeight w:val="20"/>
        </w:trPr>
        <w:tc>
          <w:tcPr>
            <w:tcW w:w="138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vAlign w:val="center"/>
            <w:hideMark/>
          </w:tcPr>
          <w:p w14:paraId="1F2EA3F9"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Execução Orçamentária e Financeira</w:t>
            </w: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5550CF"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Financeira e Orçamentária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0A0EBB"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12</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3E40D99"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19</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EA958D"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63%</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8781C70"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Avançado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2E7C2D6"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02A76E4"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1FD8EE" w14:textId="77777777" w:rsidR="00AC631C" w:rsidRPr="00E233B4" w:rsidRDefault="00AC631C" w:rsidP="003926FC">
            <w:pPr>
              <w:spacing w:after="0" w:line="240" w:lineRule="auto"/>
              <w:jc w:val="center"/>
              <w:rPr>
                <w:rFonts w:asciiTheme="minorHAnsi" w:eastAsia="Times New Roman" w:hAnsiTheme="minorHAnsi" w:cstheme="minorHAnsi"/>
                <w:i/>
                <w:iCs/>
                <w:color w:val="C00000"/>
                <w:sz w:val="16"/>
                <w:szCs w:val="16"/>
                <w:lang w:eastAsia="pt-BR"/>
              </w:rPr>
            </w:pPr>
            <w:r w:rsidRPr="00E233B4">
              <w:rPr>
                <w:rFonts w:asciiTheme="minorHAnsi" w:eastAsia="Times New Roman" w:hAnsiTheme="minorHAnsi" w:cstheme="minorHAnsi"/>
                <w:i/>
                <w:iCs/>
                <w:color w:val="C00000"/>
                <w:sz w:val="16"/>
                <w:szCs w:val="16"/>
                <w:lang w:eastAsia="pt-BR"/>
              </w:rPr>
              <w:t>-</w:t>
            </w:r>
          </w:p>
        </w:tc>
      </w:tr>
      <w:tr w:rsidR="00AC631C" w:rsidRPr="00E233B4" w14:paraId="0E6735B7" w14:textId="77777777" w:rsidTr="003926FC">
        <w:trPr>
          <w:trHeight w:val="20"/>
        </w:trPr>
        <w:tc>
          <w:tcPr>
            <w:tcW w:w="1388" w:type="dxa"/>
            <w:vMerge/>
            <w:tcBorders>
              <w:left w:val="single" w:sz="4" w:space="0" w:color="BFBFBF" w:themeColor="background1" w:themeShade="BF"/>
              <w:right w:val="single" w:sz="4" w:space="0" w:color="BFBFBF" w:themeColor="background1" w:themeShade="BF"/>
            </w:tcBorders>
            <w:shd w:val="clear" w:color="auto" w:fill="auto"/>
            <w:vAlign w:val="center"/>
          </w:tcPr>
          <w:p w14:paraId="3608FE5A"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128695"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Político-Institucional</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C1CB55"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2</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A2677B"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56886DD"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100%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60ABA6D"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Pleno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49EE841"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F40B472"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57410B" w14:textId="77777777" w:rsidR="00AC631C" w:rsidRPr="00E233B4" w:rsidRDefault="00AC631C" w:rsidP="003926FC">
            <w:pPr>
              <w:spacing w:after="0" w:line="240" w:lineRule="auto"/>
              <w:jc w:val="center"/>
              <w:rPr>
                <w:rFonts w:asciiTheme="minorHAnsi" w:eastAsia="Times New Roman" w:hAnsiTheme="minorHAnsi" w:cstheme="minorHAnsi"/>
                <w:i/>
                <w:iCs/>
                <w:color w:val="C00000"/>
                <w:sz w:val="16"/>
                <w:szCs w:val="16"/>
                <w:lang w:eastAsia="pt-BR"/>
              </w:rPr>
            </w:pPr>
            <w:r w:rsidRPr="00E233B4">
              <w:rPr>
                <w:rFonts w:asciiTheme="minorHAnsi" w:eastAsia="Times New Roman" w:hAnsiTheme="minorHAnsi" w:cstheme="minorHAnsi"/>
                <w:i/>
                <w:iCs/>
                <w:color w:val="C00000"/>
                <w:sz w:val="16"/>
                <w:szCs w:val="16"/>
                <w:lang w:eastAsia="pt-BR"/>
              </w:rPr>
              <w:t>-</w:t>
            </w:r>
          </w:p>
        </w:tc>
      </w:tr>
      <w:tr w:rsidR="00AC631C" w:rsidRPr="00E233B4" w14:paraId="14F4AEA7" w14:textId="77777777" w:rsidTr="003926FC">
        <w:trPr>
          <w:trHeight w:val="20"/>
        </w:trPr>
        <w:tc>
          <w:tcPr>
            <w:tcW w:w="1388" w:type="dxa"/>
            <w:vMerge/>
            <w:tcBorders>
              <w:left w:val="single" w:sz="4" w:space="0" w:color="BFBFBF" w:themeColor="background1" w:themeShade="BF"/>
              <w:right w:val="single" w:sz="4" w:space="0" w:color="BFBFBF" w:themeColor="background1" w:themeShade="BF"/>
            </w:tcBorders>
            <w:shd w:val="clear" w:color="auto" w:fill="auto"/>
            <w:vAlign w:val="center"/>
          </w:tcPr>
          <w:p w14:paraId="2884647B"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A0F8298"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Avaliativa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11FF19"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0</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D7441EB"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14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11940F"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D69EC6C"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Inexistente</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39FD76E"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6187BE5"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55A700" w14:textId="77777777" w:rsidR="00AC631C" w:rsidRPr="00E233B4" w:rsidRDefault="00AC631C" w:rsidP="003926FC">
            <w:pPr>
              <w:spacing w:after="0" w:line="240" w:lineRule="auto"/>
              <w:jc w:val="center"/>
              <w:rPr>
                <w:rFonts w:asciiTheme="minorHAnsi" w:eastAsia="Times New Roman" w:hAnsiTheme="minorHAnsi" w:cstheme="minorHAnsi"/>
                <w:i/>
                <w:iCs/>
                <w:color w:val="C00000"/>
                <w:sz w:val="16"/>
                <w:szCs w:val="16"/>
                <w:lang w:eastAsia="pt-BR"/>
              </w:rPr>
            </w:pPr>
            <w:r w:rsidRPr="00E233B4">
              <w:rPr>
                <w:rFonts w:asciiTheme="minorHAnsi" w:eastAsia="Times New Roman" w:hAnsiTheme="minorHAnsi" w:cstheme="minorHAnsi"/>
                <w:i/>
                <w:iCs/>
                <w:color w:val="C00000"/>
                <w:sz w:val="16"/>
                <w:szCs w:val="16"/>
                <w:lang w:eastAsia="pt-BR"/>
              </w:rPr>
              <w:t>-</w:t>
            </w:r>
          </w:p>
        </w:tc>
      </w:tr>
      <w:tr w:rsidR="00AC631C" w:rsidRPr="00E233B4" w14:paraId="4429108B" w14:textId="77777777" w:rsidTr="003926FC">
        <w:trPr>
          <w:trHeight w:val="20"/>
        </w:trPr>
        <w:tc>
          <w:tcPr>
            <w:tcW w:w="1388" w:type="dxa"/>
            <w:vMerge/>
            <w:tcBorders>
              <w:left w:val="single" w:sz="4" w:space="0" w:color="BFBFBF" w:themeColor="background1" w:themeShade="BF"/>
              <w:right w:val="single" w:sz="4" w:space="0" w:color="BFBFBF" w:themeColor="background1" w:themeShade="BF"/>
            </w:tcBorders>
            <w:shd w:val="clear" w:color="auto" w:fill="auto"/>
            <w:vAlign w:val="center"/>
          </w:tcPr>
          <w:p w14:paraId="09DCF5B1"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CCA438A" w14:textId="77777777" w:rsidR="00AC631C"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Participativa e</w:t>
            </w:r>
          </w:p>
          <w:p w14:paraId="768E06D5"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de Transparência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1A90367"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4</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BF46129"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9401419"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A4FD161"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Intermediário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3206F53"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E5B8B02"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F0ACFB" w14:textId="77777777" w:rsidR="00AC631C" w:rsidRPr="00E233B4" w:rsidRDefault="00AC631C" w:rsidP="003926FC">
            <w:pPr>
              <w:spacing w:after="0" w:line="240" w:lineRule="auto"/>
              <w:jc w:val="center"/>
              <w:rPr>
                <w:rFonts w:asciiTheme="minorHAnsi" w:eastAsia="Times New Roman" w:hAnsiTheme="minorHAnsi" w:cstheme="minorHAnsi"/>
                <w:i/>
                <w:iCs/>
                <w:color w:val="C00000"/>
                <w:sz w:val="16"/>
                <w:szCs w:val="16"/>
                <w:lang w:eastAsia="pt-BR"/>
              </w:rPr>
            </w:pPr>
            <w:r w:rsidRPr="00E233B4">
              <w:rPr>
                <w:rFonts w:asciiTheme="minorHAnsi" w:eastAsia="Times New Roman" w:hAnsiTheme="minorHAnsi" w:cstheme="minorHAnsi"/>
                <w:i/>
                <w:iCs/>
                <w:color w:val="C00000"/>
                <w:sz w:val="16"/>
                <w:szCs w:val="16"/>
                <w:lang w:eastAsia="pt-BR"/>
              </w:rPr>
              <w:t>-</w:t>
            </w:r>
          </w:p>
        </w:tc>
      </w:tr>
      <w:tr w:rsidR="00AC631C" w:rsidRPr="00E233B4" w14:paraId="3E907331" w14:textId="77777777" w:rsidTr="003926FC">
        <w:trPr>
          <w:trHeight w:val="20"/>
        </w:trPr>
        <w:tc>
          <w:tcPr>
            <w:tcW w:w="1388"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66C8BF8"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D42A361"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Institucional e Organizacional</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828480"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A21E82E"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9</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1D52A11"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56%</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BBA398" w14:textId="77777777" w:rsidR="00AC631C" w:rsidRPr="000C70F3" w:rsidRDefault="00AC631C" w:rsidP="003926FC">
            <w:pPr>
              <w:spacing w:after="0" w:line="240" w:lineRule="auto"/>
              <w:jc w:val="center"/>
              <w:rPr>
                <w:rFonts w:asciiTheme="minorHAnsi" w:eastAsia="Times New Roman" w:hAnsiTheme="minorHAnsi" w:cstheme="minorHAnsi"/>
                <w:b/>
                <w:bCs/>
                <w:iCs/>
                <w:color w:val="C00000"/>
                <w:sz w:val="16"/>
                <w:szCs w:val="16"/>
                <w:lang w:eastAsia="pt-BR"/>
              </w:rPr>
            </w:pPr>
            <w:r w:rsidRPr="000C70F3">
              <w:rPr>
                <w:rFonts w:asciiTheme="minorHAnsi" w:eastAsia="Times New Roman" w:hAnsiTheme="minorHAnsi" w:cstheme="minorHAnsi"/>
                <w:b/>
                <w:bCs/>
                <w:iCs/>
                <w:color w:val="C00000"/>
                <w:sz w:val="16"/>
                <w:szCs w:val="16"/>
                <w:lang w:eastAsia="pt-BR"/>
              </w:rPr>
              <w:t>Intermediário</w:t>
            </w:r>
          </w:p>
        </w:tc>
        <w:tc>
          <w:tcPr>
            <w:tcW w:w="12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E7FDAC2"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4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F80477"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D027B8" w14:textId="77777777" w:rsidR="00AC631C" w:rsidRPr="00E233B4" w:rsidRDefault="00AC631C" w:rsidP="003926FC">
            <w:pPr>
              <w:spacing w:after="0" w:line="240" w:lineRule="auto"/>
              <w:jc w:val="center"/>
              <w:rPr>
                <w:rFonts w:asciiTheme="minorHAnsi" w:eastAsia="Times New Roman" w:hAnsiTheme="minorHAnsi" w:cstheme="minorHAnsi"/>
                <w:i/>
                <w:iCs/>
                <w:color w:val="C00000"/>
                <w:sz w:val="16"/>
                <w:szCs w:val="16"/>
                <w:lang w:eastAsia="pt-BR"/>
              </w:rPr>
            </w:pPr>
            <w:r w:rsidRPr="00E233B4">
              <w:rPr>
                <w:rFonts w:asciiTheme="minorHAnsi" w:eastAsia="Times New Roman" w:hAnsiTheme="minorHAnsi" w:cstheme="minorHAnsi"/>
                <w:i/>
                <w:iCs/>
                <w:color w:val="C00000"/>
                <w:sz w:val="16"/>
                <w:szCs w:val="16"/>
                <w:lang w:eastAsia="pt-BR"/>
              </w:rPr>
              <w:t>-</w:t>
            </w:r>
          </w:p>
        </w:tc>
      </w:tr>
      <w:tr w:rsidR="00AC631C" w:rsidRPr="00E233B4" w14:paraId="1FB7A1CE" w14:textId="77777777" w:rsidTr="003926FC">
        <w:trPr>
          <w:trHeight w:val="20"/>
        </w:trPr>
        <w:tc>
          <w:tcPr>
            <w:tcW w:w="26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A0053A"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Total</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3F56787"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77</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915745"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128</w:t>
            </w:r>
          </w:p>
        </w:tc>
        <w:tc>
          <w:tcPr>
            <w:tcW w:w="851" w:type="dxa"/>
            <w:tcBorders>
              <w:top w:val="single" w:sz="4" w:space="0" w:color="BFBFBF" w:themeColor="background1" w:themeShade="BF"/>
              <w:left w:val="single" w:sz="4" w:space="0" w:color="BFBFBF" w:themeColor="background1" w:themeShade="BF"/>
            </w:tcBorders>
            <w:shd w:val="clear" w:color="auto" w:fill="auto"/>
            <w:vAlign w:val="center"/>
            <w:hideMark/>
          </w:tcPr>
          <w:p w14:paraId="7ACDD8DD"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 </w:t>
            </w:r>
          </w:p>
        </w:tc>
        <w:tc>
          <w:tcPr>
            <w:tcW w:w="1101" w:type="dxa"/>
            <w:tcBorders>
              <w:top w:val="single" w:sz="4" w:space="0" w:color="BFBFBF" w:themeColor="background1" w:themeShade="BF"/>
            </w:tcBorders>
            <w:shd w:val="clear" w:color="auto" w:fill="auto"/>
            <w:vAlign w:val="center"/>
            <w:hideMark/>
          </w:tcPr>
          <w:p w14:paraId="46059E94"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 </w:t>
            </w:r>
          </w:p>
        </w:tc>
        <w:tc>
          <w:tcPr>
            <w:tcW w:w="1225" w:type="dxa"/>
            <w:tcBorders>
              <w:top w:val="single" w:sz="4" w:space="0" w:color="BFBFBF" w:themeColor="background1" w:themeShade="BF"/>
            </w:tcBorders>
            <w:shd w:val="clear" w:color="auto" w:fill="auto"/>
            <w:vAlign w:val="center"/>
            <w:hideMark/>
          </w:tcPr>
          <w:p w14:paraId="60A17D30"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 </w:t>
            </w:r>
          </w:p>
        </w:tc>
        <w:tc>
          <w:tcPr>
            <w:tcW w:w="419" w:type="dxa"/>
            <w:tcBorders>
              <w:top w:val="single" w:sz="4" w:space="0" w:color="BFBFBF" w:themeColor="background1" w:themeShade="BF"/>
            </w:tcBorders>
            <w:shd w:val="clear" w:color="auto" w:fill="auto"/>
            <w:vAlign w:val="center"/>
            <w:hideMark/>
          </w:tcPr>
          <w:p w14:paraId="2E4C8A15"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 </w:t>
            </w:r>
          </w:p>
        </w:tc>
        <w:tc>
          <w:tcPr>
            <w:tcW w:w="1053" w:type="dxa"/>
            <w:tcBorders>
              <w:top w:val="single" w:sz="4" w:space="0" w:color="BFBFBF" w:themeColor="background1" w:themeShade="BF"/>
            </w:tcBorders>
            <w:shd w:val="clear" w:color="auto" w:fill="auto"/>
            <w:vAlign w:val="center"/>
            <w:hideMark/>
          </w:tcPr>
          <w:p w14:paraId="495A13D5"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 </w:t>
            </w:r>
          </w:p>
        </w:tc>
      </w:tr>
    </w:tbl>
    <w:p w14:paraId="62C723FD" w14:textId="77777777" w:rsidR="00AC631C" w:rsidRDefault="00AC631C" w:rsidP="00AC631C">
      <w:pPr>
        <w:pStyle w:val="PargrafodaLista"/>
        <w:spacing w:line="240" w:lineRule="auto"/>
        <w:ind w:firstLine="0"/>
      </w:pPr>
      <w:r w:rsidRPr="00D10A6C">
        <w:rPr>
          <w:sz w:val="20"/>
        </w:rPr>
        <w:t>Fonte: Elaboração própria.</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339"/>
        <w:gridCol w:w="1319"/>
        <w:gridCol w:w="850"/>
        <w:gridCol w:w="881"/>
        <w:gridCol w:w="868"/>
        <w:gridCol w:w="1370"/>
        <w:gridCol w:w="419"/>
        <w:gridCol w:w="1059"/>
        <w:gridCol w:w="956"/>
      </w:tblGrid>
      <w:tr w:rsidR="00AC631C" w:rsidRPr="00E233B4" w14:paraId="491EA5F0" w14:textId="77777777" w:rsidTr="003926FC">
        <w:trPr>
          <w:trHeight w:val="20"/>
        </w:trPr>
        <w:tc>
          <w:tcPr>
            <w:tcW w:w="0" w:type="auto"/>
            <w:shd w:val="clear" w:color="000000" w:fill="C00000"/>
            <w:vAlign w:val="center"/>
            <w:hideMark/>
          </w:tcPr>
          <w:p w14:paraId="0CBC9E0B" w14:textId="77777777" w:rsidR="00AC631C" w:rsidRPr="00E233B4" w:rsidRDefault="00AC631C" w:rsidP="003926FC">
            <w:pPr>
              <w:spacing w:after="0" w:line="240" w:lineRule="auto"/>
              <w:jc w:val="center"/>
              <w:rPr>
                <w:rFonts w:asciiTheme="minorHAnsi" w:eastAsia="Times New Roman" w:hAnsiTheme="minorHAnsi" w:cstheme="minorHAnsi"/>
                <w:b/>
                <w:bCs/>
                <w:color w:val="FFFFFF"/>
                <w:sz w:val="16"/>
                <w:szCs w:val="16"/>
                <w:lang w:eastAsia="pt-BR"/>
              </w:rPr>
            </w:pPr>
            <w:r w:rsidRPr="00E233B4">
              <w:rPr>
                <w:rFonts w:asciiTheme="minorHAnsi" w:eastAsia="Times New Roman" w:hAnsiTheme="minorHAnsi" w:cstheme="minorHAnsi"/>
                <w:b/>
                <w:bCs/>
                <w:color w:val="FFFFFF"/>
                <w:sz w:val="16"/>
                <w:szCs w:val="16"/>
                <w:lang w:eastAsia="pt-BR"/>
              </w:rPr>
              <w:t>Eixo</w:t>
            </w:r>
          </w:p>
        </w:tc>
        <w:tc>
          <w:tcPr>
            <w:tcW w:w="1319" w:type="dxa"/>
            <w:shd w:val="clear" w:color="000000" w:fill="C00000"/>
            <w:vAlign w:val="center"/>
            <w:hideMark/>
          </w:tcPr>
          <w:p w14:paraId="3B07CC83" w14:textId="77777777" w:rsidR="00AC631C" w:rsidRPr="00E233B4" w:rsidRDefault="00AC631C" w:rsidP="003926FC">
            <w:pPr>
              <w:spacing w:after="0" w:line="240" w:lineRule="auto"/>
              <w:jc w:val="center"/>
              <w:rPr>
                <w:rFonts w:asciiTheme="minorHAnsi" w:eastAsia="Times New Roman" w:hAnsiTheme="minorHAnsi" w:cstheme="minorHAnsi"/>
                <w:b/>
                <w:bCs/>
                <w:color w:val="FFFFFF"/>
                <w:sz w:val="16"/>
                <w:szCs w:val="16"/>
                <w:lang w:eastAsia="pt-BR"/>
              </w:rPr>
            </w:pPr>
            <w:r w:rsidRPr="00E233B4">
              <w:rPr>
                <w:rFonts w:asciiTheme="minorHAnsi" w:eastAsia="Times New Roman" w:hAnsiTheme="minorHAnsi" w:cstheme="minorHAnsi"/>
                <w:b/>
                <w:bCs/>
                <w:color w:val="FFFFFF"/>
                <w:sz w:val="16"/>
                <w:szCs w:val="16"/>
                <w:lang w:eastAsia="pt-BR"/>
              </w:rPr>
              <w:t>Dimensão</w:t>
            </w:r>
          </w:p>
        </w:tc>
        <w:tc>
          <w:tcPr>
            <w:tcW w:w="850" w:type="dxa"/>
            <w:shd w:val="clear" w:color="000000" w:fill="C00000"/>
            <w:vAlign w:val="center"/>
            <w:hideMark/>
          </w:tcPr>
          <w:p w14:paraId="353D8021" w14:textId="77777777" w:rsidR="00AC631C" w:rsidRPr="00E233B4" w:rsidRDefault="00AC631C" w:rsidP="003926FC">
            <w:pPr>
              <w:spacing w:after="0" w:line="240" w:lineRule="auto"/>
              <w:jc w:val="center"/>
              <w:rPr>
                <w:rFonts w:asciiTheme="minorHAnsi" w:eastAsia="Times New Roman" w:hAnsiTheme="minorHAnsi" w:cstheme="minorHAnsi"/>
                <w:b/>
                <w:bCs/>
                <w:color w:val="FFFFFF"/>
                <w:sz w:val="16"/>
                <w:szCs w:val="16"/>
                <w:lang w:eastAsia="pt-BR"/>
              </w:rPr>
            </w:pPr>
            <w:r w:rsidRPr="00E233B4">
              <w:rPr>
                <w:rFonts w:asciiTheme="minorHAnsi" w:eastAsia="Times New Roman" w:hAnsiTheme="minorHAnsi" w:cstheme="minorHAnsi"/>
                <w:b/>
                <w:bCs/>
                <w:color w:val="FFFFFF"/>
                <w:sz w:val="16"/>
                <w:szCs w:val="16"/>
                <w:lang w:eastAsia="pt-BR"/>
              </w:rPr>
              <w:t>Pontuação Obtida</w:t>
            </w:r>
          </w:p>
        </w:tc>
        <w:tc>
          <w:tcPr>
            <w:tcW w:w="0" w:type="auto"/>
            <w:shd w:val="clear" w:color="000000" w:fill="C00000"/>
            <w:vAlign w:val="center"/>
            <w:hideMark/>
          </w:tcPr>
          <w:p w14:paraId="136930DB" w14:textId="77777777" w:rsidR="00AC631C" w:rsidRPr="00E233B4" w:rsidRDefault="00AC631C" w:rsidP="003926FC">
            <w:pPr>
              <w:spacing w:after="0" w:line="240" w:lineRule="auto"/>
              <w:jc w:val="center"/>
              <w:rPr>
                <w:rFonts w:asciiTheme="minorHAnsi" w:eastAsia="Times New Roman" w:hAnsiTheme="minorHAnsi" w:cstheme="minorHAnsi"/>
                <w:b/>
                <w:bCs/>
                <w:i/>
                <w:iCs/>
                <w:color w:val="FFFFFF"/>
                <w:sz w:val="16"/>
                <w:szCs w:val="16"/>
                <w:lang w:eastAsia="pt-BR"/>
              </w:rPr>
            </w:pPr>
            <w:r w:rsidRPr="00E233B4">
              <w:rPr>
                <w:rFonts w:asciiTheme="minorHAnsi" w:eastAsia="Times New Roman" w:hAnsiTheme="minorHAnsi" w:cstheme="minorHAnsi"/>
                <w:b/>
                <w:bCs/>
                <w:i/>
                <w:iCs/>
                <w:color w:val="FFFFFF"/>
                <w:sz w:val="16"/>
                <w:szCs w:val="16"/>
                <w:lang w:eastAsia="pt-BR"/>
              </w:rPr>
              <w:t>Pontuação Máxima</w:t>
            </w:r>
          </w:p>
        </w:tc>
        <w:tc>
          <w:tcPr>
            <w:tcW w:w="0" w:type="auto"/>
            <w:shd w:val="clear" w:color="000000" w:fill="C00000"/>
            <w:vAlign w:val="center"/>
            <w:hideMark/>
          </w:tcPr>
          <w:p w14:paraId="4584043F" w14:textId="77777777" w:rsidR="00AC631C" w:rsidRPr="00E233B4" w:rsidRDefault="00AC631C" w:rsidP="003926FC">
            <w:pPr>
              <w:spacing w:after="0" w:line="240" w:lineRule="auto"/>
              <w:jc w:val="center"/>
              <w:rPr>
                <w:rFonts w:asciiTheme="minorHAnsi" w:eastAsia="Times New Roman" w:hAnsiTheme="minorHAnsi" w:cstheme="minorHAnsi"/>
                <w:b/>
                <w:bCs/>
                <w:color w:val="FFFFFF"/>
                <w:sz w:val="16"/>
                <w:szCs w:val="16"/>
                <w:lang w:eastAsia="pt-BR"/>
              </w:rPr>
            </w:pPr>
            <w:r w:rsidRPr="00E233B4">
              <w:rPr>
                <w:rFonts w:asciiTheme="minorHAnsi" w:eastAsia="Times New Roman" w:hAnsiTheme="minorHAnsi" w:cstheme="minorHAnsi"/>
                <w:b/>
                <w:bCs/>
                <w:color w:val="FFFFFF"/>
                <w:sz w:val="16"/>
                <w:szCs w:val="16"/>
                <w:lang w:eastAsia="pt-BR"/>
              </w:rPr>
              <w:t>Percentual (%)</w:t>
            </w:r>
          </w:p>
        </w:tc>
        <w:tc>
          <w:tcPr>
            <w:tcW w:w="0" w:type="auto"/>
            <w:gridSpan w:val="3"/>
            <w:shd w:val="clear" w:color="000000" w:fill="C00000"/>
            <w:vAlign w:val="center"/>
            <w:hideMark/>
          </w:tcPr>
          <w:p w14:paraId="74A3B1AF" w14:textId="77777777" w:rsidR="00AC631C" w:rsidRPr="00E233B4" w:rsidRDefault="00AC631C" w:rsidP="003926FC">
            <w:pPr>
              <w:spacing w:after="0" w:line="240" w:lineRule="auto"/>
              <w:jc w:val="center"/>
              <w:rPr>
                <w:rFonts w:asciiTheme="minorHAnsi" w:eastAsia="Times New Roman" w:hAnsiTheme="minorHAnsi" w:cstheme="minorHAnsi"/>
                <w:b/>
                <w:bCs/>
                <w:color w:val="FFFFFF"/>
                <w:sz w:val="16"/>
                <w:szCs w:val="16"/>
                <w:lang w:eastAsia="pt-BR"/>
              </w:rPr>
            </w:pPr>
            <w:r w:rsidRPr="00E233B4">
              <w:rPr>
                <w:rFonts w:asciiTheme="minorHAnsi" w:eastAsia="Times New Roman" w:hAnsiTheme="minorHAnsi" w:cstheme="minorHAnsi"/>
                <w:b/>
                <w:bCs/>
                <w:color w:val="FFFFFF"/>
                <w:sz w:val="16"/>
                <w:szCs w:val="16"/>
                <w:lang w:eastAsia="pt-BR"/>
              </w:rPr>
              <w:t>Perfil do Fundo (por Eixo)</w:t>
            </w:r>
          </w:p>
        </w:tc>
        <w:tc>
          <w:tcPr>
            <w:tcW w:w="0" w:type="auto"/>
            <w:shd w:val="clear" w:color="000000" w:fill="C00000"/>
            <w:vAlign w:val="center"/>
            <w:hideMark/>
          </w:tcPr>
          <w:p w14:paraId="46E48DBF" w14:textId="77777777" w:rsidR="00AC631C" w:rsidRPr="00E233B4" w:rsidRDefault="00AC631C" w:rsidP="003926FC">
            <w:pPr>
              <w:spacing w:after="0" w:line="240" w:lineRule="auto"/>
              <w:jc w:val="center"/>
              <w:rPr>
                <w:rFonts w:asciiTheme="minorHAnsi" w:eastAsia="Times New Roman" w:hAnsiTheme="minorHAnsi" w:cstheme="minorHAnsi"/>
                <w:b/>
                <w:bCs/>
                <w:color w:val="FFFFFF"/>
                <w:sz w:val="16"/>
                <w:szCs w:val="16"/>
                <w:lang w:eastAsia="pt-BR"/>
              </w:rPr>
            </w:pPr>
            <w:r w:rsidRPr="00E233B4">
              <w:rPr>
                <w:rFonts w:asciiTheme="minorHAnsi" w:eastAsia="Times New Roman" w:hAnsiTheme="minorHAnsi" w:cstheme="minorHAnsi"/>
                <w:b/>
                <w:bCs/>
                <w:color w:val="FFFFFF"/>
                <w:sz w:val="16"/>
                <w:szCs w:val="16"/>
                <w:lang w:eastAsia="pt-BR"/>
              </w:rPr>
              <w:t>Nível de Maturidade</w:t>
            </w:r>
          </w:p>
        </w:tc>
      </w:tr>
      <w:tr w:rsidR="00AC631C" w:rsidRPr="00E233B4" w14:paraId="58ED620B" w14:textId="77777777" w:rsidTr="003926FC">
        <w:trPr>
          <w:trHeight w:val="20"/>
        </w:trPr>
        <w:tc>
          <w:tcPr>
            <w:tcW w:w="0" w:type="auto"/>
            <w:vMerge w:val="restart"/>
            <w:shd w:val="clear" w:color="auto" w:fill="auto"/>
            <w:vAlign w:val="center"/>
            <w:hideMark/>
          </w:tcPr>
          <w:p w14:paraId="37D0C1F4"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Responsabilidade Arrecadatória</w:t>
            </w:r>
          </w:p>
        </w:tc>
        <w:tc>
          <w:tcPr>
            <w:tcW w:w="1319" w:type="dxa"/>
            <w:shd w:val="clear" w:color="auto" w:fill="auto"/>
            <w:vAlign w:val="center"/>
            <w:hideMark/>
          </w:tcPr>
          <w:p w14:paraId="5EAD7858"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Jurídico-Estrutural</w:t>
            </w:r>
          </w:p>
        </w:tc>
        <w:tc>
          <w:tcPr>
            <w:tcW w:w="850" w:type="dxa"/>
            <w:shd w:val="clear" w:color="auto" w:fill="auto"/>
            <w:vAlign w:val="center"/>
            <w:hideMark/>
          </w:tcPr>
          <w:p w14:paraId="3FEEA57B"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23</w:t>
            </w:r>
          </w:p>
        </w:tc>
        <w:tc>
          <w:tcPr>
            <w:tcW w:w="0" w:type="auto"/>
            <w:shd w:val="clear" w:color="auto" w:fill="auto"/>
            <w:vAlign w:val="center"/>
            <w:hideMark/>
          </w:tcPr>
          <w:p w14:paraId="414F2D89"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23</w:t>
            </w:r>
          </w:p>
        </w:tc>
        <w:tc>
          <w:tcPr>
            <w:tcW w:w="0" w:type="auto"/>
            <w:shd w:val="clear" w:color="auto" w:fill="auto"/>
            <w:vAlign w:val="center"/>
            <w:hideMark/>
          </w:tcPr>
          <w:p w14:paraId="1592B00C"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100%</w:t>
            </w:r>
          </w:p>
        </w:tc>
        <w:tc>
          <w:tcPr>
            <w:tcW w:w="0" w:type="auto"/>
            <w:vMerge w:val="restart"/>
            <w:shd w:val="clear" w:color="auto" w:fill="auto"/>
            <w:vAlign w:val="center"/>
            <w:hideMark/>
          </w:tcPr>
          <w:p w14:paraId="37787694"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Responsabilidade Arrecadatória</w:t>
            </w:r>
          </w:p>
        </w:tc>
        <w:tc>
          <w:tcPr>
            <w:tcW w:w="0" w:type="auto"/>
            <w:vMerge w:val="restart"/>
            <w:shd w:val="clear" w:color="auto" w:fill="auto"/>
            <w:vAlign w:val="center"/>
            <w:hideMark/>
          </w:tcPr>
          <w:p w14:paraId="2369EAC7"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88%</w:t>
            </w:r>
          </w:p>
        </w:tc>
        <w:tc>
          <w:tcPr>
            <w:tcW w:w="0" w:type="auto"/>
            <w:vMerge w:val="restart"/>
            <w:shd w:val="clear" w:color="auto" w:fill="auto"/>
            <w:vAlign w:val="center"/>
            <w:hideMark/>
          </w:tcPr>
          <w:p w14:paraId="3160940F" w14:textId="77777777" w:rsidR="00AC631C" w:rsidRPr="000C70F3" w:rsidRDefault="00AC631C" w:rsidP="003926FC">
            <w:pPr>
              <w:spacing w:after="0" w:line="240" w:lineRule="auto"/>
              <w:jc w:val="center"/>
              <w:rPr>
                <w:rFonts w:asciiTheme="minorHAnsi" w:eastAsia="Times New Roman" w:hAnsiTheme="minorHAnsi" w:cstheme="minorHAnsi"/>
                <w:b/>
                <w:bCs/>
                <w:color w:val="C00000"/>
                <w:sz w:val="16"/>
                <w:szCs w:val="16"/>
                <w:lang w:eastAsia="pt-BR"/>
              </w:rPr>
            </w:pPr>
            <w:r w:rsidRPr="000C70F3">
              <w:rPr>
                <w:rFonts w:asciiTheme="minorHAnsi" w:eastAsia="Times New Roman" w:hAnsiTheme="minorHAnsi" w:cstheme="minorHAnsi"/>
                <w:b/>
                <w:bCs/>
                <w:color w:val="C00000"/>
                <w:sz w:val="16"/>
                <w:szCs w:val="16"/>
                <w:lang w:eastAsia="pt-BR"/>
              </w:rPr>
              <w:t>Pleno</w:t>
            </w:r>
          </w:p>
        </w:tc>
        <w:tc>
          <w:tcPr>
            <w:tcW w:w="0" w:type="auto"/>
            <w:vMerge w:val="restart"/>
            <w:shd w:val="clear" w:color="auto" w:fill="auto"/>
            <w:vAlign w:val="center"/>
            <w:hideMark/>
          </w:tcPr>
          <w:p w14:paraId="611CCD07" w14:textId="77777777" w:rsidR="00AC631C" w:rsidRPr="000C70F3" w:rsidRDefault="00AC631C" w:rsidP="003926FC">
            <w:pPr>
              <w:spacing w:after="0" w:line="240" w:lineRule="auto"/>
              <w:jc w:val="center"/>
              <w:rPr>
                <w:rFonts w:asciiTheme="minorHAnsi" w:eastAsia="Times New Roman" w:hAnsiTheme="minorHAnsi" w:cstheme="minorHAnsi"/>
                <w:b/>
                <w:bCs/>
                <w:color w:val="C00000"/>
                <w:sz w:val="16"/>
                <w:szCs w:val="16"/>
                <w:lang w:eastAsia="pt-BR"/>
              </w:rPr>
            </w:pPr>
            <w:r w:rsidRPr="000C70F3">
              <w:rPr>
                <w:rFonts w:asciiTheme="minorHAnsi" w:eastAsia="Times New Roman" w:hAnsiTheme="minorHAnsi" w:cstheme="minorHAnsi"/>
                <w:b/>
                <w:bCs/>
                <w:color w:val="C00000"/>
                <w:sz w:val="16"/>
                <w:szCs w:val="16"/>
                <w:lang w:eastAsia="pt-BR"/>
              </w:rPr>
              <w:t>65%</w:t>
            </w:r>
          </w:p>
          <w:p w14:paraId="28F26D9F" w14:textId="77777777" w:rsidR="00AC631C" w:rsidRPr="000C70F3" w:rsidRDefault="00AC631C" w:rsidP="003926FC">
            <w:pPr>
              <w:spacing w:after="0" w:line="240" w:lineRule="auto"/>
              <w:jc w:val="center"/>
              <w:rPr>
                <w:rFonts w:asciiTheme="minorHAnsi" w:eastAsia="Times New Roman" w:hAnsiTheme="minorHAnsi" w:cstheme="minorHAnsi"/>
                <w:b/>
                <w:bCs/>
                <w:color w:val="C00000"/>
                <w:sz w:val="16"/>
                <w:szCs w:val="16"/>
                <w:lang w:eastAsia="pt-BR"/>
              </w:rPr>
            </w:pPr>
          </w:p>
          <w:p w14:paraId="77642BB3"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0C70F3">
              <w:rPr>
                <w:rFonts w:asciiTheme="minorHAnsi" w:eastAsia="Times New Roman" w:hAnsiTheme="minorHAnsi" w:cstheme="minorHAnsi"/>
                <w:b/>
                <w:bCs/>
                <w:color w:val="C00000"/>
                <w:sz w:val="16"/>
                <w:szCs w:val="16"/>
                <w:lang w:eastAsia="pt-BR"/>
              </w:rPr>
              <w:t>Boa Maturidade</w:t>
            </w:r>
          </w:p>
        </w:tc>
      </w:tr>
      <w:tr w:rsidR="00AC631C" w:rsidRPr="00E233B4" w14:paraId="4A05D92F" w14:textId="77777777" w:rsidTr="003926FC">
        <w:trPr>
          <w:trHeight w:val="20"/>
        </w:trPr>
        <w:tc>
          <w:tcPr>
            <w:tcW w:w="0" w:type="auto"/>
            <w:vMerge/>
            <w:shd w:val="clear" w:color="auto" w:fill="auto"/>
            <w:vAlign w:val="center"/>
          </w:tcPr>
          <w:p w14:paraId="25D72F1E"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4B3753AF"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Financeira e Orçamentária</w:t>
            </w:r>
          </w:p>
        </w:tc>
        <w:tc>
          <w:tcPr>
            <w:tcW w:w="850" w:type="dxa"/>
            <w:shd w:val="clear" w:color="auto" w:fill="auto"/>
            <w:vAlign w:val="center"/>
            <w:hideMark/>
          </w:tcPr>
          <w:p w14:paraId="24924CD9"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2</w:t>
            </w:r>
          </w:p>
        </w:tc>
        <w:tc>
          <w:tcPr>
            <w:tcW w:w="0" w:type="auto"/>
            <w:shd w:val="clear" w:color="auto" w:fill="auto"/>
            <w:vAlign w:val="center"/>
            <w:hideMark/>
          </w:tcPr>
          <w:p w14:paraId="1B9AE65E"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4</w:t>
            </w:r>
          </w:p>
        </w:tc>
        <w:tc>
          <w:tcPr>
            <w:tcW w:w="0" w:type="auto"/>
            <w:shd w:val="clear" w:color="auto" w:fill="auto"/>
            <w:vAlign w:val="center"/>
            <w:hideMark/>
          </w:tcPr>
          <w:p w14:paraId="20846D35"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50%</w:t>
            </w:r>
          </w:p>
        </w:tc>
        <w:tc>
          <w:tcPr>
            <w:tcW w:w="0" w:type="auto"/>
            <w:vMerge/>
            <w:vAlign w:val="center"/>
            <w:hideMark/>
          </w:tcPr>
          <w:p w14:paraId="135E418E"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22059A03"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4BF22C1F" w14:textId="77777777" w:rsidR="00AC631C" w:rsidRPr="000C70F3" w:rsidRDefault="00AC631C" w:rsidP="003926FC">
            <w:pPr>
              <w:spacing w:after="0" w:line="240" w:lineRule="auto"/>
              <w:rPr>
                <w:rFonts w:asciiTheme="minorHAnsi" w:eastAsia="Times New Roman" w:hAnsiTheme="minorHAnsi" w:cstheme="minorHAnsi"/>
                <w:b/>
                <w:bCs/>
                <w:color w:val="C00000"/>
                <w:sz w:val="16"/>
                <w:szCs w:val="16"/>
                <w:lang w:eastAsia="pt-BR"/>
              </w:rPr>
            </w:pPr>
          </w:p>
        </w:tc>
        <w:tc>
          <w:tcPr>
            <w:tcW w:w="0" w:type="auto"/>
            <w:vMerge/>
            <w:vAlign w:val="center"/>
            <w:hideMark/>
          </w:tcPr>
          <w:p w14:paraId="24938298"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3DDDAFD6" w14:textId="77777777" w:rsidTr="003926FC">
        <w:trPr>
          <w:trHeight w:val="20"/>
        </w:trPr>
        <w:tc>
          <w:tcPr>
            <w:tcW w:w="0" w:type="auto"/>
            <w:vMerge/>
            <w:shd w:val="clear" w:color="auto" w:fill="auto"/>
            <w:vAlign w:val="center"/>
          </w:tcPr>
          <w:p w14:paraId="5D69C35A"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3D784763"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Político-Institucional</w:t>
            </w:r>
          </w:p>
        </w:tc>
        <w:tc>
          <w:tcPr>
            <w:tcW w:w="850" w:type="dxa"/>
            <w:shd w:val="clear" w:color="auto" w:fill="auto"/>
            <w:vAlign w:val="center"/>
            <w:hideMark/>
          </w:tcPr>
          <w:p w14:paraId="4A5765D3"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3</w:t>
            </w:r>
          </w:p>
        </w:tc>
        <w:tc>
          <w:tcPr>
            <w:tcW w:w="0" w:type="auto"/>
            <w:shd w:val="clear" w:color="auto" w:fill="auto"/>
            <w:vAlign w:val="center"/>
            <w:hideMark/>
          </w:tcPr>
          <w:p w14:paraId="15EA26B9"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3</w:t>
            </w:r>
          </w:p>
        </w:tc>
        <w:tc>
          <w:tcPr>
            <w:tcW w:w="0" w:type="auto"/>
            <w:shd w:val="clear" w:color="auto" w:fill="auto"/>
            <w:vAlign w:val="center"/>
            <w:hideMark/>
          </w:tcPr>
          <w:p w14:paraId="52DC3D3B"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100%</w:t>
            </w:r>
          </w:p>
        </w:tc>
        <w:tc>
          <w:tcPr>
            <w:tcW w:w="0" w:type="auto"/>
            <w:vMerge/>
            <w:vAlign w:val="center"/>
            <w:hideMark/>
          </w:tcPr>
          <w:p w14:paraId="6625D8D9"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54FCE38F"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04B2BFEB" w14:textId="77777777" w:rsidR="00AC631C" w:rsidRPr="000C70F3" w:rsidRDefault="00AC631C" w:rsidP="003926FC">
            <w:pPr>
              <w:spacing w:after="0" w:line="240" w:lineRule="auto"/>
              <w:rPr>
                <w:rFonts w:asciiTheme="minorHAnsi" w:eastAsia="Times New Roman" w:hAnsiTheme="minorHAnsi" w:cstheme="minorHAnsi"/>
                <w:b/>
                <w:bCs/>
                <w:color w:val="C00000"/>
                <w:sz w:val="16"/>
                <w:szCs w:val="16"/>
                <w:lang w:eastAsia="pt-BR"/>
              </w:rPr>
            </w:pPr>
          </w:p>
        </w:tc>
        <w:tc>
          <w:tcPr>
            <w:tcW w:w="0" w:type="auto"/>
            <w:vMerge/>
            <w:vAlign w:val="center"/>
            <w:hideMark/>
          </w:tcPr>
          <w:p w14:paraId="58793B1D"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2CA2CF66" w14:textId="77777777" w:rsidTr="003926FC">
        <w:trPr>
          <w:trHeight w:val="20"/>
        </w:trPr>
        <w:tc>
          <w:tcPr>
            <w:tcW w:w="0" w:type="auto"/>
            <w:vMerge/>
            <w:shd w:val="clear" w:color="auto" w:fill="auto"/>
            <w:vAlign w:val="center"/>
          </w:tcPr>
          <w:p w14:paraId="7CAF7895"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72B1F625"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Participativa e de Transparência</w:t>
            </w:r>
          </w:p>
        </w:tc>
        <w:tc>
          <w:tcPr>
            <w:tcW w:w="850" w:type="dxa"/>
            <w:shd w:val="clear" w:color="auto" w:fill="auto"/>
            <w:vAlign w:val="center"/>
            <w:hideMark/>
          </w:tcPr>
          <w:p w14:paraId="303CD9C3"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3</w:t>
            </w:r>
          </w:p>
        </w:tc>
        <w:tc>
          <w:tcPr>
            <w:tcW w:w="0" w:type="auto"/>
            <w:shd w:val="clear" w:color="auto" w:fill="auto"/>
            <w:vAlign w:val="center"/>
            <w:hideMark/>
          </w:tcPr>
          <w:p w14:paraId="297ACC1B"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3</w:t>
            </w:r>
          </w:p>
        </w:tc>
        <w:tc>
          <w:tcPr>
            <w:tcW w:w="0" w:type="auto"/>
            <w:shd w:val="clear" w:color="auto" w:fill="auto"/>
            <w:vAlign w:val="center"/>
            <w:hideMark/>
          </w:tcPr>
          <w:p w14:paraId="66F4FF79"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100%</w:t>
            </w:r>
          </w:p>
        </w:tc>
        <w:tc>
          <w:tcPr>
            <w:tcW w:w="0" w:type="auto"/>
            <w:vMerge/>
            <w:vAlign w:val="center"/>
            <w:hideMark/>
          </w:tcPr>
          <w:p w14:paraId="5FF9B2BA"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094A6762"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066CDDF7" w14:textId="77777777" w:rsidR="00AC631C" w:rsidRPr="000C70F3" w:rsidRDefault="00AC631C" w:rsidP="003926FC">
            <w:pPr>
              <w:spacing w:after="0" w:line="240" w:lineRule="auto"/>
              <w:rPr>
                <w:rFonts w:asciiTheme="minorHAnsi" w:eastAsia="Times New Roman" w:hAnsiTheme="minorHAnsi" w:cstheme="minorHAnsi"/>
                <w:b/>
                <w:bCs/>
                <w:color w:val="C00000"/>
                <w:sz w:val="16"/>
                <w:szCs w:val="16"/>
                <w:lang w:eastAsia="pt-BR"/>
              </w:rPr>
            </w:pPr>
          </w:p>
        </w:tc>
        <w:tc>
          <w:tcPr>
            <w:tcW w:w="0" w:type="auto"/>
            <w:vMerge/>
            <w:vAlign w:val="center"/>
            <w:hideMark/>
          </w:tcPr>
          <w:p w14:paraId="198C0B86"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2951F4D9" w14:textId="77777777" w:rsidTr="003926FC">
        <w:trPr>
          <w:trHeight w:val="20"/>
        </w:trPr>
        <w:tc>
          <w:tcPr>
            <w:tcW w:w="0" w:type="auto"/>
            <w:vMerge w:val="restart"/>
            <w:shd w:val="clear" w:color="auto" w:fill="auto"/>
            <w:vAlign w:val="center"/>
            <w:hideMark/>
          </w:tcPr>
          <w:p w14:paraId="7CFB4CF9"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Planejamento Orçamentário</w:t>
            </w:r>
          </w:p>
        </w:tc>
        <w:tc>
          <w:tcPr>
            <w:tcW w:w="1319" w:type="dxa"/>
            <w:shd w:val="clear" w:color="auto" w:fill="auto"/>
            <w:vAlign w:val="center"/>
            <w:hideMark/>
          </w:tcPr>
          <w:p w14:paraId="4FC4F341"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Jurídico-Estrutural</w:t>
            </w:r>
          </w:p>
        </w:tc>
        <w:tc>
          <w:tcPr>
            <w:tcW w:w="850" w:type="dxa"/>
            <w:shd w:val="clear" w:color="auto" w:fill="auto"/>
            <w:vAlign w:val="center"/>
            <w:hideMark/>
          </w:tcPr>
          <w:p w14:paraId="51B4D5C3"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6</w:t>
            </w:r>
          </w:p>
        </w:tc>
        <w:tc>
          <w:tcPr>
            <w:tcW w:w="0" w:type="auto"/>
            <w:shd w:val="clear" w:color="auto" w:fill="auto"/>
            <w:vAlign w:val="center"/>
            <w:hideMark/>
          </w:tcPr>
          <w:p w14:paraId="217968D1"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9</w:t>
            </w:r>
          </w:p>
        </w:tc>
        <w:tc>
          <w:tcPr>
            <w:tcW w:w="0" w:type="auto"/>
            <w:shd w:val="clear" w:color="auto" w:fill="auto"/>
            <w:vAlign w:val="center"/>
            <w:hideMark/>
          </w:tcPr>
          <w:p w14:paraId="49B6DEA2"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67%</w:t>
            </w:r>
          </w:p>
        </w:tc>
        <w:tc>
          <w:tcPr>
            <w:tcW w:w="0" w:type="auto"/>
            <w:vMerge w:val="restart"/>
            <w:shd w:val="clear" w:color="auto" w:fill="auto"/>
            <w:vAlign w:val="center"/>
            <w:hideMark/>
          </w:tcPr>
          <w:p w14:paraId="0787DC59"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Planejamento Orçamentário</w:t>
            </w:r>
          </w:p>
        </w:tc>
        <w:tc>
          <w:tcPr>
            <w:tcW w:w="0" w:type="auto"/>
            <w:vMerge w:val="restart"/>
            <w:shd w:val="clear" w:color="auto" w:fill="auto"/>
            <w:vAlign w:val="center"/>
            <w:hideMark/>
          </w:tcPr>
          <w:p w14:paraId="021D009A"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54%</w:t>
            </w:r>
          </w:p>
        </w:tc>
        <w:tc>
          <w:tcPr>
            <w:tcW w:w="0" w:type="auto"/>
            <w:vMerge w:val="restart"/>
            <w:shd w:val="clear" w:color="auto" w:fill="auto"/>
            <w:vAlign w:val="center"/>
            <w:hideMark/>
          </w:tcPr>
          <w:p w14:paraId="2DACC540" w14:textId="77777777" w:rsidR="00AC631C" w:rsidRPr="000C70F3" w:rsidRDefault="00AC631C" w:rsidP="003926FC">
            <w:pPr>
              <w:spacing w:after="0" w:line="240" w:lineRule="auto"/>
              <w:jc w:val="center"/>
              <w:rPr>
                <w:rFonts w:asciiTheme="minorHAnsi" w:eastAsia="Times New Roman" w:hAnsiTheme="minorHAnsi" w:cstheme="minorHAnsi"/>
                <w:b/>
                <w:bCs/>
                <w:color w:val="C00000"/>
                <w:sz w:val="16"/>
                <w:szCs w:val="16"/>
                <w:lang w:eastAsia="pt-BR"/>
              </w:rPr>
            </w:pPr>
            <w:r w:rsidRPr="000C70F3">
              <w:rPr>
                <w:rFonts w:asciiTheme="minorHAnsi" w:eastAsia="Times New Roman" w:hAnsiTheme="minorHAnsi" w:cstheme="minorHAnsi"/>
                <w:b/>
                <w:bCs/>
                <w:color w:val="C00000"/>
                <w:sz w:val="16"/>
                <w:szCs w:val="16"/>
                <w:lang w:eastAsia="pt-BR"/>
              </w:rPr>
              <w:t>Intermediário</w:t>
            </w:r>
          </w:p>
        </w:tc>
        <w:tc>
          <w:tcPr>
            <w:tcW w:w="0" w:type="auto"/>
            <w:vMerge/>
            <w:vAlign w:val="center"/>
            <w:hideMark/>
          </w:tcPr>
          <w:p w14:paraId="5817EFA8"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66A17EA9" w14:textId="77777777" w:rsidTr="003926FC">
        <w:trPr>
          <w:trHeight w:val="20"/>
        </w:trPr>
        <w:tc>
          <w:tcPr>
            <w:tcW w:w="0" w:type="auto"/>
            <w:vMerge/>
            <w:shd w:val="clear" w:color="auto" w:fill="auto"/>
            <w:vAlign w:val="center"/>
          </w:tcPr>
          <w:p w14:paraId="482AE320"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3058289B"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Institucional e Organizacional</w:t>
            </w:r>
          </w:p>
        </w:tc>
        <w:tc>
          <w:tcPr>
            <w:tcW w:w="850" w:type="dxa"/>
            <w:shd w:val="clear" w:color="auto" w:fill="auto"/>
            <w:vAlign w:val="center"/>
            <w:hideMark/>
          </w:tcPr>
          <w:p w14:paraId="411A7DF4"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6</w:t>
            </w:r>
          </w:p>
        </w:tc>
        <w:tc>
          <w:tcPr>
            <w:tcW w:w="0" w:type="auto"/>
            <w:shd w:val="clear" w:color="auto" w:fill="auto"/>
            <w:vAlign w:val="center"/>
            <w:hideMark/>
          </w:tcPr>
          <w:p w14:paraId="305EC399"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11</w:t>
            </w:r>
          </w:p>
        </w:tc>
        <w:tc>
          <w:tcPr>
            <w:tcW w:w="0" w:type="auto"/>
            <w:shd w:val="clear" w:color="auto" w:fill="auto"/>
            <w:vAlign w:val="center"/>
            <w:hideMark/>
          </w:tcPr>
          <w:p w14:paraId="3E8282C6"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55%</w:t>
            </w:r>
          </w:p>
        </w:tc>
        <w:tc>
          <w:tcPr>
            <w:tcW w:w="0" w:type="auto"/>
            <w:vMerge/>
            <w:vAlign w:val="center"/>
            <w:hideMark/>
          </w:tcPr>
          <w:p w14:paraId="2FDFB6A1"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346E0A04"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7C8318E3" w14:textId="77777777" w:rsidR="00AC631C" w:rsidRPr="000C70F3" w:rsidRDefault="00AC631C" w:rsidP="003926FC">
            <w:pPr>
              <w:spacing w:after="0" w:line="240" w:lineRule="auto"/>
              <w:rPr>
                <w:rFonts w:asciiTheme="minorHAnsi" w:eastAsia="Times New Roman" w:hAnsiTheme="minorHAnsi" w:cstheme="minorHAnsi"/>
                <w:b/>
                <w:bCs/>
                <w:color w:val="C00000"/>
                <w:sz w:val="16"/>
                <w:szCs w:val="16"/>
                <w:lang w:eastAsia="pt-BR"/>
              </w:rPr>
            </w:pPr>
          </w:p>
        </w:tc>
        <w:tc>
          <w:tcPr>
            <w:tcW w:w="0" w:type="auto"/>
            <w:vMerge/>
            <w:vAlign w:val="center"/>
            <w:hideMark/>
          </w:tcPr>
          <w:p w14:paraId="4C5EA9B6"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7DB62DCE" w14:textId="77777777" w:rsidTr="003926FC">
        <w:trPr>
          <w:trHeight w:val="20"/>
        </w:trPr>
        <w:tc>
          <w:tcPr>
            <w:tcW w:w="0" w:type="auto"/>
            <w:vMerge/>
            <w:shd w:val="clear" w:color="auto" w:fill="auto"/>
            <w:vAlign w:val="center"/>
          </w:tcPr>
          <w:p w14:paraId="5C85078A"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767F136B"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Político-Institucional</w:t>
            </w:r>
          </w:p>
        </w:tc>
        <w:tc>
          <w:tcPr>
            <w:tcW w:w="850" w:type="dxa"/>
            <w:shd w:val="clear" w:color="auto" w:fill="auto"/>
            <w:vAlign w:val="center"/>
            <w:hideMark/>
          </w:tcPr>
          <w:p w14:paraId="0418EB5B"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0</w:t>
            </w:r>
          </w:p>
        </w:tc>
        <w:tc>
          <w:tcPr>
            <w:tcW w:w="0" w:type="auto"/>
            <w:shd w:val="clear" w:color="auto" w:fill="auto"/>
            <w:vAlign w:val="center"/>
            <w:hideMark/>
          </w:tcPr>
          <w:p w14:paraId="4B09C2B9"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7</w:t>
            </w:r>
          </w:p>
        </w:tc>
        <w:tc>
          <w:tcPr>
            <w:tcW w:w="0" w:type="auto"/>
            <w:shd w:val="clear" w:color="auto" w:fill="auto"/>
            <w:vAlign w:val="center"/>
            <w:hideMark/>
          </w:tcPr>
          <w:p w14:paraId="508003AE"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0%</w:t>
            </w:r>
          </w:p>
        </w:tc>
        <w:tc>
          <w:tcPr>
            <w:tcW w:w="0" w:type="auto"/>
            <w:vMerge/>
            <w:vAlign w:val="center"/>
            <w:hideMark/>
          </w:tcPr>
          <w:p w14:paraId="5A1A0732"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3392F2F7"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277FB37E" w14:textId="77777777" w:rsidR="00AC631C" w:rsidRPr="000C70F3" w:rsidRDefault="00AC631C" w:rsidP="003926FC">
            <w:pPr>
              <w:spacing w:after="0" w:line="240" w:lineRule="auto"/>
              <w:rPr>
                <w:rFonts w:asciiTheme="minorHAnsi" w:eastAsia="Times New Roman" w:hAnsiTheme="minorHAnsi" w:cstheme="minorHAnsi"/>
                <w:b/>
                <w:bCs/>
                <w:color w:val="C00000"/>
                <w:sz w:val="16"/>
                <w:szCs w:val="16"/>
                <w:lang w:eastAsia="pt-BR"/>
              </w:rPr>
            </w:pPr>
          </w:p>
        </w:tc>
        <w:tc>
          <w:tcPr>
            <w:tcW w:w="0" w:type="auto"/>
            <w:vMerge/>
            <w:vAlign w:val="center"/>
            <w:hideMark/>
          </w:tcPr>
          <w:p w14:paraId="6915A05E"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0889610E" w14:textId="77777777" w:rsidTr="003926FC">
        <w:trPr>
          <w:trHeight w:val="20"/>
        </w:trPr>
        <w:tc>
          <w:tcPr>
            <w:tcW w:w="0" w:type="auto"/>
            <w:vMerge/>
            <w:shd w:val="clear" w:color="auto" w:fill="auto"/>
            <w:vAlign w:val="center"/>
          </w:tcPr>
          <w:p w14:paraId="51083B1C"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43D08401"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Financeira e Orçamentária</w:t>
            </w:r>
          </w:p>
        </w:tc>
        <w:tc>
          <w:tcPr>
            <w:tcW w:w="850" w:type="dxa"/>
            <w:shd w:val="clear" w:color="auto" w:fill="auto"/>
            <w:vAlign w:val="center"/>
            <w:hideMark/>
          </w:tcPr>
          <w:p w14:paraId="3164E43E"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w:t>
            </w:r>
          </w:p>
        </w:tc>
        <w:tc>
          <w:tcPr>
            <w:tcW w:w="0" w:type="auto"/>
            <w:shd w:val="clear" w:color="auto" w:fill="auto"/>
            <w:vAlign w:val="center"/>
            <w:hideMark/>
          </w:tcPr>
          <w:p w14:paraId="0694FC1D"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7</w:t>
            </w:r>
          </w:p>
        </w:tc>
        <w:tc>
          <w:tcPr>
            <w:tcW w:w="0" w:type="auto"/>
            <w:shd w:val="clear" w:color="auto" w:fill="auto"/>
            <w:vAlign w:val="center"/>
            <w:hideMark/>
          </w:tcPr>
          <w:p w14:paraId="1C9892FE"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71%</w:t>
            </w:r>
          </w:p>
        </w:tc>
        <w:tc>
          <w:tcPr>
            <w:tcW w:w="0" w:type="auto"/>
            <w:vMerge/>
            <w:vAlign w:val="center"/>
            <w:hideMark/>
          </w:tcPr>
          <w:p w14:paraId="244BE56E"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0EAD678F"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2D6A8E13" w14:textId="77777777" w:rsidR="00AC631C" w:rsidRPr="000C70F3" w:rsidRDefault="00AC631C" w:rsidP="003926FC">
            <w:pPr>
              <w:spacing w:after="0" w:line="240" w:lineRule="auto"/>
              <w:rPr>
                <w:rFonts w:asciiTheme="minorHAnsi" w:eastAsia="Times New Roman" w:hAnsiTheme="minorHAnsi" w:cstheme="minorHAnsi"/>
                <w:b/>
                <w:bCs/>
                <w:color w:val="C00000"/>
                <w:sz w:val="16"/>
                <w:szCs w:val="16"/>
                <w:lang w:eastAsia="pt-BR"/>
              </w:rPr>
            </w:pPr>
          </w:p>
        </w:tc>
        <w:tc>
          <w:tcPr>
            <w:tcW w:w="0" w:type="auto"/>
            <w:vMerge/>
            <w:vAlign w:val="center"/>
            <w:hideMark/>
          </w:tcPr>
          <w:p w14:paraId="6BD9406C"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49A25B12" w14:textId="77777777" w:rsidTr="003926FC">
        <w:trPr>
          <w:trHeight w:val="20"/>
        </w:trPr>
        <w:tc>
          <w:tcPr>
            <w:tcW w:w="0" w:type="auto"/>
            <w:vMerge/>
            <w:shd w:val="clear" w:color="auto" w:fill="auto"/>
            <w:vAlign w:val="center"/>
          </w:tcPr>
          <w:p w14:paraId="195D0644"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20C630AD"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Avaliativa</w:t>
            </w:r>
          </w:p>
        </w:tc>
        <w:tc>
          <w:tcPr>
            <w:tcW w:w="850" w:type="dxa"/>
            <w:shd w:val="clear" w:color="auto" w:fill="auto"/>
            <w:vAlign w:val="center"/>
            <w:hideMark/>
          </w:tcPr>
          <w:p w14:paraId="6E462BBF"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2</w:t>
            </w:r>
          </w:p>
        </w:tc>
        <w:tc>
          <w:tcPr>
            <w:tcW w:w="0" w:type="auto"/>
            <w:shd w:val="clear" w:color="auto" w:fill="auto"/>
            <w:vAlign w:val="center"/>
            <w:hideMark/>
          </w:tcPr>
          <w:p w14:paraId="1509227E"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4</w:t>
            </w:r>
          </w:p>
        </w:tc>
        <w:tc>
          <w:tcPr>
            <w:tcW w:w="0" w:type="auto"/>
            <w:shd w:val="clear" w:color="auto" w:fill="auto"/>
            <w:vAlign w:val="center"/>
            <w:hideMark/>
          </w:tcPr>
          <w:p w14:paraId="1A7D0907"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50%</w:t>
            </w:r>
          </w:p>
        </w:tc>
        <w:tc>
          <w:tcPr>
            <w:tcW w:w="0" w:type="auto"/>
            <w:vMerge/>
            <w:vAlign w:val="center"/>
            <w:hideMark/>
          </w:tcPr>
          <w:p w14:paraId="49D00F6F"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4DECF083"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15D3AD9B" w14:textId="77777777" w:rsidR="00AC631C" w:rsidRPr="000C70F3" w:rsidRDefault="00AC631C" w:rsidP="003926FC">
            <w:pPr>
              <w:spacing w:after="0" w:line="240" w:lineRule="auto"/>
              <w:rPr>
                <w:rFonts w:asciiTheme="minorHAnsi" w:eastAsia="Times New Roman" w:hAnsiTheme="minorHAnsi" w:cstheme="minorHAnsi"/>
                <w:b/>
                <w:bCs/>
                <w:color w:val="C00000"/>
                <w:sz w:val="16"/>
                <w:szCs w:val="16"/>
                <w:lang w:eastAsia="pt-BR"/>
              </w:rPr>
            </w:pPr>
          </w:p>
        </w:tc>
        <w:tc>
          <w:tcPr>
            <w:tcW w:w="0" w:type="auto"/>
            <w:vMerge/>
            <w:vAlign w:val="center"/>
            <w:hideMark/>
          </w:tcPr>
          <w:p w14:paraId="74B7C8E1"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5FD49873" w14:textId="77777777" w:rsidTr="003926FC">
        <w:trPr>
          <w:trHeight w:val="20"/>
        </w:trPr>
        <w:tc>
          <w:tcPr>
            <w:tcW w:w="0" w:type="auto"/>
            <w:vMerge/>
            <w:shd w:val="clear" w:color="auto" w:fill="auto"/>
            <w:vAlign w:val="center"/>
          </w:tcPr>
          <w:p w14:paraId="748C9AC7"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511AAAF2"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Histórico-Evolutiva</w:t>
            </w:r>
          </w:p>
        </w:tc>
        <w:tc>
          <w:tcPr>
            <w:tcW w:w="850" w:type="dxa"/>
            <w:shd w:val="clear" w:color="auto" w:fill="auto"/>
            <w:vAlign w:val="center"/>
            <w:hideMark/>
          </w:tcPr>
          <w:p w14:paraId="071CDA10"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4</w:t>
            </w:r>
          </w:p>
        </w:tc>
        <w:tc>
          <w:tcPr>
            <w:tcW w:w="0" w:type="auto"/>
            <w:shd w:val="clear" w:color="auto" w:fill="auto"/>
            <w:vAlign w:val="center"/>
            <w:hideMark/>
          </w:tcPr>
          <w:p w14:paraId="78E64A9C"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5</w:t>
            </w:r>
          </w:p>
        </w:tc>
        <w:tc>
          <w:tcPr>
            <w:tcW w:w="0" w:type="auto"/>
            <w:tcBorders>
              <w:bottom w:val="single" w:sz="4" w:space="0" w:color="BFBFBF" w:themeColor="background1" w:themeShade="BF"/>
            </w:tcBorders>
            <w:shd w:val="clear" w:color="auto" w:fill="auto"/>
            <w:vAlign w:val="center"/>
            <w:hideMark/>
          </w:tcPr>
          <w:p w14:paraId="35C948B8"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80%</w:t>
            </w:r>
          </w:p>
        </w:tc>
        <w:tc>
          <w:tcPr>
            <w:tcW w:w="0" w:type="auto"/>
            <w:vMerge/>
            <w:tcBorders>
              <w:bottom w:val="single" w:sz="4" w:space="0" w:color="BFBFBF" w:themeColor="background1" w:themeShade="BF"/>
            </w:tcBorders>
            <w:vAlign w:val="center"/>
            <w:hideMark/>
          </w:tcPr>
          <w:p w14:paraId="05F7930A"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tcBorders>
              <w:bottom w:val="single" w:sz="4" w:space="0" w:color="BFBFBF" w:themeColor="background1" w:themeShade="BF"/>
            </w:tcBorders>
            <w:vAlign w:val="center"/>
            <w:hideMark/>
          </w:tcPr>
          <w:p w14:paraId="05D09218"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tcBorders>
              <w:bottom w:val="single" w:sz="4" w:space="0" w:color="BFBFBF" w:themeColor="background1" w:themeShade="BF"/>
            </w:tcBorders>
            <w:vAlign w:val="center"/>
            <w:hideMark/>
          </w:tcPr>
          <w:p w14:paraId="2D8163AF" w14:textId="77777777" w:rsidR="00AC631C" w:rsidRPr="000C70F3" w:rsidRDefault="00AC631C" w:rsidP="003926FC">
            <w:pPr>
              <w:spacing w:after="0" w:line="240" w:lineRule="auto"/>
              <w:rPr>
                <w:rFonts w:asciiTheme="minorHAnsi" w:eastAsia="Times New Roman" w:hAnsiTheme="minorHAnsi" w:cstheme="minorHAnsi"/>
                <w:b/>
                <w:bCs/>
                <w:color w:val="C00000"/>
                <w:sz w:val="16"/>
                <w:szCs w:val="16"/>
                <w:lang w:eastAsia="pt-BR"/>
              </w:rPr>
            </w:pPr>
          </w:p>
        </w:tc>
        <w:tc>
          <w:tcPr>
            <w:tcW w:w="0" w:type="auto"/>
            <w:vMerge/>
            <w:vAlign w:val="center"/>
            <w:hideMark/>
          </w:tcPr>
          <w:p w14:paraId="57D9F68E"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6385D284" w14:textId="77777777" w:rsidTr="003926FC">
        <w:trPr>
          <w:trHeight w:val="20"/>
        </w:trPr>
        <w:tc>
          <w:tcPr>
            <w:tcW w:w="0" w:type="auto"/>
            <w:vMerge w:val="restart"/>
            <w:shd w:val="clear" w:color="auto" w:fill="auto"/>
            <w:vAlign w:val="center"/>
            <w:hideMark/>
          </w:tcPr>
          <w:p w14:paraId="79E95F12"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Execução Orçamentária e Financeira</w:t>
            </w:r>
          </w:p>
        </w:tc>
        <w:tc>
          <w:tcPr>
            <w:tcW w:w="1319" w:type="dxa"/>
            <w:shd w:val="clear" w:color="auto" w:fill="auto"/>
            <w:vAlign w:val="center"/>
            <w:hideMark/>
          </w:tcPr>
          <w:p w14:paraId="08F139F1"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Financeira e Orçamentária</w:t>
            </w:r>
          </w:p>
        </w:tc>
        <w:tc>
          <w:tcPr>
            <w:tcW w:w="850" w:type="dxa"/>
            <w:shd w:val="clear" w:color="auto" w:fill="auto"/>
            <w:vAlign w:val="center"/>
            <w:hideMark/>
          </w:tcPr>
          <w:p w14:paraId="29488488"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12</w:t>
            </w:r>
          </w:p>
        </w:tc>
        <w:tc>
          <w:tcPr>
            <w:tcW w:w="0" w:type="auto"/>
            <w:shd w:val="clear" w:color="auto" w:fill="auto"/>
            <w:vAlign w:val="center"/>
            <w:hideMark/>
          </w:tcPr>
          <w:p w14:paraId="5E110ECD"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19</w:t>
            </w:r>
          </w:p>
        </w:tc>
        <w:tc>
          <w:tcPr>
            <w:tcW w:w="0" w:type="auto"/>
            <w:shd w:val="clear" w:color="auto" w:fill="auto"/>
            <w:vAlign w:val="center"/>
            <w:hideMark/>
          </w:tcPr>
          <w:p w14:paraId="4F71AD8E"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63%</w:t>
            </w:r>
          </w:p>
        </w:tc>
        <w:tc>
          <w:tcPr>
            <w:tcW w:w="0" w:type="auto"/>
            <w:vMerge w:val="restart"/>
            <w:shd w:val="clear" w:color="auto" w:fill="auto"/>
            <w:vAlign w:val="center"/>
            <w:hideMark/>
          </w:tcPr>
          <w:p w14:paraId="571C0DAE"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Execução Orçamentária e Financeira</w:t>
            </w:r>
          </w:p>
        </w:tc>
        <w:tc>
          <w:tcPr>
            <w:tcW w:w="0" w:type="auto"/>
            <w:vMerge w:val="restart"/>
            <w:shd w:val="clear" w:color="auto" w:fill="auto"/>
            <w:vAlign w:val="center"/>
            <w:hideMark/>
          </w:tcPr>
          <w:p w14:paraId="6A45B808" w14:textId="77777777" w:rsidR="00AC631C" w:rsidRPr="00E233B4" w:rsidRDefault="00AC631C" w:rsidP="003926FC">
            <w:pPr>
              <w:spacing w:after="0" w:line="240" w:lineRule="auto"/>
              <w:jc w:val="center"/>
              <w:rPr>
                <w:rFonts w:asciiTheme="minorHAnsi" w:eastAsia="Times New Roman" w:hAnsiTheme="minorHAnsi" w:cstheme="minorHAnsi"/>
                <w:b/>
                <w:bCs/>
                <w:sz w:val="16"/>
                <w:szCs w:val="16"/>
                <w:lang w:eastAsia="pt-BR"/>
              </w:rPr>
            </w:pPr>
            <w:r w:rsidRPr="00E233B4">
              <w:rPr>
                <w:rFonts w:asciiTheme="minorHAnsi" w:eastAsia="Times New Roman" w:hAnsiTheme="minorHAnsi" w:cstheme="minorHAnsi"/>
                <w:b/>
                <w:bCs/>
                <w:sz w:val="16"/>
                <w:szCs w:val="16"/>
                <w:lang w:eastAsia="pt-BR"/>
              </w:rPr>
              <w:t>54%</w:t>
            </w:r>
          </w:p>
        </w:tc>
        <w:tc>
          <w:tcPr>
            <w:tcW w:w="0" w:type="auto"/>
            <w:vMerge w:val="restart"/>
            <w:shd w:val="clear" w:color="auto" w:fill="auto"/>
            <w:vAlign w:val="center"/>
            <w:hideMark/>
          </w:tcPr>
          <w:p w14:paraId="0FB1F35C" w14:textId="77777777" w:rsidR="00AC631C" w:rsidRPr="000C70F3" w:rsidRDefault="00AC631C" w:rsidP="003926FC">
            <w:pPr>
              <w:spacing w:after="0" w:line="240" w:lineRule="auto"/>
              <w:jc w:val="center"/>
              <w:rPr>
                <w:rFonts w:asciiTheme="minorHAnsi" w:eastAsia="Times New Roman" w:hAnsiTheme="minorHAnsi" w:cstheme="minorHAnsi"/>
                <w:b/>
                <w:bCs/>
                <w:color w:val="C00000"/>
                <w:sz w:val="16"/>
                <w:szCs w:val="16"/>
                <w:lang w:eastAsia="pt-BR"/>
              </w:rPr>
            </w:pPr>
            <w:r w:rsidRPr="000C70F3">
              <w:rPr>
                <w:rFonts w:asciiTheme="minorHAnsi" w:eastAsia="Times New Roman" w:hAnsiTheme="minorHAnsi" w:cstheme="minorHAnsi"/>
                <w:b/>
                <w:bCs/>
                <w:color w:val="C00000"/>
                <w:sz w:val="16"/>
                <w:szCs w:val="16"/>
                <w:lang w:eastAsia="pt-BR"/>
              </w:rPr>
              <w:t>Intermediário</w:t>
            </w:r>
          </w:p>
        </w:tc>
        <w:tc>
          <w:tcPr>
            <w:tcW w:w="0" w:type="auto"/>
            <w:vMerge/>
            <w:vAlign w:val="center"/>
            <w:hideMark/>
          </w:tcPr>
          <w:p w14:paraId="38D1CBD7"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73D6C160" w14:textId="77777777" w:rsidTr="003926FC">
        <w:trPr>
          <w:trHeight w:val="20"/>
        </w:trPr>
        <w:tc>
          <w:tcPr>
            <w:tcW w:w="0" w:type="auto"/>
            <w:vMerge/>
            <w:shd w:val="clear" w:color="auto" w:fill="auto"/>
            <w:vAlign w:val="center"/>
            <w:hideMark/>
          </w:tcPr>
          <w:p w14:paraId="1FEA02DF"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6F7CF495"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Político-Institucional</w:t>
            </w:r>
          </w:p>
        </w:tc>
        <w:tc>
          <w:tcPr>
            <w:tcW w:w="850" w:type="dxa"/>
            <w:shd w:val="clear" w:color="auto" w:fill="auto"/>
            <w:vAlign w:val="center"/>
            <w:hideMark/>
          </w:tcPr>
          <w:p w14:paraId="27BFF496"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2</w:t>
            </w:r>
          </w:p>
        </w:tc>
        <w:tc>
          <w:tcPr>
            <w:tcW w:w="0" w:type="auto"/>
            <w:shd w:val="clear" w:color="auto" w:fill="auto"/>
            <w:vAlign w:val="center"/>
            <w:hideMark/>
          </w:tcPr>
          <w:p w14:paraId="0A16ED18"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2</w:t>
            </w:r>
          </w:p>
        </w:tc>
        <w:tc>
          <w:tcPr>
            <w:tcW w:w="0" w:type="auto"/>
            <w:shd w:val="clear" w:color="auto" w:fill="auto"/>
            <w:vAlign w:val="center"/>
            <w:hideMark/>
          </w:tcPr>
          <w:p w14:paraId="2C9279F3"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100%</w:t>
            </w:r>
          </w:p>
        </w:tc>
        <w:tc>
          <w:tcPr>
            <w:tcW w:w="0" w:type="auto"/>
            <w:vMerge/>
            <w:vAlign w:val="center"/>
            <w:hideMark/>
          </w:tcPr>
          <w:p w14:paraId="0A5D3D04"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35FA7ED9"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65E10DBE"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05D913BC"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392D0D3E" w14:textId="77777777" w:rsidTr="003926FC">
        <w:trPr>
          <w:trHeight w:val="20"/>
        </w:trPr>
        <w:tc>
          <w:tcPr>
            <w:tcW w:w="0" w:type="auto"/>
            <w:vMerge/>
            <w:shd w:val="clear" w:color="auto" w:fill="auto"/>
            <w:vAlign w:val="center"/>
          </w:tcPr>
          <w:p w14:paraId="10C574EB"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0223045C"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Avaliativa</w:t>
            </w:r>
          </w:p>
        </w:tc>
        <w:tc>
          <w:tcPr>
            <w:tcW w:w="850" w:type="dxa"/>
            <w:shd w:val="clear" w:color="auto" w:fill="auto"/>
            <w:vAlign w:val="center"/>
            <w:hideMark/>
          </w:tcPr>
          <w:p w14:paraId="146AFE9D"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0</w:t>
            </w:r>
          </w:p>
        </w:tc>
        <w:tc>
          <w:tcPr>
            <w:tcW w:w="0" w:type="auto"/>
            <w:shd w:val="clear" w:color="auto" w:fill="auto"/>
            <w:vAlign w:val="center"/>
            <w:hideMark/>
          </w:tcPr>
          <w:p w14:paraId="67B6818F"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14</w:t>
            </w:r>
          </w:p>
        </w:tc>
        <w:tc>
          <w:tcPr>
            <w:tcW w:w="0" w:type="auto"/>
            <w:shd w:val="clear" w:color="auto" w:fill="auto"/>
            <w:vAlign w:val="center"/>
            <w:hideMark/>
          </w:tcPr>
          <w:p w14:paraId="5F954874"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0%</w:t>
            </w:r>
          </w:p>
        </w:tc>
        <w:tc>
          <w:tcPr>
            <w:tcW w:w="0" w:type="auto"/>
            <w:vMerge/>
            <w:vAlign w:val="center"/>
            <w:hideMark/>
          </w:tcPr>
          <w:p w14:paraId="7D096D7E"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6DBA756E"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2537E424"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6C37F132"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5E5BCDE8" w14:textId="77777777" w:rsidTr="003926FC">
        <w:trPr>
          <w:trHeight w:val="20"/>
        </w:trPr>
        <w:tc>
          <w:tcPr>
            <w:tcW w:w="0" w:type="auto"/>
            <w:vMerge/>
            <w:shd w:val="clear" w:color="auto" w:fill="auto"/>
            <w:vAlign w:val="center"/>
          </w:tcPr>
          <w:p w14:paraId="1061C397"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119936F3"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Participativa e de Transparência</w:t>
            </w:r>
          </w:p>
        </w:tc>
        <w:tc>
          <w:tcPr>
            <w:tcW w:w="850" w:type="dxa"/>
            <w:shd w:val="clear" w:color="auto" w:fill="auto"/>
            <w:vAlign w:val="center"/>
            <w:hideMark/>
          </w:tcPr>
          <w:p w14:paraId="3DDDB981"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4</w:t>
            </w:r>
          </w:p>
        </w:tc>
        <w:tc>
          <w:tcPr>
            <w:tcW w:w="0" w:type="auto"/>
            <w:shd w:val="clear" w:color="auto" w:fill="auto"/>
            <w:vAlign w:val="center"/>
            <w:hideMark/>
          </w:tcPr>
          <w:p w14:paraId="7E2270A9"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8</w:t>
            </w:r>
          </w:p>
        </w:tc>
        <w:tc>
          <w:tcPr>
            <w:tcW w:w="0" w:type="auto"/>
            <w:shd w:val="clear" w:color="auto" w:fill="auto"/>
            <w:vAlign w:val="center"/>
            <w:hideMark/>
          </w:tcPr>
          <w:p w14:paraId="0A490BB1"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50%</w:t>
            </w:r>
          </w:p>
        </w:tc>
        <w:tc>
          <w:tcPr>
            <w:tcW w:w="0" w:type="auto"/>
            <w:vMerge/>
            <w:vAlign w:val="center"/>
            <w:hideMark/>
          </w:tcPr>
          <w:p w14:paraId="2F52485D"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02AEE112"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09FD1562"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4D29F9AA"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r w:rsidR="00AC631C" w:rsidRPr="00E233B4" w14:paraId="205113A5" w14:textId="77777777" w:rsidTr="003926FC">
        <w:trPr>
          <w:trHeight w:val="20"/>
        </w:trPr>
        <w:tc>
          <w:tcPr>
            <w:tcW w:w="0" w:type="auto"/>
            <w:vMerge/>
            <w:shd w:val="clear" w:color="auto" w:fill="auto"/>
            <w:vAlign w:val="center"/>
          </w:tcPr>
          <w:p w14:paraId="02F72210"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5DE27F0D" w14:textId="77777777" w:rsidR="00AC631C" w:rsidRPr="00E233B4" w:rsidRDefault="00AC631C" w:rsidP="003926FC">
            <w:pPr>
              <w:spacing w:after="0" w:line="240" w:lineRule="auto"/>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Institucional e Organizacional</w:t>
            </w:r>
          </w:p>
        </w:tc>
        <w:tc>
          <w:tcPr>
            <w:tcW w:w="850" w:type="dxa"/>
            <w:shd w:val="clear" w:color="auto" w:fill="auto"/>
            <w:vAlign w:val="center"/>
            <w:hideMark/>
          </w:tcPr>
          <w:p w14:paraId="5530FB40"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w:t>
            </w:r>
          </w:p>
        </w:tc>
        <w:tc>
          <w:tcPr>
            <w:tcW w:w="0" w:type="auto"/>
            <w:tcBorders>
              <w:bottom w:val="single" w:sz="4" w:space="0" w:color="BFBFBF" w:themeColor="background1" w:themeShade="BF"/>
            </w:tcBorders>
            <w:shd w:val="clear" w:color="auto" w:fill="auto"/>
            <w:vAlign w:val="center"/>
            <w:hideMark/>
          </w:tcPr>
          <w:p w14:paraId="5323BBD0" w14:textId="77777777" w:rsidR="00AC631C" w:rsidRPr="00E233B4" w:rsidRDefault="00AC631C" w:rsidP="003926FC">
            <w:pPr>
              <w:spacing w:after="0" w:line="240" w:lineRule="auto"/>
              <w:jc w:val="center"/>
              <w:rPr>
                <w:rFonts w:asciiTheme="minorHAnsi" w:eastAsia="Times New Roman" w:hAnsiTheme="minorHAnsi" w:cstheme="minorHAnsi"/>
                <w:b/>
                <w:bCs/>
                <w:i/>
                <w:iCs/>
                <w:sz w:val="16"/>
                <w:szCs w:val="16"/>
                <w:lang w:eastAsia="pt-BR"/>
              </w:rPr>
            </w:pPr>
            <w:r w:rsidRPr="00E233B4">
              <w:rPr>
                <w:rFonts w:asciiTheme="minorHAnsi" w:eastAsia="Times New Roman" w:hAnsiTheme="minorHAnsi" w:cstheme="minorHAnsi"/>
                <w:b/>
                <w:bCs/>
                <w:i/>
                <w:iCs/>
                <w:sz w:val="16"/>
                <w:szCs w:val="16"/>
                <w:lang w:eastAsia="pt-BR"/>
              </w:rPr>
              <w:t>9</w:t>
            </w:r>
          </w:p>
        </w:tc>
        <w:tc>
          <w:tcPr>
            <w:tcW w:w="0" w:type="auto"/>
            <w:tcBorders>
              <w:bottom w:val="single" w:sz="4" w:space="0" w:color="BFBFBF" w:themeColor="background1" w:themeShade="BF"/>
            </w:tcBorders>
            <w:shd w:val="clear" w:color="auto" w:fill="auto"/>
            <w:vAlign w:val="center"/>
            <w:hideMark/>
          </w:tcPr>
          <w:p w14:paraId="1CE8F42E" w14:textId="77777777" w:rsidR="00AC631C" w:rsidRPr="00E233B4" w:rsidRDefault="00AC631C" w:rsidP="003926FC">
            <w:pPr>
              <w:spacing w:after="0" w:line="240" w:lineRule="auto"/>
              <w:jc w:val="center"/>
              <w:rPr>
                <w:rFonts w:asciiTheme="minorHAnsi" w:eastAsia="Times New Roman" w:hAnsiTheme="minorHAnsi" w:cstheme="minorHAnsi"/>
                <w:sz w:val="16"/>
                <w:szCs w:val="16"/>
                <w:lang w:eastAsia="pt-BR"/>
              </w:rPr>
            </w:pPr>
            <w:r w:rsidRPr="00E233B4">
              <w:rPr>
                <w:rFonts w:asciiTheme="minorHAnsi" w:eastAsia="Times New Roman" w:hAnsiTheme="minorHAnsi" w:cstheme="minorHAnsi"/>
                <w:sz w:val="16"/>
                <w:szCs w:val="16"/>
                <w:lang w:eastAsia="pt-BR"/>
              </w:rPr>
              <w:t>56%</w:t>
            </w:r>
          </w:p>
        </w:tc>
        <w:tc>
          <w:tcPr>
            <w:tcW w:w="0" w:type="auto"/>
            <w:vMerge/>
            <w:tcBorders>
              <w:bottom w:val="single" w:sz="4" w:space="0" w:color="BFBFBF" w:themeColor="background1" w:themeShade="BF"/>
            </w:tcBorders>
            <w:vAlign w:val="center"/>
            <w:hideMark/>
          </w:tcPr>
          <w:p w14:paraId="2FEC457B"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tcBorders>
              <w:bottom w:val="single" w:sz="4" w:space="0" w:color="BFBFBF" w:themeColor="background1" w:themeShade="BF"/>
            </w:tcBorders>
            <w:vAlign w:val="center"/>
            <w:hideMark/>
          </w:tcPr>
          <w:p w14:paraId="16323F13"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tcBorders>
              <w:bottom w:val="single" w:sz="4" w:space="0" w:color="BFBFBF" w:themeColor="background1" w:themeShade="BF"/>
            </w:tcBorders>
            <w:vAlign w:val="center"/>
            <w:hideMark/>
          </w:tcPr>
          <w:p w14:paraId="20AA8901"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c>
          <w:tcPr>
            <w:tcW w:w="0" w:type="auto"/>
            <w:vMerge/>
            <w:tcBorders>
              <w:bottom w:val="single" w:sz="4" w:space="0" w:color="BFBFBF" w:themeColor="background1" w:themeShade="BF"/>
            </w:tcBorders>
            <w:vAlign w:val="center"/>
            <w:hideMark/>
          </w:tcPr>
          <w:p w14:paraId="4956C1AE" w14:textId="77777777" w:rsidR="00AC631C" w:rsidRPr="00E233B4" w:rsidRDefault="00AC631C" w:rsidP="003926FC">
            <w:pPr>
              <w:spacing w:after="0" w:line="240" w:lineRule="auto"/>
              <w:rPr>
                <w:rFonts w:asciiTheme="minorHAnsi" w:eastAsia="Times New Roman" w:hAnsiTheme="minorHAnsi" w:cstheme="minorHAnsi"/>
                <w:b/>
                <w:bCs/>
                <w:sz w:val="16"/>
                <w:szCs w:val="16"/>
                <w:lang w:eastAsia="pt-BR"/>
              </w:rPr>
            </w:pPr>
          </w:p>
        </w:tc>
      </w:tr>
    </w:tbl>
    <w:p w14:paraId="616B55D7" w14:textId="77777777" w:rsidR="00AC631C" w:rsidRDefault="00AC631C" w:rsidP="00AC631C">
      <w:pPr>
        <w:pStyle w:val="PargrafodaLista"/>
        <w:spacing w:line="240" w:lineRule="auto"/>
        <w:ind w:firstLine="0"/>
        <w:rPr>
          <w:sz w:val="20"/>
        </w:rPr>
      </w:pPr>
      <w:r w:rsidRPr="00D10A6C">
        <w:rPr>
          <w:sz w:val="20"/>
        </w:rPr>
        <w:t>Fonte: Elaboração própria.</w:t>
      </w:r>
    </w:p>
    <w:p w14:paraId="67E63973" w14:textId="77777777" w:rsidR="003926FC" w:rsidRPr="003926FC" w:rsidRDefault="003926FC" w:rsidP="003926FC">
      <w:pPr>
        <w:pStyle w:val="PargrafodaLista"/>
        <w:rPr>
          <w:rFonts w:ascii="Times New Roman" w:hAnsi="Times New Roman" w:cs="Times New Roman"/>
        </w:rPr>
      </w:pPr>
      <w:r w:rsidRPr="003926FC">
        <w:rPr>
          <w:rFonts w:ascii="Times New Roman" w:hAnsi="Times New Roman" w:cs="Times New Roman"/>
        </w:rPr>
        <w:lastRenderedPageBreak/>
        <w:t>No que se refere às ações de contingência, a metodologia sugere mecanismos capazes de evitar paralisações ou distorções na gestão do Fundo. Entre essas medidas, destaca-se a aprovação de plano de ação emergencial nos casos em que o planejamento regular não seja elaborado tempestivamente. Também se recomenda a recomposição imediata das cadeiras do Conselho sempre que forem identificados desequilíbrios na representação institucional. Além disso, propõe-se a reprogramação das ações orçamentárias em situações de subexecução, garantindo que os recursos sejam redirecionados para iniciativas diretamente relacionadas ao combate à pobreza.</w:t>
      </w:r>
    </w:p>
    <w:p w14:paraId="34B2E810" w14:textId="77777777" w:rsidR="003926FC" w:rsidRDefault="003926FC" w:rsidP="003926FC">
      <w:pPr>
        <w:pStyle w:val="PargrafodaLista"/>
        <w:rPr>
          <w:rFonts w:ascii="Times New Roman" w:hAnsi="Times New Roman" w:cs="Times New Roman"/>
        </w:rPr>
      </w:pPr>
      <w:r w:rsidRPr="003926FC">
        <w:rPr>
          <w:rFonts w:ascii="Times New Roman" w:hAnsi="Times New Roman" w:cs="Times New Roman"/>
        </w:rPr>
        <w:t>Por fim, as recomendações estratégicas, alinhadas às orientações dos órgãos de controle, enfatizam a necessidade de fortalecer o papel institucional do Conselho. Sugere-se que sua atuação ultrapasse a função meramente formal de aprovação de propostas e passe a assumir caráter mais coordenador e estratégico na formulação das políticas financiadas pelo Fundo. Nesse sentido, recomenda-se o desenvolvimento de critérios objetivos para a seleção de programas e ações financiadas, priorizando iniciativas capazes de demonstrar efetividade na redução da pobreza. De modo complementar, destaca-se a importância de instituir indicadores de monitoramento e ampliar a transparência ativa sobre a arrecadação, a aplicação dos recursos e os resultados alcançados, de forma a reforçar a accountability e a legitimidade da política pública.</w:t>
      </w:r>
    </w:p>
    <w:p w14:paraId="4053ACAB" w14:textId="77777777" w:rsidR="003926FC" w:rsidRDefault="003926FC" w:rsidP="003926FC">
      <w:pPr>
        <w:pStyle w:val="PargrafodaLista"/>
        <w:rPr>
          <w:rFonts w:ascii="Times New Roman" w:hAnsi="Times New Roman" w:cs="Times New Roman"/>
        </w:rPr>
      </w:pPr>
    </w:p>
    <w:p w14:paraId="3CCAC755" w14:textId="3614CC51" w:rsidR="00304FE4" w:rsidRPr="00A04B57" w:rsidRDefault="00304FE4" w:rsidP="00DB0181">
      <w:pPr>
        <w:pStyle w:val="Ttulo2"/>
      </w:pPr>
      <w:bookmarkStart w:id="26" w:name="_Toc210051171"/>
      <w:bookmarkStart w:id="27" w:name="_Toc210287329"/>
      <w:r w:rsidRPr="00A04B57">
        <w:t>Estado do Rio de Janeiro</w:t>
      </w:r>
      <w:bookmarkEnd w:id="26"/>
      <w:bookmarkEnd w:id="27"/>
    </w:p>
    <w:p w14:paraId="5F290480" w14:textId="7BAB2E9E" w:rsidR="00A64FD4" w:rsidRPr="00A04B57" w:rsidRDefault="00A64FD4" w:rsidP="00B40789">
      <w:pPr>
        <w:spacing w:after="0" w:line="360" w:lineRule="auto"/>
        <w:ind w:firstLine="709"/>
        <w:jc w:val="both"/>
        <w:rPr>
          <w:rFonts w:ascii="Times New Roman" w:hAnsi="Times New Roman" w:cs="Times New Roman"/>
        </w:rPr>
      </w:pPr>
      <w:r w:rsidRPr="00A04B57">
        <w:rPr>
          <w:rFonts w:ascii="Times New Roman" w:hAnsi="Times New Roman" w:cs="Times New Roman"/>
        </w:rPr>
        <w:t>O Estado do Rio de Janeiro, unidade federativa de relevância econômica</w:t>
      </w:r>
      <w:r w:rsidR="00BE48ED" w:rsidRPr="00A04B57">
        <w:rPr>
          <w:rFonts w:ascii="Times New Roman" w:hAnsi="Times New Roman" w:cs="Times New Roman"/>
        </w:rPr>
        <w:t xml:space="preserve"> e política no cenário nacional</w:t>
      </w:r>
      <w:r w:rsidRPr="00A04B57">
        <w:rPr>
          <w:rFonts w:ascii="Times New Roman" w:hAnsi="Times New Roman" w:cs="Times New Roman"/>
        </w:rPr>
        <w:t>, concentra cerca de 17,6 milhões de habitantes distribuídos em 92 municípios (IBGE, 2023). Apesar de representar uma das maiores economias estaduais e de ter participação significativa no PIB nacional</w:t>
      </w:r>
      <w:r w:rsidR="00BE48ED" w:rsidRPr="00A04B57">
        <w:rPr>
          <w:rFonts w:ascii="Times New Roman" w:hAnsi="Times New Roman" w:cs="Times New Roman"/>
        </w:rPr>
        <w:t xml:space="preserve"> (11,4%, em 2022)</w:t>
      </w:r>
      <w:r w:rsidR="00BE48ED" w:rsidRPr="00A04B57">
        <w:rPr>
          <w:rStyle w:val="Refdenotaderodap"/>
          <w:rFonts w:ascii="Times New Roman" w:hAnsi="Times New Roman" w:cs="Times New Roman"/>
        </w:rPr>
        <w:footnoteReference w:id="14"/>
      </w:r>
      <w:r w:rsidRPr="00A04B57">
        <w:rPr>
          <w:rFonts w:ascii="Times New Roman" w:hAnsi="Times New Roman" w:cs="Times New Roman"/>
        </w:rPr>
        <w:t>, os indicadores sociais revelam desigualdades persistentes</w:t>
      </w:r>
      <w:r w:rsidR="00BE48ED" w:rsidRPr="00A04B57">
        <w:rPr>
          <w:rFonts w:ascii="Times New Roman" w:hAnsi="Times New Roman" w:cs="Times New Roman"/>
        </w:rPr>
        <w:t xml:space="preserve"> e estruturais</w:t>
      </w:r>
      <w:r w:rsidRPr="00A04B57">
        <w:rPr>
          <w:rFonts w:ascii="Times New Roman" w:hAnsi="Times New Roman" w:cs="Times New Roman"/>
        </w:rPr>
        <w:t xml:space="preserve">. </w:t>
      </w:r>
    </w:p>
    <w:p w14:paraId="05227BFC" w14:textId="2A381C3E" w:rsidR="00BE48ED" w:rsidRPr="00A04B57" w:rsidRDefault="00A64FD4" w:rsidP="00B40789">
      <w:pPr>
        <w:spacing w:after="0" w:line="360" w:lineRule="auto"/>
        <w:ind w:firstLine="709"/>
        <w:jc w:val="both"/>
        <w:rPr>
          <w:rFonts w:ascii="Times New Roman" w:hAnsi="Times New Roman" w:cs="Times New Roman"/>
        </w:rPr>
      </w:pPr>
      <w:r w:rsidRPr="00A04B57">
        <w:rPr>
          <w:rFonts w:ascii="Times New Roman" w:hAnsi="Times New Roman" w:cs="Times New Roman"/>
        </w:rPr>
        <w:t>Em agosto de 2025</w:t>
      </w:r>
      <w:r w:rsidRPr="00A04B57">
        <w:rPr>
          <w:rStyle w:val="Refdenotaderodap"/>
          <w:rFonts w:ascii="Times New Roman" w:hAnsi="Times New Roman" w:cs="Times New Roman"/>
        </w:rPr>
        <w:footnoteReference w:id="15"/>
      </w:r>
      <w:r w:rsidRPr="00A04B57">
        <w:rPr>
          <w:rFonts w:ascii="Times New Roman" w:hAnsi="Times New Roman" w:cs="Times New Roman"/>
        </w:rPr>
        <w:t xml:space="preserve">, </w:t>
      </w:r>
      <w:r w:rsidR="00BE48ED" w:rsidRPr="00A04B57">
        <w:rPr>
          <w:rFonts w:ascii="Times New Roman" w:hAnsi="Times New Roman" w:cs="Times New Roman"/>
        </w:rPr>
        <w:t xml:space="preserve">os dados do Cadastro Único evidenciaram que 5,08 milhões de pessoas (correspondentes a 28,81% da população fluminense) viviam em famílias com renda de até um salário mínimo. Quando somados os grupos de até dois salários mínimos, o contingente alcança 6,17 milhões de indivíduos, representando 35,02% da população. Em </w:t>
      </w:r>
      <w:r w:rsidR="00BE48ED" w:rsidRPr="00A04B57">
        <w:rPr>
          <w:rFonts w:ascii="Times New Roman" w:hAnsi="Times New Roman" w:cs="Times New Roman"/>
        </w:rPr>
        <w:lastRenderedPageBreak/>
        <w:t xml:space="preserve">contraste, apenas 8% declararam renda superior a dois salários mínimos e um percentual residual de 3% situava-se acima da faixa de três salários. </w:t>
      </w:r>
    </w:p>
    <w:p w14:paraId="38B52439" w14:textId="77777777" w:rsidR="00D72897" w:rsidRPr="00A04B57" w:rsidRDefault="00D72897" w:rsidP="00B40789">
      <w:pPr>
        <w:spacing w:after="0" w:line="360" w:lineRule="auto"/>
        <w:ind w:firstLine="709"/>
        <w:jc w:val="both"/>
        <w:rPr>
          <w:rFonts w:ascii="Times New Roman" w:hAnsi="Times New Roman" w:cs="Times New Roman"/>
        </w:rPr>
      </w:pPr>
    </w:p>
    <w:p w14:paraId="7E738AD1" w14:textId="51D82CF4" w:rsidR="00EE1CC7" w:rsidRPr="004E368A" w:rsidRDefault="00A64FD4" w:rsidP="004E368A">
      <w:pPr>
        <w:spacing w:line="240" w:lineRule="auto"/>
        <w:rPr>
          <w:rFonts w:ascii="Times New Roman" w:hAnsi="Times New Roman" w:cs="Times New Roman"/>
          <w:sz w:val="20"/>
        </w:rPr>
      </w:pPr>
      <w:r w:rsidRPr="004E368A">
        <w:rPr>
          <w:rFonts w:ascii="Times New Roman" w:hAnsi="Times New Roman" w:cs="Times New Roman"/>
          <w:noProof/>
          <w:sz w:val="20"/>
          <w:lang w:eastAsia="pt-BR"/>
        </w:rPr>
        <w:drawing>
          <wp:inline distT="0" distB="0" distL="0" distR="0" wp14:anchorId="6D416953" wp14:editId="33B479A4">
            <wp:extent cx="5760085" cy="68961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689610"/>
                    </a:xfrm>
                    <a:prstGeom prst="rect">
                      <a:avLst/>
                    </a:prstGeom>
                  </pic:spPr>
                </pic:pic>
              </a:graphicData>
            </a:graphic>
          </wp:inline>
        </w:drawing>
      </w:r>
    </w:p>
    <w:p w14:paraId="31A16BF6" w14:textId="372DDC8F" w:rsidR="00EE1CC7" w:rsidRDefault="00EE1CC7" w:rsidP="004E368A">
      <w:pPr>
        <w:spacing w:line="240" w:lineRule="auto"/>
        <w:rPr>
          <w:rFonts w:ascii="Times New Roman" w:hAnsi="Times New Roman" w:cs="Times New Roman"/>
          <w:sz w:val="20"/>
        </w:rPr>
      </w:pPr>
      <w:r w:rsidRPr="004E368A">
        <w:rPr>
          <w:rFonts w:ascii="Times New Roman" w:hAnsi="Times New Roman" w:cs="Times New Roman"/>
          <w:sz w:val="20"/>
        </w:rPr>
        <w:t>Fonte: Pessoas inscritas no Cadastro Único – agosto de 2025. Secretaria de Avaliação, Gestão da Informação e Cadastro Único.</w:t>
      </w:r>
    </w:p>
    <w:p w14:paraId="7573245A" w14:textId="77777777" w:rsidR="004E368A" w:rsidRPr="004E368A" w:rsidRDefault="004E368A" w:rsidP="004E368A">
      <w:pPr>
        <w:spacing w:line="240" w:lineRule="auto"/>
        <w:rPr>
          <w:rFonts w:ascii="Times New Roman" w:hAnsi="Times New Roman" w:cs="Times New Roman"/>
          <w:sz w:val="20"/>
        </w:rPr>
      </w:pPr>
    </w:p>
    <w:p w14:paraId="55FEC171" w14:textId="19865CA0" w:rsidR="00EE1CC7" w:rsidRPr="00A04B57" w:rsidRDefault="00EE1CC7" w:rsidP="00B40789">
      <w:pPr>
        <w:spacing w:line="360" w:lineRule="auto"/>
        <w:rPr>
          <w:rFonts w:ascii="Times New Roman" w:hAnsi="Times New Roman" w:cs="Times New Roman"/>
        </w:rPr>
      </w:pPr>
      <w:r w:rsidRPr="00A04B57">
        <w:rPr>
          <w:rFonts w:ascii="Times New Roman" w:hAnsi="Times New Roman" w:cs="Times New Roman"/>
          <w:noProof/>
          <w:lang w:eastAsia="pt-BR"/>
        </w:rPr>
        <w:drawing>
          <wp:inline distT="0" distB="0" distL="0" distR="0" wp14:anchorId="529C25D0" wp14:editId="08BB4C93">
            <wp:extent cx="5760085" cy="1860550"/>
            <wp:effectExtent l="0" t="0" r="0" b="635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1860550"/>
                    </a:xfrm>
                    <a:prstGeom prst="rect">
                      <a:avLst/>
                    </a:prstGeom>
                  </pic:spPr>
                </pic:pic>
              </a:graphicData>
            </a:graphic>
          </wp:inline>
        </w:drawing>
      </w:r>
    </w:p>
    <w:p w14:paraId="2115EA46" w14:textId="77777777" w:rsidR="003C6085" w:rsidRDefault="00B64C79" w:rsidP="003C6085">
      <w:pPr>
        <w:spacing w:after="0" w:line="360" w:lineRule="auto"/>
        <w:ind w:firstLine="709"/>
        <w:jc w:val="both"/>
        <w:rPr>
          <w:rFonts w:ascii="Times New Roman" w:hAnsi="Times New Roman" w:cs="Times New Roman"/>
        </w:rPr>
      </w:pPr>
      <w:r w:rsidRPr="00A04B57">
        <w:rPr>
          <w:rFonts w:ascii="Times New Roman" w:hAnsi="Times New Roman" w:cs="Times New Roman"/>
        </w:rPr>
        <w:t>Esse panorama, significativamente mais crítico do que aquele observado entre 2013 e 2019, sugere que a pobreza no estado adquiriu contornos mais duradouros. Nesse contexto, o diagnóstico reforça a centralidade do Fundo de Combate à Pobreza como instrumento de redistribuição de recursos e de promoção de justiça social, configurando-o como mecanismo indispensável para a mitigação das desigualdades que marcam a realidade fluminense.</w:t>
      </w:r>
    </w:p>
    <w:p w14:paraId="5B2298E1" w14:textId="3BEE204F" w:rsidR="003C6085" w:rsidRDefault="003C6085" w:rsidP="003C6085">
      <w:pPr>
        <w:spacing w:after="0" w:line="360" w:lineRule="auto"/>
        <w:ind w:firstLine="709"/>
        <w:jc w:val="both"/>
        <w:rPr>
          <w:rFonts w:ascii="Times New Roman" w:hAnsi="Times New Roman" w:cs="Times New Roman"/>
        </w:rPr>
      </w:pPr>
      <w:r>
        <w:rPr>
          <w:rFonts w:ascii="Times New Roman" w:hAnsi="Times New Roman" w:cs="Times New Roman"/>
        </w:rPr>
        <w:t xml:space="preserve">A aplicação empírica do </w:t>
      </w:r>
      <w:r w:rsidRPr="003C6085">
        <w:rPr>
          <w:rFonts w:ascii="Times New Roman" w:hAnsi="Times New Roman" w:cs="Times New Roman"/>
        </w:rPr>
        <w:t>MoMMA ao Fundo Estadual de Combate à Pobreza e às Desigualdades Sociais do Rio de Janeiro (FECP-RJ)</w:t>
      </w:r>
      <w:r>
        <w:rPr>
          <w:rFonts w:ascii="Times New Roman" w:hAnsi="Times New Roman" w:cs="Times New Roman"/>
        </w:rPr>
        <w:t xml:space="preserve"> também englobou</w:t>
      </w:r>
      <w:r w:rsidRPr="003C6085">
        <w:rPr>
          <w:rFonts w:ascii="Times New Roman" w:hAnsi="Times New Roman" w:cs="Times New Roman"/>
        </w:rPr>
        <w:t xml:space="preserve"> a execução orçamentária de 2023 a 2025, result</w:t>
      </w:r>
      <w:r>
        <w:rPr>
          <w:rFonts w:ascii="Times New Roman" w:hAnsi="Times New Roman" w:cs="Times New Roman"/>
        </w:rPr>
        <w:t>ando</w:t>
      </w:r>
      <w:r w:rsidRPr="003C6085">
        <w:rPr>
          <w:rFonts w:ascii="Times New Roman" w:hAnsi="Times New Roman" w:cs="Times New Roman"/>
        </w:rPr>
        <w:t xml:space="preserve"> em um Índice de Maturidade Global de 71%, classificando o Fundo no patamar de "Boa Maturidade".</w:t>
      </w:r>
    </w:p>
    <w:p w14:paraId="58009B96" w14:textId="28356325" w:rsidR="003C6085" w:rsidRPr="003C6085" w:rsidRDefault="003C6085" w:rsidP="003C6085">
      <w:pPr>
        <w:spacing w:after="0" w:line="360" w:lineRule="auto"/>
        <w:ind w:firstLine="709"/>
        <w:jc w:val="both"/>
        <w:rPr>
          <w:rFonts w:ascii="Times New Roman" w:hAnsi="Times New Roman" w:cs="Times New Roman"/>
        </w:rPr>
      </w:pPr>
      <w:r w:rsidRPr="003C6085">
        <w:rPr>
          <w:rFonts w:ascii="Times New Roman" w:hAnsi="Times New Roman" w:cs="Times New Roman"/>
        </w:rPr>
        <w:t>De modo semelhante a São Paulo,</w:t>
      </w:r>
      <w:r>
        <w:rPr>
          <w:rFonts w:ascii="Times New Roman" w:hAnsi="Times New Roman" w:cs="Times New Roman"/>
        </w:rPr>
        <w:t xml:space="preserve"> </w:t>
      </w:r>
      <w:r w:rsidRPr="003C6085">
        <w:rPr>
          <w:rFonts w:ascii="Times New Roman" w:hAnsi="Times New Roman" w:cs="Times New Roman"/>
        </w:rPr>
        <w:t>o FECP-RJ possui uma maturidade normativa e arrecadatória plena, mas apresenta assimetrias e fragilidades persistentes no planejamento, na governança institucional e na execução, o que compromete a conversão eficiente dos recursos em impacto social mensurável.</w:t>
      </w:r>
    </w:p>
    <w:p w14:paraId="2A5D9EC3" w14:textId="4E739303" w:rsidR="003C6085" w:rsidRDefault="003C6085" w:rsidP="003C6085">
      <w:pPr>
        <w:spacing w:after="0" w:line="360" w:lineRule="auto"/>
        <w:ind w:firstLine="709"/>
        <w:jc w:val="both"/>
        <w:rPr>
          <w:rFonts w:ascii="Times New Roman" w:hAnsi="Times New Roman" w:cs="Times New Roman"/>
        </w:rPr>
      </w:pPr>
      <w:r w:rsidRPr="003C6085">
        <w:rPr>
          <w:rFonts w:ascii="Times New Roman" w:hAnsi="Times New Roman" w:cs="Times New Roman"/>
        </w:rPr>
        <w:t>A radiografia do Fundo fluminense, segmentada pelos três eixos do modelo</w:t>
      </w:r>
      <w:r>
        <w:rPr>
          <w:rFonts w:ascii="Times New Roman" w:hAnsi="Times New Roman" w:cs="Times New Roman"/>
        </w:rPr>
        <w:t xml:space="preserve"> na Ficha Técnica</w:t>
      </w:r>
      <w:r>
        <w:rPr>
          <w:rStyle w:val="Refdenotaderodap"/>
          <w:rFonts w:ascii="Times New Roman" w:hAnsi="Times New Roman" w:cs="Times New Roman"/>
        </w:rPr>
        <w:footnoteReference w:id="16"/>
      </w:r>
      <w:r w:rsidRPr="003C6085">
        <w:rPr>
          <w:rFonts w:ascii="Times New Roman" w:hAnsi="Times New Roman" w:cs="Times New Roman"/>
        </w:rPr>
        <w:t>, evidencia as seguintes características:</w:t>
      </w:r>
    </w:p>
    <w:p w14:paraId="55CEAF24" w14:textId="395F9828" w:rsidR="00215D71" w:rsidRPr="00215D71" w:rsidRDefault="00215D71" w:rsidP="0032733E">
      <w:pPr>
        <w:pStyle w:val="PargrafodaLista"/>
        <w:numPr>
          <w:ilvl w:val="0"/>
          <w:numId w:val="48"/>
        </w:numPr>
        <w:spacing w:after="0"/>
        <w:rPr>
          <w:rFonts w:ascii="Times New Roman" w:hAnsi="Times New Roman" w:cs="Times New Roman"/>
        </w:rPr>
      </w:pPr>
      <w:r w:rsidRPr="00215D71">
        <w:rPr>
          <w:rFonts w:ascii="Times New Roman" w:hAnsi="Times New Roman" w:cs="Times New Roman"/>
        </w:rPr>
        <w:lastRenderedPageBreak/>
        <w:t xml:space="preserve">Eixo de Responsabilidade Arrecadatória (92% - Perfil Pleno) </w:t>
      </w:r>
      <w:r>
        <w:rPr>
          <w:rFonts w:ascii="Times New Roman" w:hAnsi="Times New Roman" w:cs="Times New Roman"/>
        </w:rPr>
        <w:t xml:space="preserve">- </w:t>
      </w:r>
      <w:r w:rsidRPr="00215D71">
        <w:rPr>
          <w:rFonts w:ascii="Times New Roman" w:hAnsi="Times New Roman" w:cs="Times New Roman"/>
        </w:rPr>
        <w:t>O FECP-RJ possui uma base jurídico-estrutural robusta (100%), ancorada constitucionalmente e renovada pela Lei Complementar nº 210/2023. O Fundo demonstrou alta capacidade e previsibilidade de arrecadação, atingindo as metas estipuladas. Contudo, a principal ameaça mapeada neste eixo advém da Desvinculação de Receitas (DRE), autorizada por Emenda Constitucional, que drena legalmente 30% dos recursos arrecadados (retirando cerca de R$ 4,1 bilhões do Fundo entre 2023 e 2025). Além disso, o Fundo sofre pressões para atuar como substituto de despesas ordinárias do Tesouro estadual.</w:t>
      </w:r>
    </w:p>
    <w:p w14:paraId="7FF282CD" w14:textId="420AF80D" w:rsidR="00215D71" w:rsidRPr="00215D71" w:rsidRDefault="00215D71" w:rsidP="0032733E">
      <w:pPr>
        <w:pStyle w:val="PargrafodaLista"/>
        <w:numPr>
          <w:ilvl w:val="0"/>
          <w:numId w:val="48"/>
        </w:numPr>
        <w:spacing w:after="0"/>
        <w:rPr>
          <w:rFonts w:ascii="Times New Roman" w:hAnsi="Times New Roman" w:cs="Times New Roman"/>
        </w:rPr>
      </w:pPr>
      <w:r w:rsidRPr="00215D71">
        <w:rPr>
          <w:rFonts w:ascii="Times New Roman" w:hAnsi="Times New Roman" w:cs="Times New Roman"/>
        </w:rPr>
        <w:t xml:space="preserve">Eixo de Planejamento Orçamentário (66% - Perfil Avançado) </w:t>
      </w:r>
      <w:r>
        <w:rPr>
          <w:rFonts w:ascii="Times New Roman" w:hAnsi="Times New Roman" w:cs="Times New Roman"/>
        </w:rPr>
        <w:t xml:space="preserve">- </w:t>
      </w:r>
      <w:r w:rsidRPr="00215D71">
        <w:rPr>
          <w:rFonts w:ascii="Times New Roman" w:hAnsi="Times New Roman" w:cs="Times New Roman"/>
        </w:rPr>
        <w:t>Embora o eixo tenha atingido uma nota global avançada, impulsionada pelo alinhamento das dotações (100% na dimensão financeira), a análise revelou profunda heterogeneidade. A fragilidade central do FECP-RJ reside na ausência de instrumentos basilares de governança: não foram elaborados o Plano de Ação (PA) nem o Plano de Aplicação Financeira (PAF) para o período analisado. A dimensão Político-Institucional obteve nota crítica (apenas 14%), evidenciando a ausência de articulação política estruturada para garantir a legitimidade e a continuidade do planejamento frente a agendas rotineiras de governo.</w:t>
      </w:r>
    </w:p>
    <w:p w14:paraId="42DBBA4C" w14:textId="1A771CE8" w:rsidR="00215D71" w:rsidRPr="00215D71" w:rsidRDefault="00215D71" w:rsidP="0032733E">
      <w:pPr>
        <w:pStyle w:val="PargrafodaLista"/>
        <w:numPr>
          <w:ilvl w:val="0"/>
          <w:numId w:val="48"/>
        </w:numPr>
        <w:spacing w:after="0"/>
        <w:rPr>
          <w:rFonts w:ascii="Times New Roman" w:hAnsi="Times New Roman" w:cs="Times New Roman"/>
        </w:rPr>
      </w:pPr>
      <w:r w:rsidRPr="00215D71">
        <w:rPr>
          <w:rFonts w:ascii="Times New Roman" w:hAnsi="Times New Roman" w:cs="Times New Roman"/>
        </w:rPr>
        <w:t xml:space="preserve">Eixo de Execução Orçamentária e Financeira (54% - Perfil Intermediário) </w:t>
      </w:r>
      <w:r>
        <w:rPr>
          <w:rFonts w:ascii="Times New Roman" w:hAnsi="Times New Roman" w:cs="Times New Roman"/>
        </w:rPr>
        <w:t xml:space="preserve">- </w:t>
      </w:r>
      <w:r w:rsidRPr="00215D71">
        <w:rPr>
          <w:rFonts w:ascii="Times New Roman" w:hAnsi="Times New Roman" w:cs="Times New Roman"/>
        </w:rPr>
        <w:t>A execução do Fundo fluminense caracteriza-se por oscilações e forte concentração setorial. O Fundo transformou-se no grande financiador do sistema estadual de Saúde e dos subsídios de Transporte (notadamente o Bilhete Único, que executou R$ 479 milhões apenas até agosto de 2025). Em contrapartida, políticas estritamente focalizadas na população vulnerável sofrem com cortes. O diagnóstico destacou a prática de contingenciamento (bloqueio) de recursos, que penalizou severamente programas como o de Segurança Alimentar, que teve quase metade de sua dotação bloqueada em 2025. O déficit mais grave deste eixo encontra-se na dimensão Institucional e Organizacional, que obteve nota 0% (Inexistente), refletindo a falta de um núcleo técnico permanente dedicado ao Fundo, o que pulveriza a gestão e impede o acompanhamento efetivo do custo-benefício social.</w:t>
      </w:r>
    </w:p>
    <w:p w14:paraId="68FDF08B" w14:textId="4C291092" w:rsidR="003C6085" w:rsidRDefault="003C6085" w:rsidP="003C6085">
      <w:pPr>
        <w:spacing w:after="0" w:line="360" w:lineRule="auto"/>
        <w:ind w:firstLine="709"/>
        <w:jc w:val="both"/>
        <w:rPr>
          <w:rFonts w:ascii="Times New Roman" w:hAnsi="Times New Roman" w:cs="Times New Roman"/>
        </w:rPr>
      </w:pPr>
      <w:r w:rsidRPr="003C6085">
        <w:rPr>
          <w:rFonts w:ascii="Times New Roman" w:hAnsi="Times New Roman" w:cs="Times New Roman"/>
        </w:rPr>
        <w:t>O Mapa de Crit</w:t>
      </w:r>
      <w:r w:rsidR="00215D71">
        <w:rPr>
          <w:rFonts w:ascii="Times New Roman" w:hAnsi="Times New Roman" w:cs="Times New Roman"/>
        </w:rPr>
        <w:t>icidade e Avaliação dos Riscos</w:t>
      </w:r>
      <w:r w:rsidR="00215D71">
        <w:rPr>
          <w:rStyle w:val="Refdenotaderodap"/>
          <w:rFonts w:ascii="Times New Roman" w:hAnsi="Times New Roman" w:cs="Times New Roman"/>
        </w:rPr>
        <w:footnoteReference w:id="17"/>
      </w:r>
      <w:r w:rsidR="00215D71">
        <w:rPr>
          <w:rFonts w:ascii="Times New Roman" w:hAnsi="Times New Roman" w:cs="Times New Roman"/>
        </w:rPr>
        <w:t xml:space="preserve"> </w:t>
      </w:r>
      <w:r w:rsidRPr="003C6085">
        <w:rPr>
          <w:rFonts w:ascii="Times New Roman" w:hAnsi="Times New Roman" w:cs="Times New Roman"/>
        </w:rPr>
        <w:t xml:space="preserve">identificou alta exposição do FECP-RJ a bloqueios orçamentários, judicialização e perda de legitimidade. Destacam-se os riscos classificados como "Muito Altos", como a desvinculação excessiva de receitas (Risco R28), contingenciamento de áreas blindadas (Risco R25) e a descontinuidade de serviços essenciais </w:t>
      </w:r>
      <w:r w:rsidRPr="003C6085">
        <w:rPr>
          <w:rFonts w:ascii="Times New Roman" w:hAnsi="Times New Roman" w:cs="Times New Roman"/>
        </w:rPr>
        <w:lastRenderedPageBreak/>
        <w:t>por falhas de programação (Risco R55). Como resposta, a Matriz de Recomendações</w:t>
      </w:r>
      <w:r w:rsidR="00215D71">
        <w:rPr>
          <w:rStyle w:val="Refdenotaderodap"/>
          <w:rFonts w:ascii="Times New Roman" w:hAnsi="Times New Roman" w:cs="Times New Roman"/>
        </w:rPr>
        <w:footnoteReference w:id="18"/>
      </w:r>
      <w:r w:rsidRPr="003C6085">
        <w:rPr>
          <w:rFonts w:ascii="Times New Roman" w:hAnsi="Times New Roman" w:cs="Times New Roman"/>
        </w:rPr>
        <w:t xml:space="preserve"> sugere a adoção imediata do Plano de Ação pelo Conselho Gestor, a criação de salvaguardas (blindagem) para as dotações de assistência social e a estruturação de indicadores rigorosos de impacto atrelados aos repasses.</w:t>
      </w:r>
    </w:p>
    <w:p w14:paraId="5E6D9CC9" w14:textId="77777777" w:rsidR="00215D71" w:rsidRDefault="00215D71" w:rsidP="003C6085">
      <w:pPr>
        <w:spacing w:after="0" w:line="360" w:lineRule="auto"/>
        <w:ind w:firstLine="709"/>
        <w:jc w:val="both"/>
        <w:rPr>
          <w:rFonts w:ascii="Times New Roman" w:hAnsi="Times New Roman" w:cs="Times New Roman"/>
        </w:rPr>
      </w:pPr>
    </w:p>
    <w:p w14:paraId="535CFB60" w14:textId="77777777" w:rsidR="00215D71" w:rsidRPr="00215D71" w:rsidRDefault="00215D71" w:rsidP="00215D71">
      <w:pPr>
        <w:pStyle w:val="Legenda"/>
        <w:keepNext/>
        <w:spacing w:line="240" w:lineRule="auto"/>
        <w:rPr>
          <w:rFonts w:ascii="Times New Roman" w:hAnsi="Times New Roman" w:cs="Times New Roman"/>
          <w:b w:val="0"/>
          <w:sz w:val="20"/>
        </w:rPr>
      </w:pPr>
      <w:r w:rsidRPr="00215D71">
        <w:rPr>
          <w:rFonts w:ascii="Times New Roman" w:hAnsi="Times New Roman" w:cs="Times New Roman"/>
          <w:b w:val="0"/>
          <w:sz w:val="20"/>
        </w:rPr>
        <w:t xml:space="preserve">Figura </w:t>
      </w:r>
      <w:r w:rsidRPr="00215D71">
        <w:rPr>
          <w:rFonts w:ascii="Times New Roman" w:hAnsi="Times New Roman" w:cs="Times New Roman"/>
          <w:b w:val="0"/>
          <w:sz w:val="20"/>
        </w:rPr>
        <w:fldChar w:fldCharType="begin"/>
      </w:r>
      <w:r w:rsidRPr="00215D71">
        <w:rPr>
          <w:rFonts w:ascii="Times New Roman" w:hAnsi="Times New Roman" w:cs="Times New Roman"/>
          <w:b w:val="0"/>
          <w:sz w:val="20"/>
        </w:rPr>
        <w:instrText xml:space="preserve"> SEQ Figura \* ARABIC </w:instrText>
      </w:r>
      <w:r w:rsidRPr="00215D71">
        <w:rPr>
          <w:rFonts w:ascii="Times New Roman" w:hAnsi="Times New Roman" w:cs="Times New Roman"/>
          <w:b w:val="0"/>
          <w:sz w:val="20"/>
        </w:rPr>
        <w:fldChar w:fldCharType="separate"/>
      </w:r>
      <w:r w:rsidRPr="00215D71">
        <w:rPr>
          <w:rFonts w:ascii="Times New Roman" w:hAnsi="Times New Roman" w:cs="Times New Roman"/>
          <w:b w:val="0"/>
          <w:noProof/>
          <w:sz w:val="20"/>
        </w:rPr>
        <w:t>2</w:t>
      </w:r>
      <w:r w:rsidRPr="00215D71">
        <w:rPr>
          <w:rFonts w:ascii="Times New Roman" w:hAnsi="Times New Roman" w:cs="Times New Roman"/>
          <w:b w:val="0"/>
          <w:sz w:val="20"/>
        </w:rPr>
        <w:fldChar w:fldCharType="end"/>
      </w:r>
      <w:r w:rsidRPr="00215D71">
        <w:rPr>
          <w:rFonts w:ascii="Times New Roman" w:hAnsi="Times New Roman" w:cs="Times New Roman"/>
          <w:b w:val="0"/>
          <w:sz w:val="20"/>
        </w:rPr>
        <w:t xml:space="preserve"> - Radar de Maturidade do FECOEP-SP</w:t>
      </w:r>
    </w:p>
    <w:p w14:paraId="31246AAB" w14:textId="77777777" w:rsidR="00215D71" w:rsidRPr="00215D71" w:rsidRDefault="00215D71" w:rsidP="00215D71">
      <w:pPr>
        <w:spacing w:line="240" w:lineRule="auto"/>
        <w:jc w:val="center"/>
        <w:rPr>
          <w:rFonts w:ascii="Times New Roman" w:hAnsi="Times New Roman" w:cs="Times New Roman"/>
          <w:lang w:eastAsia="pt-BR"/>
        </w:rPr>
      </w:pPr>
      <w:r w:rsidRPr="00215D71">
        <w:rPr>
          <w:rFonts w:ascii="Times New Roman" w:hAnsi="Times New Roman" w:cs="Times New Roman"/>
          <w:noProof/>
          <w:lang w:eastAsia="pt-BR"/>
        </w:rPr>
        <w:drawing>
          <wp:inline distT="0" distB="0" distL="0" distR="0" wp14:anchorId="46E27DAA" wp14:editId="79FBD073">
            <wp:extent cx="5265682" cy="5011425"/>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6385" cy="5021611"/>
                    </a:xfrm>
                    <a:prstGeom prst="rect">
                      <a:avLst/>
                    </a:prstGeom>
                  </pic:spPr>
                </pic:pic>
              </a:graphicData>
            </a:graphic>
          </wp:inline>
        </w:drawing>
      </w:r>
    </w:p>
    <w:p w14:paraId="5D1CF5F7" w14:textId="280F7D23" w:rsidR="00215D71" w:rsidRDefault="00215D71" w:rsidP="00215D71">
      <w:pPr>
        <w:pStyle w:val="PargrafodaLista"/>
        <w:spacing w:line="240" w:lineRule="auto"/>
        <w:ind w:firstLine="0"/>
        <w:jc w:val="center"/>
        <w:rPr>
          <w:rFonts w:ascii="Times New Roman" w:hAnsi="Times New Roman" w:cs="Times New Roman"/>
          <w:sz w:val="20"/>
        </w:rPr>
      </w:pPr>
      <w:r w:rsidRPr="00215D71">
        <w:rPr>
          <w:rFonts w:ascii="Times New Roman" w:hAnsi="Times New Roman" w:cs="Times New Roman"/>
          <w:sz w:val="20"/>
        </w:rPr>
        <w:t>Fonte: Elaboração própria.</w:t>
      </w:r>
    </w:p>
    <w:p w14:paraId="7540635B" w14:textId="77777777" w:rsidR="00215D71" w:rsidRPr="00215D71" w:rsidRDefault="00215D71" w:rsidP="00215D71">
      <w:pPr>
        <w:pStyle w:val="PargrafodaLista"/>
        <w:spacing w:line="240" w:lineRule="auto"/>
        <w:ind w:firstLine="0"/>
        <w:jc w:val="center"/>
        <w:rPr>
          <w:rFonts w:ascii="Times New Roman" w:hAnsi="Times New Roman" w:cs="Times New Roman"/>
          <w:sz w:val="20"/>
        </w:rPr>
      </w:pPr>
    </w:p>
    <w:p w14:paraId="5EABE1E0" w14:textId="77777777" w:rsidR="00215D71" w:rsidRDefault="00215D71" w:rsidP="00215D71">
      <w:pPr>
        <w:pStyle w:val="PargrafodaLista"/>
        <w:spacing w:after="0"/>
        <w:rPr>
          <w:rFonts w:ascii="Times New Roman" w:hAnsi="Times New Roman" w:cs="Times New Roman"/>
        </w:rPr>
      </w:pPr>
    </w:p>
    <w:p w14:paraId="78BC2DF3" w14:textId="77777777" w:rsidR="00215D71" w:rsidRDefault="00215D71" w:rsidP="00215D71">
      <w:pPr>
        <w:pStyle w:val="PargrafodaLista"/>
        <w:spacing w:after="0"/>
        <w:rPr>
          <w:rFonts w:ascii="Times New Roman" w:hAnsi="Times New Roman" w:cs="Times New Roman"/>
        </w:rPr>
      </w:pPr>
    </w:p>
    <w:p w14:paraId="1D6292F6" w14:textId="77777777" w:rsidR="00215D71" w:rsidRDefault="00215D71" w:rsidP="00215D71">
      <w:pPr>
        <w:pStyle w:val="PargrafodaLista"/>
        <w:spacing w:after="0"/>
        <w:rPr>
          <w:rFonts w:ascii="Times New Roman" w:hAnsi="Times New Roman" w:cs="Times New Roman"/>
        </w:rPr>
      </w:pPr>
    </w:p>
    <w:p w14:paraId="21B9943B" w14:textId="77777777" w:rsidR="00215D71" w:rsidRDefault="00215D71" w:rsidP="00215D71">
      <w:pPr>
        <w:pStyle w:val="PargrafodaLista"/>
        <w:spacing w:after="0"/>
        <w:rPr>
          <w:rFonts w:ascii="Times New Roman" w:hAnsi="Times New Roman" w:cs="Times New Roman"/>
        </w:rPr>
      </w:pPr>
    </w:p>
    <w:p w14:paraId="126039CE" w14:textId="77777777" w:rsidR="00215D71" w:rsidRDefault="00215D71" w:rsidP="00215D71">
      <w:pPr>
        <w:pStyle w:val="PargrafodaLista"/>
        <w:spacing w:after="0"/>
        <w:rPr>
          <w:rFonts w:ascii="Times New Roman" w:hAnsi="Times New Roman" w:cs="Times New Roman"/>
        </w:rPr>
      </w:pPr>
    </w:p>
    <w:p w14:paraId="707CB6C2" w14:textId="77777777" w:rsidR="00215D71" w:rsidRDefault="00215D71" w:rsidP="00215D71">
      <w:pPr>
        <w:pStyle w:val="PargrafodaLista"/>
        <w:spacing w:after="0"/>
        <w:rPr>
          <w:rFonts w:ascii="Times New Roman" w:hAnsi="Times New Roman" w:cs="Times New Roman"/>
        </w:rPr>
      </w:pPr>
    </w:p>
    <w:p w14:paraId="3B14E863" w14:textId="7B7C1E2B" w:rsidR="00215D71" w:rsidRPr="00215D71" w:rsidRDefault="00215D71" w:rsidP="00215D71">
      <w:pPr>
        <w:pStyle w:val="PargrafodaLista"/>
        <w:spacing w:after="0"/>
        <w:rPr>
          <w:rFonts w:ascii="Times New Roman" w:hAnsi="Times New Roman" w:cs="Times New Roman"/>
        </w:rPr>
      </w:pPr>
      <w:r w:rsidRPr="00215D71">
        <w:rPr>
          <w:rFonts w:ascii="Times New Roman" w:hAnsi="Times New Roman" w:cs="Times New Roman"/>
        </w:rPr>
        <w:lastRenderedPageBreak/>
        <w:t xml:space="preserve">A seguir, são demonstrados os desempenhos do FECP-RJ por eixos e dimensões: </w:t>
      </w:r>
    </w:p>
    <w:p w14:paraId="2C23E7C5" w14:textId="1F4D7AF3" w:rsidR="00215D71" w:rsidRPr="00215D71" w:rsidRDefault="00215D71" w:rsidP="00215D71">
      <w:pPr>
        <w:pStyle w:val="Legenda"/>
        <w:keepNext/>
        <w:jc w:val="left"/>
        <w:rPr>
          <w:rFonts w:ascii="Times New Roman" w:hAnsi="Times New Roman" w:cs="Times New Roman"/>
          <w:b w:val="0"/>
          <w:sz w:val="20"/>
        </w:rPr>
      </w:pPr>
      <w:r w:rsidRPr="00215D71">
        <w:rPr>
          <w:rFonts w:ascii="Times New Roman" w:hAnsi="Times New Roman" w:cs="Times New Roman"/>
          <w:b w:val="0"/>
          <w:sz w:val="20"/>
        </w:rPr>
        <w:t xml:space="preserve">Tabela </w:t>
      </w:r>
      <w:r w:rsidRPr="00215D71">
        <w:rPr>
          <w:rFonts w:ascii="Times New Roman" w:hAnsi="Times New Roman" w:cs="Times New Roman"/>
          <w:b w:val="0"/>
          <w:sz w:val="20"/>
        </w:rPr>
        <w:fldChar w:fldCharType="begin"/>
      </w:r>
      <w:r w:rsidRPr="00215D71">
        <w:rPr>
          <w:rFonts w:ascii="Times New Roman" w:hAnsi="Times New Roman" w:cs="Times New Roman"/>
          <w:b w:val="0"/>
          <w:sz w:val="20"/>
        </w:rPr>
        <w:instrText xml:space="preserve"> SEQ Tabela \* ARABIC </w:instrText>
      </w:r>
      <w:r w:rsidRPr="00215D71">
        <w:rPr>
          <w:rFonts w:ascii="Times New Roman" w:hAnsi="Times New Roman" w:cs="Times New Roman"/>
          <w:b w:val="0"/>
          <w:sz w:val="20"/>
        </w:rPr>
        <w:fldChar w:fldCharType="separate"/>
      </w:r>
      <w:r w:rsidRPr="00215D71">
        <w:rPr>
          <w:rFonts w:ascii="Times New Roman" w:hAnsi="Times New Roman" w:cs="Times New Roman"/>
          <w:b w:val="0"/>
          <w:noProof/>
          <w:sz w:val="20"/>
        </w:rPr>
        <w:t>2</w:t>
      </w:r>
      <w:r w:rsidRPr="00215D71">
        <w:rPr>
          <w:rFonts w:ascii="Times New Roman" w:hAnsi="Times New Roman" w:cs="Times New Roman"/>
          <w:b w:val="0"/>
          <w:sz w:val="20"/>
        </w:rPr>
        <w:fldChar w:fldCharType="end"/>
      </w:r>
      <w:r w:rsidRPr="00215D71">
        <w:rPr>
          <w:rFonts w:ascii="Times New Roman" w:hAnsi="Times New Roman" w:cs="Times New Roman"/>
          <w:b w:val="0"/>
          <w:sz w:val="20"/>
        </w:rPr>
        <w:t xml:space="preserve"> – Perfil e Nível de Maturidade do FECP-RJ (2023-2025)</w:t>
      </w:r>
    </w:p>
    <w:tbl>
      <w:tblPr>
        <w:tblW w:w="9270" w:type="dxa"/>
        <w:tblLayout w:type="fixed"/>
        <w:tblCellMar>
          <w:left w:w="70" w:type="dxa"/>
          <w:right w:w="70" w:type="dxa"/>
        </w:tblCellMar>
        <w:tblLook w:val="04A0" w:firstRow="1" w:lastRow="0" w:firstColumn="1" w:lastColumn="0" w:noHBand="0" w:noVBand="1"/>
      </w:tblPr>
      <w:tblGrid>
        <w:gridCol w:w="1387"/>
        <w:gridCol w:w="1301"/>
        <w:gridCol w:w="893"/>
        <w:gridCol w:w="905"/>
        <w:gridCol w:w="878"/>
        <w:gridCol w:w="1101"/>
        <w:gridCol w:w="1327"/>
        <w:gridCol w:w="425"/>
        <w:gridCol w:w="1053"/>
      </w:tblGrid>
      <w:tr w:rsidR="00215D71" w:rsidRPr="002672BF" w14:paraId="13B4378F" w14:textId="77777777" w:rsidTr="00BD3046">
        <w:trPr>
          <w:trHeight w:val="20"/>
        </w:trPr>
        <w:tc>
          <w:tcPr>
            <w:tcW w:w="13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787F472E" w14:textId="77777777" w:rsidR="00215D71" w:rsidRPr="002672BF" w:rsidRDefault="00215D71" w:rsidP="00BD3046">
            <w:pPr>
              <w:spacing w:after="0" w:line="240" w:lineRule="auto"/>
              <w:jc w:val="center"/>
              <w:rPr>
                <w:rFonts w:asciiTheme="minorHAnsi" w:eastAsia="Times New Roman" w:hAnsiTheme="minorHAnsi" w:cstheme="minorHAnsi"/>
                <w:b/>
                <w:bCs/>
                <w:color w:val="FFFFFF"/>
                <w:sz w:val="16"/>
                <w:szCs w:val="16"/>
                <w:lang w:eastAsia="pt-BR"/>
              </w:rPr>
            </w:pPr>
            <w:r w:rsidRPr="002672BF">
              <w:rPr>
                <w:rFonts w:asciiTheme="minorHAnsi" w:eastAsia="Times New Roman" w:hAnsiTheme="minorHAnsi" w:cstheme="minorHAnsi"/>
                <w:b/>
                <w:bCs/>
                <w:color w:val="FFFFFF"/>
                <w:sz w:val="16"/>
                <w:szCs w:val="16"/>
                <w:lang w:eastAsia="pt-BR"/>
              </w:rPr>
              <w:t>Eixo</w:t>
            </w: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45DAAF04" w14:textId="77777777" w:rsidR="00215D71" w:rsidRPr="002672BF" w:rsidRDefault="00215D71" w:rsidP="00BD3046">
            <w:pPr>
              <w:spacing w:after="0" w:line="240" w:lineRule="auto"/>
              <w:jc w:val="center"/>
              <w:rPr>
                <w:rFonts w:asciiTheme="minorHAnsi" w:eastAsia="Times New Roman" w:hAnsiTheme="minorHAnsi" w:cstheme="minorHAnsi"/>
                <w:b/>
                <w:bCs/>
                <w:color w:val="FFFFFF"/>
                <w:sz w:val="16"/>
                <w:szCs w:val="16"/>
                <w:lang w:eastAsia="pt-BR"/>
              </w:rPr>
            </w:pPr>
            <w:r w:rsidRPr="002672BF">
              <w:rPr>
                <w:rFonts w:asciiTheme="minorHAnsi" w:eastAsia="Times New Roman" w:hAnsiTheme="minorHAnsi" w:cstheme="minorHAnsi"/>
                <w:b/>
                <w:bCs/>
                <w:color w:val="FFFFFF"/>
                <w:sz w:val="16"/>
                <w:szCs w:val="16"/>
                <w:lang w:eastAsia="pt-BR"/>
              </w:rPr>
              <w:t>Dimensão</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7178F74E" w14:textId="77777777" w:rsidR="00215D71" w:rsidRPr="002672BF" w:rsidRDefault="00215D71" w:rsidP="00BD3046">
            <w:pPr>
              <w:spacing w:after="0" w:line="240" w:lineRule="auto"/>
              <w:jc w:val="center"/>
              <w:rPr>
                <w:rFonts w:asciiTheme="minorHAnsi" w:eastAsia="Times New Roman" w:hAnsiTheme="minorHAnsi" w:cstheme="minorHAnsi"/>
                <w:b/>
                <w:bCs/>
                <w:color w:val="FFFFFF"/>
                <w:sz w:val="16"/>
                <w:szCs w:val="16"/>
                <w:lang w:eastAsia="pt-BR"/>
              </w:rPr>
            </w:pPr>
            <w:r w:rsidRPr="002672BF">
              <w:rPr>
                <w:rFonts w:asciiTheme="minorHAnsi" w:eastAsia="Times New Roman" w:hAnsiTheme="minorHAnsi" w:cstheme="minorHAnsi"/>
                <w:b/>
                <w:bCs/>
                <w:color w:val="FFFFFF"/>
                <w:sz w:val="16"/>
                <w:szCs w:val="16"/>
                <w:lang w:eastAsia="pt-BR"/>
              </w:rPr>
              <w:t>Pontuação Obtida</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48B456C8" w14:textId="77777777" w:rsidR="00215D71" w:rsidRPr="002672BF" w:rsidRDefault="00215D71" w:rsidP="00BD3046">
            <w:pPr>
              <w:spacing w:after="0" w:line="240" w:lineRule="auto"/>
              <w:jc w:val="center"/>
              <w:rPr>
                <w:rFonts w:asciiTheme="minorHAnsi" w:eastAsia="Times New Roman" w:hAnsiTheme="minorHAnsi" w:cstheme="minorHAnsi"/>
                <w:b/>
                <w:bCs/>
                <w:i/>
                <w:iCs/>
                <w:color w:val="FFFFFF"/>
                <w:sz w:val="16"/>
                <w:szCs w:val="16"/>
                <w:lang w:eastAsia="pt-BR"/>
              </w:rPr>
            </w:pPr>
            <w:r w:rsidRPr="002672BF">
              <w:rPr>
                <w:rFonts w:asciiTheme="minorHAnsi" w:eastAsia="Times New Roman" w:hAnsiTheme="minorHAnsi" w:cstheme="minorHAnsi"/>
                <w:b/>
                <w:bCs/>
                <w:i/>
                <w:iCs/>
                <w:color w:val="FFFFFF"/>
                <w:sz w:val="16"/>
                <w:szCs w:val="16"/>
                <w:lang w:eastAsia="pt-BR"/>
              </w:rPr>
              <w:t>Pontuação Máxima</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497222C7" w14:textId="77777777" w:rsidR="00215D71" w:rsidRPr="002672BF" w:rsidRDefault="00215D71" w:rsidP="00BD3046">
            <w:pPr>
              <w:spacing w:after="0" w:line="240" w:lineRule="auto"/>
              <w:jc w:val="center"/>
              <w:rPr>
                <w:rFonts w:asciiTheme="minorHAnsi" w:eastAsia="Times New Roman" w:hAnsiTheme="minorHAnsi" w:cstheme="minorHAnsi"/>
                <w:b/>
                <w:bCs/>
                <w:color w:val="FFFFFF"/>
                <w:sz w:val="16"/>
                <w:szCs w:val="16"/>
                <w:lang w:eastAsia="pt-BR"/>
              </w:rPr>
            </w:pPr>
            <w:r w:rsidRPr="002672BF">
              <w:rPr>
                <w:rFonts w:asciiTheme="minorHAnsi" w:eastAsia="Times New Roman" w:hAnsiTheme="minorHAnsi" w:cstheme="minorHAnsi"/>
                <w:b/>
                <w:bCs/>
                <w:color w:val="FFFFFF"/>
                <w:sz w:val="16"/>
                <w:szCs w:val="16"/>
                <w:lang w:eastAsia="pt-BR"/>
              </w:rPr>
              <w:t>Percentual (%)</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3AAD0A41" w14:textId="77777777" w:rsidR="00215D71" w:rsidRPr="002672BF" w:rsidRDefault="00215D71" w:rsidP="00BD3046">
            <w:pPr>
              <w:spacing w:after="0" w:line="240" w:lineRule="auto"/>
              <w:jc w:val="center"/>
              <w:rPr>
                <w:rFonts w:asciiTheme="minorHAnsi" w:eastAsia="Times New Roman" w:hAnsiTheme="minorHAnsi" w:cstheme="minorHAnsi"/>
                <w:b/>
                <w:bCs/>
                <w:color w:val="FFFFFF"/>
                <w:sz w:val="16"/>
                <w:szCs w:val="16"/>
                <w:lang w:eastAsia="pt-BR"/>
              </w:rPr>
            </w:pPr>
            <w:r w:rsidRPr="002672BF">
              <w:rPr>
                <w:rFonts w:asciiTheme="minorHAnsi" w:eastAsia="Times New Roman" w:hAnsiTheme="minorHAnsi" w:cstheme="minorHAnsi"/>
                <w:b/>
                <w:bCs/>
                <w:color w:val="FFFFFF"/>
                <w:sz w:val="16"/>
                <w:szCs w:val="16"/>
                <w:lang w:eastAsia="pt-BR"/>
              </w:rPr>
              <w:t>Perfil do Fundo (Base)</w:t>
            </w:r>
          </w:p>
        </w:tc>
        <w:tc>
          <w:tcPr>
            <w:tcW w:w="280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C00000"/>
            <w:vAlign w:val="center"/>
            <w:hideMark/>
          </w:tcPr>
          <w:p w14:paraId="1B6F30EA" w14:textId="77777777" w:rsidR="00215D71" w:rsidRPr="002672BF" w:rsidRDefault="00215D71" w:rsidP="00BD3046">
            <w:pPr>
              <w:spacing w:after="0" w:line="240" w:lineRule="auto"/>
              <w:jc w:val="center"/>
              <w:rPr>
                <w:rFonts w:asciiTheme="minorHAnsi" w:eastAsia="Times New Roman" w:hAnsiTheme="minorHAnsi" w:cstheme="minorHAnsi"/>
                <w:b/>
                <w:bCs/>
                <w:color w:val="FFFFFF"/>
                <w:sz w:val="16"/>
                <w:szCs w:val="16"/>
                <w:lang w:eastAsia="pt-BR"/>
              </w:rPr>
            </w:pPr>
            <w:r w:rsidRPr="002672BF">
              <w:rPr>
                <w:rFonts w:asciiTheme="minorHAnsi" w:eastAsia="Times New Roman" w:hAnsiTheme="minorHAnsi" w:cstheme="minorHAnsi"/>
                <w:b/>
                <w:bCs/>
                <w:color w:val="FFFFFF"/>
                <w:sz w:val="16"/>
                <w:szCs w:val="16"/>
                <w:lang w:eastAsia="pt-BR"/>
              </w:rPr>
              <w:t>Perfil do Fundo (por Dimensão)</w:t>
            </w:r>
          </w:p>
        </w:tc>
      </w:tr>
      <w:tr w:rsidR="00215D71" w:rsidRPr="002672BF" w14:paraId="1437C6F3" w14:textId="77777777" w:rsidTr="00BD3046">
        <w:trPr>
          <w:trHeight w:val="20"/>
        </w:trPr>
        <w:tc>
          <w:tcPr>
            <w:tcW w:w="138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3C4256C"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Responsabilidade Arrecadatória</w:t>
            </w: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DC43C1"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Jurídico-Estrutural</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B1FFA57"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23</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4D38A10"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23</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26452F7"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100%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DCFAEB0"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Pleno</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36D716D"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Jurídico-Estrutural</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A53420"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83%</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CD54B7"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Pleno</w:t>
            </w:r>
          </w:p>
        </w:tc>
      </w:tr>
      <w:tr w:rsidR="00215D71" w:rsidRPr="002672BF" w14:paraId="773A7731" w14:textId="77777777" w:rsidTr="00BD3046">
        <w:trPr>
          <w:trHeight w:val="20"/>
        </w:trPr>
        <w:tc>
          <w:tcPr>
            <w:tcW w:w="138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AD82348"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0CE542E"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Financeira e Orçamentária</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802613"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4</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D419E0B"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6</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58B821"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67%</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B9CA34D"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Avançado</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31AE98"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Financeira e Orçamentária</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403CD18"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7</w:t>
            </w:r>
            <w:r>
              <w:rPr>
                <w:rFonts w:asciiTheme="minorHAnsi" w:eastAsia="Times New Roman" w:hAnsiTheme="minorHAnsi" w:cstheme="minorHAnsi"/>
                <w:b/>
                <w:bCs/>
                <w:sz w:val="16"/>
                <w:szCs w:val="16"/>
                <w:lang w:eastAsia="pt-BR"/>
              </w:rPr>
              <w:t>1</w:t>
            </w:r>
            <w:r w:rsidRPr="002672BF">
              <w:rPr>
                <w:rFonts w:asciiTheme="minorHAnsi" w:eastAsia="Times New Roman" w:hAnsiTheme="minorHAnsi" w:cstheme="minorHAnsi"/>
                <w:b/>
                <w:bCs/>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0DFDD53"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Avançado</w:t>
            </w:r>
          </w:p>
        </w:tc>
      </w:tr>
      <w:tr w:rsidR="00215D71" w:rsidRPr="002672BF" w14:paraId="5195D3D0" w14:textId="77777777" w:rsidTr="00BD3046">
        <w:trPr>
          <w:trHeight w:val="20"/>
        </w:trPr>
        <w:tc>
          <w:tcPr>
            <w:tcW w:w="138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8FB7BEE"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CE06F2"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Político-Institucional</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4ED2F35"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3</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A38CE10"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3</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460312"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100%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8F09969"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Pleno</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3A431D"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Político-Institucional</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2D6D93"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71%</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0D18988"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Avançado</w:t>
            </w:r>
          </w:p>
        </w:tc>
      </w:tr>
      <w:tr w:rsidR="00215D71" w:rsidRPr="002672BF" w14:paraId="544D0178" w14:textId="77777777" w:rsidTr="00BD3046">
        <w:trPr>
          <w:trHeight w:val="20"/>
        </w:trPr>
        <w:tc>
          <w:tcPr>
            <w:tcW w:w="138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BEBAF3F"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BAEF82E"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Participativa e de Transparência</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273AC98"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3</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AB0F951"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3</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5977D0"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100%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D5622CE"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Pleno</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C82142D"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Participativa e de Transparência</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54CDCF0"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88%</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C4ADD1"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Pleno</w:t>
            </w:r>
          </w:p>
        </w:tc>
      </w:tr>
      <w:tr w:rsidR="00215D71" w:rsidRPr="002672BF" w14:paraId="3F4CFEF5" w14:textId="77777777" w:rsidTr="00BD3046">
        <w:trPr>
          <w:trHeight w:val="20"/>
        </w:trPr>
        <w:tc>
          <w:tcPr>
            <w:tcW w:w="138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3E2A91"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Planejamento Orçamentário</w:t>
            </w: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0F3CB93"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Jurídico-Estrutural</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3D5AA82"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6</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6FB0A7B"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9</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CDCE94"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67%</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D7AB896"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Avançado</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80854DE"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2ACA496"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432E376" w14:textId="77777777" w:rsidR="00215D71" w:rsidRPr="00D84678" w:rsidRDefault="00215D71" w:rsidP="00BD3046">
            <w:pPr>
              <w:spacing w:after="0" w:line="240" w:lineRule="auto"/>
              <w:jc w:val="center"/>
              <w:rPr>
                <w:rFonts w:asciiTheme="minorHAnsi" w:eastAsia="Times New Roman" w:hAnsiTheme="minorHAnsi" w:cstheme="minorHAnsi"/>
                <w:iCs/>
                <w:color w:val="C00000"/>
                <w:sz w:val="16"/>
                <w:szCs w:val="16"/>
                <w:lang w:eastAsia="pt-BR"/>
              </w:rPr>
            </w:pPr>
            <w:r w:rsidRPr="00D84678">
              <w:rPr>
                <w:rFonts w:asciiTheme="minorHAnsi" w:eastAsia="Times New Roman" w:hAnsiTheme="minorHAnsi" w:cstheme="minorHAnsi"/>
                <w:iCs/>
                <w:color w:val="C00000"/>
                <w:sz w:val="16"/>
                <w:szCs w:val="16"/>
                <w:lang w:eastAsia="pt-BR"/>
              </w:rPr>
              <w:t>-</w:t>
            </w:r>
          </w:p>
        </w:tc>
      </w:tr>
      <w:tr w:rsidR="00215D71" w:rsidRPr="002672BF" w14:paraId="1BB3D138" w14:textId="77777777" w:rsidTr="00BD3046">
        <w:trPr>
          <w:trHeight w:val="20"/>
        </w:trPr>
        <w:tc>
          <w:tcPr>
            <w:tcW w:w="138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7DDD5B9"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45CD014"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Institucional e Organizacional</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A7801B"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9</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FEA7AC7"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11</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174FE81"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82%</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0548F61"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Pleno</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70D4119"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Institucional e Organizacional</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873327"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41%</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7C21530"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Intermediário</w:t>
            </w:r>
          </w:p>
        </w:tc>
      </w:tr>
      <w:tr w:rsidR="00215D71" w:rsidRPr="002672BF" w14:paraId="1388DE0B" w14:textId="77777777" w:rsidTr="00BD3046">
        <w:trPr>
          <w:trHeight w:val="20"/>
        </w:trPr>
        <w:tc>
          <w:tcPr>
            <w:tcW w:w="138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C6E11B5"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5AA27B9"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Político-Institucional</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C284F3"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734694"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7</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1676F9D"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14%</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319753"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Insuficiente</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873B53"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FB9B05"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E76EDAD" w14:textId="77777777" w:rsidR="00215D71" w:rsidRPr="00D84678" w:rsidRDefault="00215D71" w:rsidP="00BD3046">
            <w:pPr>
              <w:spacing w:after="0" w:line="240" w:lineRule="auto"/>
              <w:jc w:val="center"/>
              <w:rPr>
                <w:rFonts w:asciiTheme="minorHAnsi" w:eastAsia="Times New Roman" w:hAnsiTheme="minorHAnsi" w:cstheme="minorHAnsi"/>
                <w:iCs/>
                <w:color w:val="C00000"/>
                <w:sz w:val="16"/>
                <w:szCs w:val="16"/>
                <w:lang w:eastAsia="pt-BR"/>
              </w:rPr>
            </w:pPr>
            <w:r w:rsidRPr="00D84678">
              <w:rPr>
                <w:rFonts w:asciiTheme="minorHAnsi" w:eastAsia="Times New Roman" w:hAnsiTheme="minorHAnsi" w:cstheme="minorHAnsi"/>
                <w:iCs/>
                <w:color w:val="C00000"/>
                <w:sz w:val="16"/>
                <w:szCs w:val="16"/>
                <w:lang w:eastAsia="pt-BR"/>
              </w:rPr>
              <w:t>-</w:t>
            </w:r>
          </w:p>
        </w:tc>
      </w:tr>
      <w:tr w:rsidR="00215D71" w:rsidRPr="002672BF" w14:paraId="5697B6CB" w14:textId="77777777" w:rsidTr="00BD3046">
        <w:trPr>
          <w:trHeight w:val="20"/>
        </w:trPr>
        <w:tc>
          <w:tcPr>
            <w:tcW w:w="138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4BAF775"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3B40478"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Financeira e Orçamentária</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C1C3593"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7</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403B44"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7</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2E8B12"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100%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C9A3CE8"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Pleno</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41F646D"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35C82C3"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F115285" w14:textId="77777777" w:rsidR="00215D71" w:rsidRPr="00D84678" w:rsidRDefault="00215D71" w:rsidP="00BD3046">
            <w:pPr>
              <w:spacing w:after="0" w:line="240" w:lineRule="auto"/>
              <w:jc w:val="center"/>
              <w:rPr>
                <w:rFonts w:asciiTheme="minorHAnsi" w:eastAsia="Times New Roman" w:hAnsiTheme="minorHAnsi" w:cstheme="minorHAnsi"/>
                <w:iCs/>
                <w:color w:val="C00000"/>
                <w:sz w:val="16"/>
                <w:szCs w:val="16"/>
                <w:lang w:eastAsia="pt-BR"/>
              </w:rPr>
            </w:pPr>
            <w:r w:rsidRPr="00D84678">
              <w:rPr>
                <w:rFonts w:asciiTheme="minorHAnsi" w:eastAsia="Times New Roman" w:hAnsiTheme="minorHAnsi" w:cstheme="minorHAnsi"/>
                <w:iCs/>
                <w:color w:val="C00000"/>
                <w:sz w:val="16"/>
                <w:szCs w:val="16"/>
                <w:lang w:eastAsia="pt-BR"/>
              </w:rPr>
              <w:t>-</w:t>
            </w:r>
          </w:p>
        </w:tc>
      </w:tr>
      <w:tr w:rsidR="00215D71" w:rsidRPr="002672BF" w14:paraId="015F3953" w14:textId="77777777" w:rsidTr="00BD3046">
        <w:trPr>
          <w:trHeight w:val="20"/>
        </w:trPr>
        <w:tc>
          <w:tcPr>
            <w:tcW w:w="138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54C7AF7"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2161AD1"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Avaliativa</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50F898A"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5</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01C1CCC"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5</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89714A"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100%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0CBD9AF"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Pleno</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76AD216"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Avaliativa</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0A62B7"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75%</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17A06AF"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Avançado</w:t>
            </w:r>
          </w:p>
        </w:tc>
      </w:tr>
      <w:tr w:rsidR="00215D71" w:rsidRPr="002672BF" w14:paraId="477189E2" w14:textId="77777777" w:rsidTr="00BD3046">
        <w:trPr>
          <w:trHeight w:val="20"/>
        </w:trPr>
        <w:tc>
          <w:tcPr>
            <w:tcW w:w="138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D26DF26"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74B7EEA"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Histórico-Evolutiva</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50883C"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2</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874C9A"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6</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926B83"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33%</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33369F1"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Inicial</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7404DC"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Histórico-Evolutiva</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BEB629C"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33%</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032C9B8"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Inicial</w:t>
            </w:r>
          </w:p>
        </w:tc>
      </w:tr>
      <w:tr w:rsidR="00215D71" w:rsidRPr="002672BF" w14:paraId="7F32B2C7" w14:textId="77777777" w:rsidTr="00BD3046">
        <w:trPr>
          <w:trHeight w:val="20"/>
        </w:trPr>
        <w:tc>
          <w:tcPr>
            <w:tcW w:w="138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9C38E79"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Execução Orçamentária e Financeira</w:t>
            </w: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E3D9CF7"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Financeira e Orçamentária</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CBB5D82"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Pr>
                <w:rFonts w:asciiTheme="minorHAnsi" w:eastAsia="Times New Roman" w:hAnsiTheme="minorHAnsi" w:cstheme="minorHAnsi"/>
                <w:sz w:val="16"/>
                <w:szCs w:val="16"/>
                <w:lang w:eastAsia="pt-BR"/>
              </w:rPr>
              <w:t>10</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AFF43C1"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22</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D722F2"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Pr>
                <w:rFonts w:asciiTheme="minorHAnsi" w:eastAsia="Times New Roman" w:hAnsiTheme="minorHAnsi" w:cstheme="minorHAnsi"/>
                <w:sz w:val="16"/>
                <w:szCs w:val="16"/>
                <w:lang w:eastAsia="pt-BR"/>
              </w:rPr>
              <w:t>45</w:t>
            </w:r>
            <w:r w:rsidRPr="002672BF">
              <w:rPr>
                <w:rFonts w:asciiTheme="minorHAnsi" w:eastAsia="Times New Roman" w:hAnsiTheme="minorHAnsi" w:cstheme="minorHAnsi"/>
                <w:sz w:val="16"/>
                <w:szCs w:val="16"/>
                <w:lang w:eastAsia="pt-BR"/>
              </w:rPr>
              <w:t>%</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64840B"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Intermediário</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82A6394"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D3AE679"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A8BB9F" w14:textId="77777777" w:rsidR="00215D71" w:rsidRPr="002672BF" w:rsidRDefault="00215D71" w:rsidP="00BD3046">
            <w:pPr>
              <w:spacing w:after="0" w:line="240" w:lineRule="auto"/>
              <w:jc w:val="center"/>
              <w:rPr>
                <w:rFonts w:asciiTheme="minorHAnsi" w:eastAsia="Times New Roman" w:hAnsiTheme="minorHAnsi" w:cstheme="minorHAnsi"/>
                <w:i/>
                <w:iCs/>
                <w:color w:val="C00000"/>
                <w:sz w:val="16"/>
                <w:szCs w:val="16"/>
                <w:lang w:eastAsia="pt-BR"/>
              </w:rPr>
            </w:pPr>
            <w:r w:rsidRPr="002672BF">
              <w:rPr>
                <w:rFonts w:asciiTheme="minorHAnsi" w:eastAsia="Times New Roman" w:hAnsiTheme="minorHAnsi" w:cstheme="minorHAnsi"/>
                <w:i/>
                <w:iCs/>
                <w:color w:val="C00000"/>
                <w:sz w:val="16"/>
                <w:szCs w:val="16"/>
                <w:lang w:eastAsia="pt-BR"/>
              </w:rPr>
              <w:t>-</w:t>
            </w:r>
          </w:p>
        </w:tc>
      </w:tr>
      <w:tr w:rsidR="00215D71" w:rsidRPr="002672BF" w14:paraId="67242CA1" w14:textId="77777777" w:rsidTr="00BD3046">
        <w:trPr>
          <w:trHeight w:val="20"/>
        </w:trPr>
        <w:tc>
          <w:tcPr>
            <w:tcW w:w="138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016B56"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C7FA392"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Político-Institucional</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7B3165D"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2</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C6DF794"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2</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1BFC41B"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100%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D30366"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Pleno</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E360D63"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AAC64AE"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29F5F9E" w14:textId="77777777" w:rsidR="00215D71" w:rsidRPr="002672BF" w:rsidRDefault="00215D71" w:rsidP="00BD3046">
            <w:pPr>
              <w:spacing w:after="0" w:line="240" w:lineRule="auto"/>
              <w:jc w:val="center"/>
              <w:rPr>
                <w:rFonts w:asciiTheme="minorHAnsi" w:eastAsia="Times New Roman" w:hAnsiTheme="minorHAnsi" w:cstheme="minorHAnsi"/>
                <w:i/>
                <w:iCs/>
                <w:color w:val="C00000"/>
                <w:sz w:val="16"/>
                <w:szCs w:val="16"/>
                <w:lang w:eastAsia="pt-BR"/>
              </w:rPr>
            </w:pPr>
            <w:r w:rsidRPr="002672BF">
              <w:rPr>
                <w:rFonts w:asciiTheme="minorHAnsi" w:eastAsia="Times New Roman" w:hAnsiTheme="minorHAnsi" w:cstheme="minorHAnsi"/>
                <w:i/>
                <w:iCs/>
                <w:color w:val="C00000"/>
                <w:sz w:val="16"/>
                <w:szCs w:val="16"/>
                <w:lang w:eastAsia="pt-BR"/>
              </w:rPr>
              <w:t>-</w:t>
            </w:r>
          </w:p>
        </w:tc>
      </w:tr>
      <w:tr w:rsidR="00215D71" w:rsidRPr="002672BF" w14:paraId="34A3FDD5" w14:textId="77777777" w:rsidTr="00BD3046">
        <w:trPr>
          <w:trHeight w:val="20"/>
        </w:trPr>
        <w:tc>
          <w:tcPr>
            <w:tcW w:w="138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1D0FC9E"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783B52"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Avaliativa</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488B7CC"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7</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FFBC17"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14</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CDF93EC"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50%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83AAF36"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Intermediário</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E606270"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AD48E5"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CD22360" w14:textId="77777777" w:rsidR="00215D71" w:rsidRPr="002672BF" w:rsidRDefault="00215D71" w:rsidP="00BD3046">
            <w:pPr>
              <w:spacing w:after="0" w:line="240" w:lineRule="auto"/>
              <w:jc w:val="center"/>
              <w:rPr>
                <w:rFonts w:asciiTheme="minorHAnsi" w:eastAsia="Times New Roman" w:hAnsiTheme="minorHAnsi" w:cstheme="minorHAnsi"/>
                <w:i/>
                <w:iCs/>
                <w:color w:val="C00000"/>
                <w:sz w:val="16"/>
                <w:szCs w:val="16"/>
                <w:lang w:eastAsia="pt-BR"/>
              </w:rPr>
            </w:pPr>
            <w:r w:rsidRPr="002672BF">
              <w:rPr>
                <w:rFonts w:asciiTheme="minorHAnsi" w:eastAsia="Times New Roman" w:hAnsiTheme="minorHAnsi" w:cstheme="minorHAnsi"/>
                <w:i/>
                <w:iCs/>
                <w:color w:val="C00000"/>
                <w:sz w:val="16"/>
                <w:szCs w:val="16"/>
                <w:lang w:eastAsia="pt-BR"/>
              </w:rPr>
              <w:t>-</w:t>
            </w:r>
          </w:p>
        </w:tc>
      </w:tr>
      <w:tr w:rsidR="00215D71" w:rsidRPr="002672BF" w14:paraId="468B1BAD" w14:textId="77777777" w:rsidTr="00BD3046">
        <w:trPr>
          <w:trHeight w:val="20"/>
        </w:trPr>
        <w:tc>
          <w:tcPr>
            <w:tcW w:w="138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24DAAB3"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89A5218"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Participativa e de Transparência</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34C3DFB"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6</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EF2A929"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8</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508813"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75%</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281163F"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Avançado</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D3F4475"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F32009E"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C4E6525" w14:textId="77777777" w:rsidR="00215D71" w:rsidRPr="002672BF" w:rsidRDefault="00215D71" w:rsidP="00BD3046">
            <w:pPr>
              <w:spacing w:after="0" w:line="240" w:lineRule="auto"/>
              <w:jc w:val="center"/>
              <w:rPr>
                <w:rFonts w:asciiTheme="minorHAnsi" w:eastAsia="Times New Roman" w:hAnsiTheme="minorHAnsi" w:cstheme="minorHAnsi"/>
                <w:i/>
                <w:iCs/>
                <w:color w:val="C00000"/>
                <w:sz w:val="16"/>
                <w:szCs w:val="16"/>
                <w:lang w:eastAsia="pt-BR"/>
              </w:rPr>
            </w:pPr>
            <w:r w:rsidRPr="002672BF">
              <w:rPr>
                <w:rFonts w:asciiTheme="minorHAnsi" w:eastAsia="Times New Roman" w:hAnsiTheme="minorHAnsi" w:cstheme="minorHAnsi"/>
                <w:i/>
                <w:iCs/>
                <w:color w:val="C00000"/>
                <w:sz w:val="16"/>
                <w:szCs w:val="16"/>
                <w:lang w:eastAsia="pt-BR"/>
              </w:rPr>
              <w:t>-</w:t>
            </w:r>
          </w:p>
        </w:tc>
      </w:tr>
      <w:tr w:rsidR="00215D71" w:rsidRPr="002672BF" w14:paraId="0B06CEF7" w14:textId="77777777" w:rsidTr="00BD3046">
        <w:trPr>
          <w:trHeight w:val="20"/>
        </w:trPr>
        <w:tc>
          <w:tcPr>
            <w:tcW w:w="138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1B19084"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01FB88"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Institucional e Organizacional</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B1B799C"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0</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8150A0C"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9</w:t>
            </w:r>
          </w:p>
        </w:tc>
        <w:tc>
          <w:tcPr>
            <w:tcW w:w="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2F46ED"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0%</w:t>
            </w:r>
          </w:p>
        </w:tc>
        <w:tc>
          <w:tcPr>
            <w:tcW w:w="11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2C0C066" w14:textId="77777777" w:rsidR="00215D71" w:rsidRPr="00D84678" w:rsidRDefault="00215D71" w:rsidP="00BD3046">
            <w:pPr>
              <w:spacing w:after="0" w:line="240" w:lineRule="auto"/>
              <w:jc w:val="center"/>
              <w:rPr>
                <w:rFonts w:asciiTheme="minorHAnsi" w:eastAsia="Times New Roman" w:hAnsiTheme="minorHAnsi" w:cstheme="minorHAnsi"/>
                <w:b/>
                <w:bCs/>
                <w:iCs/>
                <w:color w:val="C00000"/>
                <w:sz w:val="16"/>
                <w:szCs w:val="16"/>
                <w:lang w:eastAsia="pt-BR"/>
              </w:rPr>
            </w:pPr>
            <w:r w:rsidRPr="00D84678">
              <w:rPr>
                <w:rFonts w:asciiTheme="minorHAnsi" w:eastAsia="Times New Roman" w:hAnsiTheme="minorHAnsi" w:cstheme="minorHAnsi"/>
                <w:b/>
                <w:bCs/>
                <w:iCs/>
                <w:color w:val="C00000"/>
                <w:sz w:val="16"/>
                <w:szCs w:val="16"/>
                <w:lang w:eastAsia="pt-BR"/>
              </w:rPr>
              <w:t>Inexistente</w:t>
            </w:r>
          </w:p>
        </w:tc>
        <w:tc>
          <w:tcPr>
            <w:tcW w:w="13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A1DBC6"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7792925"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E2C780F" w14:textId="77777777" w:rsidR="00215D71" w:rsidRPr="002672BF" w:rsidRDefault="00215D71" w:rsidP="00BD3046">
            <w:pPr>
              <w:spacing w:after="0" w:line="240" w:lineRule="auto"/>
              <w:jc w:val="center"/>
              <w:rPr>
                <w:rFonts w:asciiTheme="minorHAnsi" w:eastAsia="Times New Roman" w:hAnsiTheme="minorHAnsi" w:cstheme="minorHAnsi"/>
                <w:i/>
                <w:iCs/>
                <w:color w:val="C00000"/>
                <w:sz w:val="16"/>
                <w:szCs w:val="16"/>
                <w:lang w:eastAsia="pt-BR"/>
              </w:rPr>
            </w:pPr>
            <w:r w:rsidRPr="002672BF">
              <w:rPr>
                <w:rFonts w:asciiTheme="minorHAnsi" w:eastAsia="Times New Roman" w:hAnsiTheme="minorHAnsi" w:cstheme="minorHAnsi"/>
                <w:i/>
                <w:iCs/>
                <w:color w:val="C00000"/>
                <w:sz w:val="16"/>
                <w:szCs w:val="16"/>
                <w:lang w:eastAsia="pt-BR"/>
              </w:rPr>
              <w:t>-</w:t>
            </w:r>
          </w:p>
        </w:tc>
      </w:tr>
      <w:tr w:rsidR="00215D71" w:rsidRPr="002672BF" w14:paraId="29B4E7BE" w14:textId="77777777" w:rsidTr="00BD3046">
        <w:trPr>
          <w:trHeight w:val="20"/>
        </w:trPr>
        <w:tc>
          <w:tcPr>
            <w:tcW w:w="268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F3E826B"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Total</w:t>
            </w:r>
          </w:p>
        </w:tc>
        <w:tc>
          <w:tcPr>
            <w:tcW w:w="8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C1E0E8D"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Pr>
                <w:rFonts w:asciiTheme="minorHAnsi" w:eastAsia="Times New Roman" w:hAnsiTheme="minorHAnsi" w:cstheme="minorHAnsi"/>
                <w:b/>
                <w:bCs/>
                <w:sz w:val="16"/>
                <w:szCs w:val="16"/>
                <w:lang w:eastAsia="pt-BR"/>
              </w:rPr>
              <w:t>88</w:t>
            </w:r>
          </w:p>
        </w:tc>
        <w:tc>
          <w:tcPr>
            <w:tcW w:w="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820FC3B"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135</w:t>
            </w:r>
          </w:p>
        </w:tc>
        <w:tc>
          <w:tcPr>
            <w:tcW w:w="878" w:type="dxa"/>
            <w:tcBorders>
              <w:top w:val="single" w:sz="4" w:space="0" w:color="BFBFBF" w:themeColor="background1" w:themeShade="BF"/>
              <w:left w:val="single" w:sz="4" w:space="0" w:color="BFBFBF" w:themeColor="background1" w:themeShade="BF"/>
            </w:tcBorders>
            <w:shd w:val="clear" w:color="auto" w:fill="auto"/>
            <w:vAlign w:val="center"/>
            <w:hideMark/>
          </w:tcPr>
          <w:p w14:paraId="54794870"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 </w:t>
            </w:r>
          </w:p>
        </w:tc>
        <w:tc>
          <w:tcPr>
            <w:tcW w:w="1101" w:type="dxa"/>
            <w:tcBorders>
              <w:top w:val="single" w:sz="4" w:space="0" w:color="BFBFBF" w:themeColor="background1" w:themeShade="BF"/>
            </w:tcBorders>
            <w:shd w:val="clear" w:color="auto" w:fill="auto"/>
            <w:vAlign w:val="center"/>
            <w:hideMark/>
          </w:tcPr>
          <w:p w14:paraId="4BDCC4D5"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 </w:t>
            </w:r>
          </w:p>
        </w:tc>
        <w:tc>
          <w:tcPr>
            <w:tcW w:w="1327" w:type="dxa"/>
            <w:tcBorders>
              <w:top w:val="single" w:sz="4" w:space="0" w:color="BFBFBF" w:themeColor="background1" w:themeShade="BF"/>
            </w:tcBorders>
            <w:shd w:val="clear" w:color="auto" w:fill="auto"/>
            <w:vAlign w:val="center"/>
            <w:hideMark/>
          </w:tcPr>
          <w:p w14:paraId="6F77F88A"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 </w:t>
            </w:r>
          </w:p>
        </w:tc>
        <w:tc>
          <w:tcPr>
            <w:tcW w:w="425" w:type="dxa"/>
            <w:tcBorders>
              <w:top w:val="single" w:sz="4" w:space="0" w:color="BFBFBF" w:themeColor="background1" w:themeShade="BF"/>
            </w:tcBorders>
            <w:shd w:val="clear" w:color="auto" w:fill="auto"/>
            <w:vAlign w:val="center"/>
            <w:hideMark/>
          </w:tcPr>
          <w:p w14:paraId="6886CC2D"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 </w:t>
            </w:r>
          </w:p>
        </w:tc>
        <w:tc>
          <w:tcPr>
            <w:tcW w:w="1053" w:type="dxa"/>
            <w:tcBorders>
              <w:top w:val="single" w:sz="4" w:space="0" w:color="BFBFBF" w:themeColor="background1" w:themeShade="BF"/>
            </w:tcBorders>
            <w:shd w:val="clear" w:color="auto" w:fill="auto"/>
            <w:vAlign w:val="center"/>
            <w:hideMark/>
          </w:tcPr>
          <w:p w14:paraId="1653D8E8"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 </w:t>
            </w:r>
          </w:p>
        </w:tc>
      </w:tr>
    </w:tbl>
    <w:p w14:paraId="1C2B24FD" w14:textId="77777777" w:rsidR="00215D71" w:rsidRDefault="00215D71" w:rsidP="00215D71">
      <w:pPr>
        <w:pStyle w:val="PargrafodaLista"/>
        <w:spacing w:line="240" w:lineRule="auto"/>
        <w:ind w:firstLine="0"/>
        <w:rPr>
          <w:sz w:val="20"/>
        </w:rPr>
      </w:pPr>
      <w:r w:rsidRPr="00D10A6C">
        <w:rPr>
          <w:sz w:val="20"/>
        </w:rPr>
        <w:t>Fonte: Elaboração própria.</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339"/>
        <w:gridCol w:w="1319"/>
        <w:gridCol w:w="850"/>
        <w:gridCol w:w="881"/>
        <w:gridCol w:w="868"/>
        <w:gridCol w:w="1370"/>
        <w:gridCol w:w="419"/>
        <w:gridCol w:w="1059"/>
        <w:gridCol w:w="956"/>
      </w:tblGrid>
      <w:tr w:rsidR="00215D71" w:rsidRPr="002672BF" w14:paraId="4DCCFF67" w14:textId="77777777" w:rsidTr="00BD3046">
        <w:trPr>
          <w:trHeight w:val="20"/>
        </w:trPr>
        <w:tc>
          <w:tcPr>
            <w:tcW w:w="0" w:type="auto"/>
            <w:shd w:val="clear" w:color="000000" w:fill="C00000"/>
            <w:vAlign w:val="center"/>
            <w:hideMark/>
          </w:tcPr>
          <w:p w14:paraId="3E36C3E5" w14:textId="77777777" w:rsidR="00215D71" w:rsidRPr="002672BF" w:rsidRDefault="00215D71" w:rsidP="00BD3046">
            <w:pPr>
              <w:spacing w:after="0" w:line="240" w:lineRule="auto"/>
              <w:jc w:val="center"/>
              <w:rPr>
                <w:rFonts w:asciiTheme="minorHAnsi" w:eastAsia="Times New Roman" w:hAnsiTheme="minorHAnsi" w:cstheme="minorHAnsi"/>
                <w:b/>
                <w:bCs/>
                <w:color w:val="FFFFFF"/>
                <w:sz w:val="16"/>
                <w:szCs w:val="16"/>
                <w:lang w:eastAsia="pt-BR"/>
              </w:rPr>
            </w:pPr>
            <w:r w:rsidRPr="002672BF">
              <w:rPr>
                <w:rFonts w:asciiTheme="minorHAnsi" w:eastAsia="Times New Roman" w:hAnsiTheme="minorHAnsi" w:cstheme="minorHAnsi"/>
                <w:b/>
                <w:bCs/>
                <w:color w:val="FFFFFF"/>
                <w:sz w:val="16"/>
                <w:szCs w:val="16"/>
                <w:lang w:eastAsia="pt-BR"/>
              </w:rPr>
              <w:t>Eixo</w:t>
            </w:r>
          </w:p>
        </w:tc>
        <w:tc>
          <w:tcPr>
            <w:tcW w:w="1319" w:type="dxa"/>
            <w:shd w:val="clear" w:color="000000" w:fill="C00000"/>
            <w:vAlign w:val="center"/>
            <w:hideMark/>
          </w:tcPr>
          <w:p w14:paraId="5605F4B1" w14:textId="77777777" w:rsidR="00215D71" w:rsidRPr="002672BF" w:rsidRDefault="00215D71" w:rsidP="00BD3046">
            <w:pPr>
              <w:spacing w:after="0" w:line="240" w:lineRule="auto"/>
              <w:jc w:val="center"/>
              <w:rPr>
                <w:rFonts w:asciiTheme="minorHAnsi" w:eastAsia="Times New Roman" w:hAnsiTheme="minorHAnsi" w:cstheme="minorHAnsi"/>
                <w:b/>
                <w:bCs/>
                <w:color w:val="FFFFFF"/>
                <w:sz w:val="16"/>
                <w:szCs w:val="16"/>
                <w:lang w:eastAsia="pt-BR"/>
              </w:rPr>
            </w:pPr>
            <w:r w:rsidRPr="002672BF">
              <w:rPr>
                <w:rFonts w:asciiTheme="minorHAnsi" w:eastAsia="Times New Roman" w:hAnsiTheme="minorHAnsi" w:cstheme="minorHAnsi"/>
                <w:b/>
                <w:bCs/>
                <w:color w:val="FFFFFF"/>
                <w:sz w:val="16"/>
                <w:szCs w:val="16"/>
                <w:lang w:eastAsia="pt-BR"/>
              </w:rPr>
              <w:t>Dimensão</w:t>
            </w:r>
          </w:p>
        </w:tc>
        <w:tc>
          <w:tcPr>
            <w:tcW w:w="850" w:type="dxa"/>
            <w:shd w:val="clear" w:color="000000" w:fill="C00000"/>
            <w:vAlign w:val="center"/>
            <w:hideMark/>
          </w:tcPr>
          <w:p w14:paraId="3D891599" w14:textId="77777777" w:rsidR="00215D71" w:rsidRPr="002672BF" w:rsidRDefault="00215D71" w:rsidP="00BD3046">
            <w:pPr>
              <w:spacing w:after="0" w:line="240" w:lineRule="auto"/>
              <w:jc w:val="center"/>
              <w:rPr>
                <w:rFonts w:asciiTheme="minorHAnsi" w:eastAsia="Times New Roman" w:hAnsiTheme="minorHAnsi" w:cstheme="minorHAnsi"/>
                <w:b/>
                <w:bCs/>
                <w:color w:val="FFFFFF"/>
                <w:sz w:val="16"/>
                <w:szCs w:val="16"/>
                <w:lang w:eastAsia="pt-BR"/>
              </w:rPr>
            </w:pPr>
            <w:r w:rsidRPr="002672BF">
              <w:rPr>
                <w:rFonts w:asciiTheme="minorHAnsi" w:eastAsia="Times New Roman" w:hAnsiTheme="minorHAnsi" w:cstheme="minorHAnsi"/>
                <w:b/>
                <w:bCs/>
                <w:color w:val="FFFFFF"/>
                <w:sz w:val="16"/>
                <w:szCs w:val="16"/>
                <w:lang w:eastAsia="pt-BR"/>
              </w:rPr>
              <w:t>Pontuação Obtida</w:t>
            </w:r>
          </w:p>
        </w:tc>
        <w:tc>
          <w:tcPr>
            <w:tcW w:w="0" w:type="auto"/>
            <w:shd w:val="clear" w:color="000000" w:fill="C00000"/>
            <w:vAlign w:val="center"/>
            <w:hideMark/>
          </w:tcPr>
          <w:p w14:paraId="4F0E6C9E" w14:textId="77777777" w:rsidR="00215D71" w:rsidRPr="002672BF" w:rsidRDefault="00215D71" w:rsidP="00BD3046">
            <w:pPr>
              <w:spacing w:after="0" w:line="240" w:lineRule="auto"/>
              <w:jc w:val="center"/>
              <w:rPr>
                <w:rFonts w:asciiTheme="minorHAnsi" w:eastAsia="Times New Roman" w:hAnsiTheme="minorHAnsi" w:cstheme="minorHAnsi"/>
                <w:b/>
                <w:bCs/>
                <w:i/>
                <w:iCs/>
                <w:color w:val="FFFFFF"/>
                <w:sz w:val="16"/>
                <w:szCs w:val="16"/>
                <w:lang w:eastAsia="pt-BR"/>
              </w:rPr>
            </w:pPr>
            <w:r w:rsidRPr="002672BF">
              <w:rPr>
                <w:rFonts w:asciiTheme="minorHAnsi" w:eastAsia="Times New Roman" w:hAnsiTheme="minorHAnsi" w:cstheme="minorHAnsi"/>
                <w:b/>
                <w:bCs/>
                <w:i/>
                <w:iCs/>
                <w:color w:val="FFFFFF"/>
                <w:sz w:val="16"/>
                <w:szCs w:val="16"/>
                <w:lang w:eastAsia="pt-BR"/>
              </w:rPr>
              <w:t>Pontuação Máxima</w:t>
            </w:r>
          </w:p>
        </w:tc>
        <w:tc>
          <w:tcPr>
            <w:tcW w:w="0" w:type="auto"/>
            <w:shd w:val="clear" w:color="000000" w:fill="C00000"/>
            <w:vAlign w:val="center"/>
            <w:hideMark/>
          </w:tcPr>
          <w:p w14:paraId="7769C1A9" w14:textId="77777777" w:rsidR="00215D71" w:rsidRPr="002672BF" w:rsidRDefault="00215D71" w:rsidP="00BD3046">
            <w:pPr>
              <w:spacing w:after="0" w:line="240" w:lineRule="auto"/>
              <w:jc w:val="center"/>
              <w:rPr>
                <w:rFonts w:asciiTheme="minorHAnsi" w:eastAsia="Times New Roman" w:hAnsiTheme="minorHAnsi" w:cstheme="minorHAnsi"/>
                <w:b/>
                <w:bCs/>
                <w:color w:val="FFFFFF"/>
                <w:sz w:val="16"/>
                <w:szCs w:val="16"/>
                <w:lang w:eastAsia="pt-BR"/>
              </w:rPr>
            </w:pPr>
            <w:r w:rsidRPr="002672BF">
              <w:rPr>
                <w:rFonts w:asciiTheme="minorHAnsi" w:eastAsia="Times New Roman" w:hAnsiTheme="minorHAnsi" w:cstheme="minorHAnsi"/>
                <w:b/>
                <w:bCs/>
                <w:color w:val="FFFFFF"/>
                <w:sz w:val="16"/>
                <w:szCs w:val="16"/>
                <w:lang w:eastAsia="pt-BR"/>
              </w:rPr>
              <w:t>Percentual (%)</w:t>
            </w:r>
          </w:p>
        </w:tc>
        <w:tc>
          <w:tcPr>
            <w:tcW w:w="0" w:type="auto"/>
            <w:gridSpan w:val="3"/>
            <w:shd w:val="clear" w:color="000000" w:fill="C00000"/>
            <w:vAlign w:val="center"/>
            <w:hideMark/>
          </w:tcPr>
          <w:p w14:paraId="2F376F8D" w14:textId="77777777" w:rsidR="00215D71" w:rsidRPr="002672BF" w:rsidRDefault="00215D71" w:rsidP="00BD3046">
            <w:pPr>
              <w:spacing w:after="0" w:line="240" w:lineRule="auto"/>
              <w:jc w:val="center"/>
              <w:rPr>
                <w:rFonts w:asciiTheme="minorHAnsi" w:eastAsia="Times New Roman" w:hAnsiTheme="minorHAnsi" w:cstheme="minorHAnsi"/>
                <w:b/>
                <w:bCs/>
                <w:color w:val="FFFFFF"/>
                <w:sz w:val="16"/>
                <w:szCs w:val="16"/>
                <w:lang w:eastAsia="pt-BR"/>
              </w:rPr>
            </w:pPr>
            <w:r w:rsidRPr="002672BF">
              <w:rPr>
                <w:rFonts w:asciiTheme="minorHAnsi" w:eastAsia="Times New Roman" w:hAnsiTheme="minorHAnsi" w:cstheme="minorHAnsi"/>
                <w:b/>
                <w:bCs/>
                <w:color w:val="FFFFFF"/>
                <w:sz w:val="16"/>
                <w:szCs w:val="16"/>
                <w:lang w:eastAsia="pt-BR"/>
              </w:rPr>
              <w:t>Perfil do Fundo (por Eixo)</w:t>
            </w:r>
          </w:p>
        </w:tc>
        <w:tc>
          <w:tcPr>
            <w:tcW w:w="0" w:type="auto"/>
            <w:shd w:val="clear" w:color="000000" w:fill="C00000"/>
            <w:vAlign w:val="center"/>
            <w:hideMark/>
          </w:tcPr>
          <w:p w14:paraId="7CBF3123" w14:textId="77777777" w:rsidR="00215D71" w:rsidRPr="002672BF" w:rsidRDefault="00215D71" w:rsidP="00BD3046">
            <w:pPr>
              <w:spacing w:after="0" w:line="240" w:lineRule="auto"/>
              <w:jc w:val="center"/>
              <w:rPr>
                <w:rFonts w:asciiTheme="minorHAnsi" w:eastAsia="Times New Roman" w:hAnsiTheme="minorHAnsi" w:cstheme="minorHAnsi"/>
                <w:b/>
                <w:bCs/>
                <w:color w:val="FFFFFF"/>
                <w:sz w:val="16"/>
                <w:szCs w:val="16"/>
                <w:lang w:eastAsia="pt-BR"/>
              </w:rPr>
            </w:pPr>
            <w:r w:rsidRPr="002672BF">
              <w:rPr>
                <w:rFonts w:asciiTheme="minorHAnsi" w:eastAsia="Times New Roman" w:hAnsiTheme="minorHAnsi" w:cstheme="minorHAnsi"/>
                <w:b/>
                <w:bCs/>
                <w:color w:val="FFFFFF"/>
                <w:sz w:val="16"/>
                <w:szCs w:val="16"/>
                <w:lang w:eastAsia="pt-BR"/>
              </w:rPr>
              <w:t>Nível de Maturidade</w:t>
            </w:r>
          </w:p>
        </w:tc>
      </w:tr>
      <w:tr w:rsidR="00215D71" w:rsidRPr="002672BF" w14:paraId="756DB5F2" w14:textId="77777777" w:rsidTr="00BD3046">
        <w:trPr>
          <w:trHeight w:val="20"/>
        </w:trPr>
        <w:tc>
          <w:tcPr>
            <w:tcW w:w="0" w:type="auto"/>
            <w:vMerge w:val="restart"/>
            <w:shd w:val="clear" w:color="auto" w:fill="auto"/>
            <w:vAlign w:val="center"/>
            <w:hideMark/>
          </w:tcPr>
          <w:p w14:paraId="4C6EFDA4"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Responsabilidade Arrecadatória</w:t>
            </w:r>
          </w:p>
        </w:tc>
        <w:tc>
          <w:tcPr>
            <w:tcW w:w="1319" w:type="dxa"/>
            <w:shd w:val="clear" w:color="auto" w:fill="auto"/>
            <w:vAlign w:val="center"/>
            <w:hideMark/>
          </w:tcPr>
          <w:p w14:paraId="590553A5"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Jurídico-Estrutural</w:t>
            </w:r>
          </w:p>
        </w:tc>
        <w:tc>
          <w:tcPr>
            <w:tcW w:w="850" w:type="dxa"/>
            <w:shd w:val="clear" w:color="auto" w:fill="auto"/>
            <w:vAlign w:val="center"/>
            <w:hideMark/>
          </w:tcPr>
          <w:p w14:paraId="3C66BD54"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23</w:t>
            </w:r>
          </w:p>
        </w:tc>
        <w:tc>
          <w:tcPr>
            <w:tcW w:w="0" w:type="auto"/>
            <w:shd w:val="clear" w:color="auto" w:fill="auto"/>
            <w:vAlign w:val="center"/>
            <w:hideMark/>
          </w:tcPr>
          <w:p w14:paraId="4C7A17EE"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23</w:t>
            </w:r>
          </w:p>
        </w:tc>
        <w:tc>
          <w:tcPr>
            <w:tcW w:w="0" w:type="auto"/>
            <w:shd w:val="clear" w:color="auto" w:fill="auto"/>
            <w:vAlign w:val="center"/>
            <w:hideMark/>
          </w:tcPr>
          <w:p w14:paraId="02F4EC31"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100%</w:t>
            </w:r>
          </w:p>
        </w:tc>
        <w:tc>
          <w:tcPr>
            <w:tcW w:w="0" w:type="auto"/>
            <w:vMerge w:val="restart"/>
            <w:shd w:val="clear" w:color="auto" w:fill="auto"/>
            <w:vAlign w:val="center"/>
            <w:hideMark/>
          </w:tcPr>
          <w:p w14:paraId="0915C867"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Responsabilidade Arrecadatória</w:t>
            </w:r>
          </w:p>
        </w:tc>
        <w:tc>
          <w:tcPr>
            <w:tcW w:w="0" w:type="auto"/>
            <w:vMerge w:val="restart"/>
            <w:shd w:val="clear" w:color="auto" w:fill="auto"/>
            <w:vAlign w:val="center"/>
            <w:hideMark/>
          </w:tcPr>
          <w:p w14:paraId="23B5DE88"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92%</w:t>
            </w:r>
          </w:p>
        </w:tc>
        <w:tc>
          <w:tcPr>
            <w:tcW w:w="0" w:type="auto"/>
            <w:vMerge w:val="restart"/>
            <w:shd w:val="clear" w:color="auto" w:fill="auto"/>
            <w:vAlign w:val="center"/>
            <w:hideMark/>
          </w:tcPr>
          <w:p w14:paraId="1326B9FA"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D84678">
              <w:rPr>
                <w:rFonts w:asciiTheme="minorHAnsi" w:eastAsia="Times New Roman" w:hAnsiTheme="minorHAnsi" w:cstheme="minorHAnsi"/>
                <w:b/>
                <w:bCs/>
                <w:color w:val="C00000"/>
                <w:sz w:val="16"/>
                <w:szCs w:val="16"/>
                <w:lang w:eastAsia="pt-BR"/>
              </w:rPr>
              <w:t>Pleno</w:t>
            </w:r>
          </w:p>
        </w:tc>
        <w:tc>
          <w:tcPr>
            <w:tcW w:w="0" w:type="auto"/>
            <w:vMerge w:val="restart"/>
            <w:shd w:val="clear" w:color="auto" w:fill="auto"/>
            <w:vAlign w:val="center"/>
            <w:hideMark/>
          </w:tcPr>
          <w:p w14:paraId="4FB9675A" w14:textId="77777777" w:rsidR="00215D71" w:rsidRDefault="00215D71" w:rsidP="00BD3046">
            <w:pPr>
              <w:spacing w:after="0" w:line="240" w:lineRule="auto"/>
              <w:jc w:val="center"/>
              <w:rPr>
                <w:rFonts w:asciiTheme="minorHAnsi" w:eastAsia="Times New Roman" w:hAnsiTheme="minorHAnsi" w:cstheme="minorHAnsi"/>
                <w:b/>
                <w:bCs/>
                <w:sz w:val="16"/>
                <w:szCs w:val="16"/>
                <w:lang w:eastAsia="pt-BR"/>
              </w:rPr>
            </w:pPr>
            <w:r>
              <w:rPr>
                <w:rFonts w:asciiTheme="minorHAnsi" w:eastAsia="Times New Roman" w:hAnsiTheme="minorHAnsi" w:cstheme="minorHAnsi"/>
                <w:b/>
                <w:bCs/>
                <w:sz w:val="16"/>
                <w:szCs w:val="16"/>
                <w:lang w:eastAsia="pt-BR"/>
              </w:rPr>
              <w:t>71</w:t>
            </w:r>
            <w:r w:rsidRPr="002672BF">
              <w:rPr>
                <w:rFonts w:asciiTheme="minorHAnsi" w:eastAsia="Times New Roman" w:hAnsiTheme="minorHAnsi" w:cstheme="minorHAnsi"/>
                <w:b/>
                <w:bCs/>
                <w:sz w:val="16"/>
                <w:szCs w:val="16"/>
                <w:lang w:eastAsia="pt-BR"/>
              </w:rPr>
              <w:t>%</w:t>
            </w:r>
          </w:p>
          <w:p w14:paraId="16BEBA62" w14:textId="77777777" w:rsidR="00215D71" w:rsidRDefault="00215D71" w:rsidP="00BD3046">
            <w:pPr>
              <w:spacing w:after="0" w:line="240" w:lineRule="auto"/>
              <w:jc w:val="center"/>
              <w:rPr>
                <w:rFonts w:asciiTheme="minorHAnsi" w:eastAsia="Times New Roman" w:hAnsiTheme="minorHAnsi" w:cstheme="minorHAnsi"/>
                <w:b/>
                <w:bCs/>
                <w:sz w:val="16"/>
                <w:szCs w:val="16"/>
                <w:lang w:eastAsia="pt-BR"/>
              </w:rPr>
            </w:pPr>
          </w:p>
          <w:p w14:paraId="2E00F2C2"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D84678">
              <w:rPr>
                <w:rFonts w:asciiTheme="minorHAnsi" w:eastAsia="Times New Roman" w:hAnsiTheme="minorHAnsi" w:cstheme="minorHAnsi"/>
                <w:b/>
                <w:bCs/>
                <w:color w:val="C00000"/>
                <w:sz w:val="16"/>
                <w:szCs w:val="16"/>
                <w:lang w:eastAsia="pt-BR"/>
              </w:rPr>
              <w:t>Boa Maturidade</w:t>
            </w:r>
          </w:p>
        </w:tc>
      </w:tr>
      <w:tr w:rsidR="00215D71" w:rsidRPr="002672BF" w14:paraId="7A4AAE00" w14:textId="77777777" w:rsidTr="00BD3046">
        <w:trPr>
          <w:trHeight w:val="20"/>
        </w:trPr>
        <w:tc>
          <w:tcPr>
            <w:tcW w:w="0" w:type="auto"/>
            <w:vMerge/>
            <w:shd w:val="clear" w:color="auto" w:fill="auto"/>
            <w:vAlign w:val="center"/>
          </w:tcPr>
          <w:p w14:paraId="0CE9EAF8"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04E7EEDC"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Financeira e Orçamentária</w:t>
            </w:r>
          </w:p>
        </w:tc>
        <w:tc>
          <w:tcPr>
            <w:tcW w:w="850" w:type="dxa"/>
            <w:shd w:val="clear" w:color="auto" w:fill="auto"/>
            <w:vAlign w:val="center"/>
            <w:hideMark/>
          </w:tcPr>
          <w:p w14:paraId="50C31B54"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4</w:t>
            </w:r>
          </w:p>
        </w:tc>
        <w:tc>
          <w:tcPr>
            <w:tcW w:w="0" w:type="auto"/>
            <w:shd w:val="clear" w:color="auto" w:fill="auto"/>
            <w:vAlign w:val="center"/>
            <w:hideMark/>
          </w:tcPr>
          <w:p w14:paraId="67FC4233"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6</w:t>
            </w:r>
          </w:p>
        </w:tc>
        <w:tc>
          <w:tcPr>
            <w:tcW w:w="0" w:type="auto"/>
            <w:shd w:val="clear" w:color="auto" w:fill="auto"/>
            <w:vAlign w:val="center"/>
            <w:hideMark/>
          </w:tcPr>
          <w:p w14:paraId="538492D1"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67%</w:t>
            </w:r>
          </w:p>
        </w:tc>
        <w:tc>
          <w:tcPr>
            <w:tcW w:w="0" w:type="auto"/>
            <w:vMerge/>
            <w:vAlign w:val="center"/>
            <w:hideMark/>
          </w:tcPr>
          <w:p w14:paraId="2001322C"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68EE7815"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1F819D04"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4A715EB2"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4B573E77" w14:textId="77777777" w:rsidTr="00BD3046">
        <w:trPr>
          <w:trHeight w:val="20"/>
        </w:trPr>
        <w:tc>
          <w:tcPr>
            <w:tcW w:w="0" w:type="auto"/>
            <w:vMerge/>
            <w:shd w:val="clear" w:color="auto" w:fill="auto"/>
            <w:vAlign w:val="center"/>
          </w:tcPr>
          <w:p w14:paraId="1E021FF3"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5290811F"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Político-Institucional</w:t>
            </w:r>
          </w:p>
        </w:tc>
        <w:tc>
          <w:tcPr>
            <w:tcW w:w="850" w:type="dxa"/>
            <w:shd w:val="clear" w:color="auto" w:fill="auto"/>
            <w:vAlign w:val="center"/>
            <w:hideMark/>
          </w:tcPr>
          <w:p w14:paraId="0CB665EB"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3</w:t>
            </w:r>
          </w:p>
        </w:tc>
        <w:tc>
          <w:tcPr>
            <w:tcW w:w="0" w:type="auto"/>
            <w:shd w:val="clear" w:color="auto" w:fill="auto"/>
            <w:vAlign w:val="center"/>
            <w:hideMark/>
          </w:tcPr>
          <w:p w14:paraId="4C70B22D"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3</w:t>
            </w:r>
          </w:p>
        </w:tc>
        <w:tc>
          <w:tcPr>
            <w:tcW w:w="0" w:type="auto"/>
            <w:shd w:val="clear" w:color="auto" w:fill="auto"/>
            <w:vAlign w:val="center"/>
            <w:hideMark/>
          </w:tcPr>
          <w:p w14:paraId="1A703EF8"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100%</w:t>
            </w:r>
          </w:p>
        </w:tc>
        <w:tc>
          <w:tcPr>
            <w:tcW w:w="0" w:type="auto"/>
            <w:vMerge/>
            <w:vAlign w:val="center"/>
            <w:hideMark/>
          </w:tcPr>
          <w:p w14:paraId="5F2C62AB"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44D22B43"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4DD28DD1"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21977B05"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4710AB49" w14:textId="77777777" w:rsidTr="00BD3046">
        <w:trPr>
          <w:trHeight w:val="20"/>
        </w:trPr>
        <w:tc>
          <w:tcPr>
            <w:tcW w:w="0" w:type="auto"/>
            <w:vMerge/>
            <w:shd w:val="clear" w:color="auto" w:fill="auto"/>
            <w:vAlign w:val="center"/>
          </w:tcPr>
          <w:p w14:paraId="6D04384A"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55F05FA6"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Participativa e de Transparência</w:t>
            </w:r>
          </w:p>
        </w:tc>
        <w:tc>
          <w:tcPr>
            <w:tcW w:w="850" w:type="dxa"/>
            <w:shd w:val="clear" w:color="auto" w:fill="auto"/>
            <w:vAlign w:val="center"/>
            <w:hideMark/>
          </w:tcPr>
          <w:p w14:paraId="01924B62"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3</w:t>
            </w:r>
          </w:p>
        </w:tc>
        <w:tc>
          <w:tcPr>
            <w:tcW w:w="0" w:type="auto"/>
            <w:shd w:val="clear" w:color="auto" w:fill="auto"/>
            <w:vAlign w:val="center"/>
            <w:hideMark/>
          </w:tcPr>
          <w:p w14:paraId="6462AD8A"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3</w:t>
            </w:r>
          </w:p>
        </w:tc>
        <w:tc>
          <w:tcPr>
            <w:tcW w:w="0" w:type="auto"/>
            <w:shd w:val="clear" w:color="auto" w:fill="auto"/>
            <w:vAlign w:val="center"/>
            <w:hideMark/>
          </w:tcPr>
          <w:p w14:paraId="38A87727"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100%</w:t>
            </w:r>
          </w:p>
        </w:tc>
        <w:tc>
          <w:tcPr>
            <w:tcW w:w="0" w:type="auto"/>
            <w:vMerge/>
            <w:vAlign w:val="center"/>
            <w:hideMark/>
          </w:tcPr>
          <w:p w14:paraId="31EFE750"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5B89C13A"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4EC6ADC1"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37049D3B"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66C29A78" w14:textId="77777777" w:rsidTr="00BD3046">
        <w:trPr>
          <w:trHeight w:val="20"/>
        </w:trPr>
        <w:tc>
          <w:tcPr>
            <w:tcW w:w="0" w:type="auto"/>
            <w:vMerge w:val="restart"/>
            <w:shd w:val="clear" w:color="auto" w:fill="auto"/>
            <w:vAlign w:val="center"/>
            <w:hideMark/>
          </w:tcPr>
          <w:p w14:paraId="6587FAF7"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Planejamento Orçamentário</w:t>
            </w:r>
          </w:p>
        </w:tc>
        <w:tc>
          <w:tcPr>
            <w:tcW w:w="1319" w:type="dxa"/>
            <w:shd w:val="clear" w:color="auto" w:fill="auto"/>
            <w:vAlign w:val="center"/>
            <w:hideMark/>
          </w:tcPr>
          <w:p w14:paraId="2CB3C1B4"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Jurídico-Estrutural</w:t>
            </w:r>
          </w:p>
        </w:tc>
        <w:tc>
          <w:tcPr>
            <w:tcW w:w="850" w:type="dxa"/>
            <w:shd w:val="clear" w:color="auto" w:fill="auto"/>
            <w:vAlign w:val="center"/>
            <w:hideMark/>
          </w:tcPr>
          <w:p w14:paraId="071AE66B"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6</w:t>
            </w:r>
          </w:p>
        </w:tc>
        <w:tc>
          <w:tcPr>
            <w:tcW w:w="0" w:type="auto"/>
            <w:shd w:val="clear" w:color="auto" w:fill="auto"/>
            <w:vAlign w:val="center"/>
            <w:hideMark/>
          </w:tcPr>
          <w:p w14:paraId="2E064A0C"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9</w:t>
            </w:r>
          </w:p>
        </w:tc>
        <w:tc>
          <w:tcPr>
            <w:tcW w:w="0" w:type="auto"/>
            <w:shd w:val="clear" w:color="auto" w:fill="auto"/>
            <w:vAlign w:val="center"/>
            <w:hideMark/>
          </w:tcPr>
          <w:p w14:paraId="42538A85"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67%</w:t>
            </w:r>
          </w:p>
        </w:tc>
        <w:tc>
          <w:tcPr>
            <w:tcW w:w="0" w:type="auto"/>
            <w:vMerge w:val="restart"/>
            <w:shd w:val="clear" w:color="auto" w:fill="auto"/>
            <w:vAlign w:val="center"/>
            <w:hideMark/>
          </w:tcPr>
          <w:p w14:paraId="19F5FA31"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Planejamento Orçamentário</w:t>
            </w:r>
          </w:p>
        </w:tc>
        <w:tc>
          <w:tcPr>
            <w:tcW w:w="0" w:type="auto"/>
            <w:vMerge w:val="restart"/>
            <w:shd w:val="clear" w:color="auto" w:fill="auto"/>
            <w:vAlign w:val="center"/>
            <w:hideMark/>
          </w:tcPr>
          <w:p w14:paraId="0C8BF688"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Pr>
                <w:rFonts w:asciiTheme="minorHAnsi" w:eastAsia="Times New Roman" w:hAnsiTheme="minorHAnsi" w:cstheme="minorHAnsi"/>
                <w:b/>
                <w:bCs/>
                <w:sz w:val="16"/>
                <w:szCs w:val="16"/>
                <w:lang w:eastAsia="pt-BR"/>
              </w:rPr>
              <w:t>66</w:t>
            </w:r>
            <w:r w:rsidRPr="002672BF">
              <w:rPr>
                <w:rFonts w:asciiTheme="minorHAnsi" w:eastAsia="Times New Roman" w:hAnsiTheme="minorHAnsi" w:cstheme="minorHAnsi"/>
                <w:b/>
                <w:bCs/>
                <w:sz w:val="16"/>
                <w:szCs w:val="16"/>
                <w:lang w:eastAsia="pt-BR"/>
              </w:rPr>
              <w:t>%</w:t>
            </w:r>
          </w:p>
        </w:tc>
        <w:tc>
          <w:tcPr>
            <w:tcW w:w="0" w:type="auto"/>
            <w:vMerge w:val="restart"/>
            <w:shd w:val="clear" w:color="auto" w:fill="auto"/>
            <w:vAlign w:val="center"/>
            <w:hideMark/>
          </w:tcPr>
          <w:p w14:paraId="707D72E1"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D84678">
              <w:rPr>
                <w:rFonts w:asciiTheme="minorHAnsi" w:eastAsia="Times New Roman" w:hAnsiTheme="minorHAnsi" w:cstheme="minorHAnsi"/>
                <w:b/>
                <w:bCs/>
                <w:color w:val="C00000"/>
                <w:sz w:val="16"/>
                <w:szCs w:val="16"/>
                <w:lang w:eastAsia="pt-BR"/>
              </w:rPr>
              <w:t>Avançado</w:t>
            </w:r>
          </w:p>
        </w:tc>
        <w:tc>
          <w:tcPr>
            <w:tcW w:w="0" w:type="auto"/>
            <w:vMerge/>
            <w:vAlign w:val="center"/>
            <w:hideMark/>
          </w:tcPr>
          <w:p w14:paraId="17AD19C7"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59D4B0D0" w14:textId="77777777" w:rsidTr="00BD3046">
        <w:trPr>
          <w:trHeight w:val="20"/>
        </w:trPr>
        <w:tc>
          <w:tcPr>
            <w:tcW w:w="0" w:type="auto"/>
            <w:vMerge/>
            <w:shd w:val="clear" w:color="auto" w:fill="auto"/>
            <w:vAlign w:val="center"/>
          </w:tcPr>
          <w:p w14:paraId="52ACC9C1"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49C4DAFD"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Institucional e Organizacional</w:t>
            </w:r>
          </w:p>
        </w:tc>
        <w:tc>
          <w:tcPr>
            <w:tcW w:w="850" w:type="dxa"/>
            <w:shd w:val="clear" w:color="auto" w:fill="auto"/>
            <w:vAlign w:val="center"/>
            <w:hideMark/>
          </w:tcPr>
          <w:p w14:paraId="2011E8A4"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9</w:t>
            </w:r>
          </w:p>
        </w:tc>
        <w:tc>
          <w:tcPr>
            <w:tcW w:w="0" w:type="auto"/>
            <w:shd w:val="clear" w:color="auto" w:fill="auto"/>
            <w:vAlign w:val="center"/>
            <w:hideMark/>
          </w:tcPr>
          <w:p w14:paraId="6A168F0D"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11</w:t>
            </w:r>
          </w:p>
        </w:tc>
        <w:tc>
          <w:tcPr>
            <w:tcW w:w="0" w:type="auto"/>
            <w:shd w:val="clear" w:color="auto" w:fill="auto"/>
            <w:vAlign w:val="center"/>
            <w:hideMark/>
          </w:tcPr>
          <w:p w14:paraId="7E7ADDC1"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82%</w:t>
            </w:r>
          </w:p>
        </w:tc>
        <w:tc>
          <w:tcPr>
            <w:tcW w:w="0" w:type="auto"/>
            <w:vMerge/>
            <w:vAlign w:val="center"/>
            <w:hideMark/>
          </w:tcPr>
          <w:p w14:paraId="4A9A34DE"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18EAF6F4"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09109B00"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5D1716DB"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39140348" w14:textId="77777777" w:rsidTr="00BD3046">
        <w:trPr>
          <w:trHeight w:val="20"/>
        </w:trPr>
        <w:tc>
          <w:tcPr>
            <w:tcW w:w="0" w:type="auto"/>
            <w:vMerge/>
            <w:shd w:val="clear" w:color="auto" w:fill="auto"/>
            <w:vAlign w:val="center"/>
          </w:tcPr>
          <w:p w14:paraId="4F9012EC"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6532CF22"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Político-Institucional</w:t>
            </w:r>
          </w:p>
        </w:tc>
        <w:tc>
          <w:tcPr>
            <w:tcW w:w="850" w:type="dxa"/>
            <w:shd w:val="clear" w:color="auto" w:fill="auto"/>
            <w:vAlign w:val="center"/>
            <w:hideMark/>
          </w:tcPr>
          <w:p w14:paraId="69413EAA"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w:t>
            </w:r>
          </w:p>
        </w:tc>
        <w:tc>
          <w:tcPr>
            <w:tcW w:w="0" w:type="auto"/>
            <w:shd w:val="clear" w:color="auto" w:fill="auto"/>
            <w:vAlign w:val="center"/>
            <w:hideMark/>
          </w:tcPr>
          <w:p w14:paraId="070DEE81"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7</w:t>
            </w:r>
          </w:p>
        </w:tc>
        <w:tc>
          <w:tcPr>
            <w:tcW w:w="0" w:type="auto"/>
            <w:shd w:val="clear" w:color="auto" w:fill="auto"/>
            <w:vAlign w:val="center"/>
            <w:hideMark/>
          </w:tcPr>
          <w:p w14:paraId="3C83902C"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14%</w:t>
            </w:r>
          </w:p>
        </w:tc>
        <w:tc>
          <w:tcPr>
            <w:tcW w:w="0" w:type="auto"/>
            <w:vMerge/>
            <w:vAlign w:val="center"/>
            <w:hideMark/>
          </w:tcPr>
          <w:p w14:paraId="1E3EC280"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68B86C28"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061A3B90"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376BAE8C"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72702BA5" w14:textId="77777777" w:rsidTr="00BD3046">
        <w:trPr>
          <w:trHeight w:val="20"/>
        </w:trPr>
        <w:tc>
          <w:tcPr>
            <w:tcW w:w="0" w:type="auto"/>
            <w:vMerge/>
            <w:shd w:val="clear" w:color="auto" w:fill="auto"/>
            <w:vAlign w:val="center"/>
          </w:tcPr>
          <w:p w14:paraId="4FCEB380"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47C9273E"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Financeira e Orçamentária</w:t>
            </w:r>
          </w:p>
        </w:tc>
        <w:tc>
          <w:tcPr>
            <w:tcW w:w="850" w:type="dxa"/>
            <w:shd w:val="clear" w:color="auto" w:fill="auto"/>
            <w:vAlign w:val="center"/>
            <w:hideMark/>
          </w:tcPr>
          <w:p w14:paraId="0AF34507"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7</w:t>
            </w:r>
          </w:p>
        </w:tc>
        <w:tc>
          <w:tcPr>
            <w:tcW w:w="0" w:type="auto"/>
            <w:shd w:val="clear" w:color="auto" w:fill="auto"/>
            <w:vAlign w:val="center"/>
            <w:hideMark/>
          </w:tcPr>
          <w:p w14:paraId="31ABC64E"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7</w:t>
            </w:r>
          </w:p>
        </w:tc>
        <w:tc>
          <w:tcPr>
            <w:tcW w:w="0" w:type="auto"/>
            <w:shd w:val="clear" w:color="auto" w:fill="auto"/>
            <w:vAlign w:val="center"/>
            <w:hideMark/>
          </w:tcPr>
          <w:p w14:paraId="25E370FC"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100%</w:t>
            </w:r>
          </w:p>
        </w:tc>
        <w:tc>
          <w:tcPr>
            <w:tcW w:w="0" w:type="auto"/>
            <w:vMerge/>
            <w:vAlign w:val="center"/>
            <w:hideMark/>
          </w:tcPr>
          <w:p w14:paraId="21723470"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35526BB4"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35FAA904"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6C32C303"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5BCA3FD5" w14:textId="77777777" w:rsidTr="00BD3046">
        <w:trPr>
          <w:trHeight w:val="20"/>
        </w:trPr>
        <w:tc>
          <w:tcPr>
            <w:tcW w:w="0" w:type="auto"/>
            <w:vMerge/>
            <w:shd w:val="clear" w:color="auto" w:fill="auto"/>
            <w:vAlign w:val="center"/>
          </w:tcPr>
          <w:p w14:paraId="544745F6"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4D53D34C"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Avaliativa</w:t>
            </w:r>
          </w:p>
        </w:tc>
        <w:tc>
          <w:tcPr>
            <w:tcW w:w="850" w:type="dxa"/>
            <w:shd w:val="clear" w:color="auto" w:fill="auto"/>
            <w:vAlign w:val="center"/>
            <w:hideMark/>
          </w:tcPr>
          <w:p w14:paraId="23DDD7CA"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5</w:t>
            </w:r>
          </w:p>
        </w:tc>
        <w:tc>
          <w:tcPr>
            <w:tcW w:w="0" w:type="auto"/>
            <w:shd w:val="clear" w:color="auto" w:fill="auto"/>
            <w:vAlign w:val="center"/>
            <w:hideMark/>
          </w:tcPr>
          <w:p w14:paraId="10AC174F"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5</w:t>
            </w:r>
          </w:p>
        </w:tc>
        <w:tc>
          <w:tcPr>
            <w:tcW w:w="0" w:type="auto"/>
            <w:shd w:val="clear" w:color="auto" w:fill="auto"/>
            <w:vAlign w:val="center"/>
            <w:hideMark/>
          </w:tcPr>
          <w:p w14:paraId="3506EAA5"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100%</w:t>
            </w:r>
          </w:p>
        </w:tc>
        <w:tc>
          <w:tcPr>
            <w:tcW w:w="0" w:type="auto"/>
            <w:vMerge/>
            <w:vAlign w:val="center"/>
            <w:hideMark/>
          </w:tcPr>
          <w:p w14:paraId="65649794"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5F17E839"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3334BC48"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0927ED60"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74784C95" w14:textId="77777777" w:rsidTr="00BD3046">
        <w:trPr>
          <w:trHeight w:val="20"/>
        </w:trPr>
        <w:tc>
          <w:tcPr>
            <w:tcW w:w="0" w:type="auto"/>
            <w:vMerge/>
            <w:shd w:val="clear" w:color="auto" w:fill="auto"/>
            <w:vAlign w:val="center"/>
          </w:tcPr>
          <w:p w14:paraId="78FFC4EA"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07322C7D"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Histórico-Evolutiva</w:t>
            </w:r>
          </w:p>
        </w:tc>
        <w:tc>
          <w:tcPr>
            <w:tcW w:w="850" w:type="dxa"/>
            <w:shd w:val="clear" w:color="auto" w:fill="auto"/>
            <w:vAlign w:val="center"/>
            <w:hideMark/>
          </w:tcPr>
          <w:p w14:paraId="2AE1650B"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2</w:t>
            </w:r>
          </w:p>
        </w:tc>
        <w:tc>
          <w:tcPr>
            <w:tcW w:w="0" w:type="auto"/>
            <w:shd w:val="clear" w:color="auto" w:fill="auto"/>
            <w:vAlign w:val="center"/>
            <w:hideMark/>
          </w:tcPr>
          <w:p w14:paraId="23EE223A"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6</w:t>
            </w:r>
          </w:p>
        </w:tc>
        <w:tc>
          <w:tcPr>
            <w:tcW w:w="0" w:type="auto"/>
            <w:shd w:val="clear" w:color="auto" w:fill="auto"/>
            <w:vAlign w:val="center"/>
            <w:hideMark/>
          </w:tcPr>
          <w:p w14:paraId="01A3CCA3"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33%</w:t>
            </w:r>
          </w:p>
        </w:tc>
        <w:tc>
          <w:tcPr>
            <w:tcW w:w="0" w:type="auto"/>
            <w:vMerge/>
            <w:vAlign w:val="center"/>
            <w:hideMark/>
          </w:tcPr>
          <w:p w14:paraId="03EE3A39"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653C483D"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54AC45F3"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70046A8B"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37DBB939" w14:textId="77777777" w:rsidTr="00BD3046">
        <w:trPr>
          <w:trHeight w:val="20"/>
        </w:trPr>
        <w:tc>
          <w:tcPr>
            <w:tcW w:w="0" w:type="auto"/>
            <w:vMerge w:val="restart"/>
            <w:shd w:val="clear" w:color="auto" w:fill="auto"/>
            <w:vAlign w:val="center"/>
            <w:hideMark/>
          </w:tcPr>
          <w:p w14:paraId="461ED428"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Execução Orçamentária e Financeira</w:t>
            </w:r>
          </w:p>
        </w:tc>
        <w:tc>
          <w:tcPr>
            <w:tcW w:w="1319" w:type="dxa"/>
            <w:shd w:val="clear" w:color="auto" w:fill="auto"/>
            <w:vAlign w:val="center"/>
            <w:hideMark/>
          </w:tcPr>
          <w:p w14:paraId="27BDEF41"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Financeira e Orçamentária</w:t>
            </w:r>
          </w:p>
        </w:tc>
        <w:tc>
          <w:tcPr>
            <w:tcW w:w="850" w:type="dxa"/>
            <w:shd w:val="clear" w:color="auto" w:fill="auto"/>
            <w:vAlign w:val="center"/>
            <w:hideMark/>
          </w:tcPr>
          <w:p w14:paraId="3C905998"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Pr>
                <w:rFonts w:asciiTheme="minorHAnsi" w:eastAsia="Times New Roman" w:hAnsiTheme="minorHAnsi" w:cstheme="minorHAnsi"/>
                <w:sz w:val="16"/>
                <w:szCs w:val="16"/>
                <w:lang w:eastAsia="pt-BR"/>
              </w:rPr>
              <w:t>10</w:t>
            </w:r>
          </w:p>
        </w:tc>
        <w:tc>
          <w:tcPr>
            <w:tcW w:w="0" w:type="auto"/>
            <w:shd w:val="clear" w:color="auto" w:fill="auto"/>
            <w:vAlign w:val="center"/>
            <w:hideMark/>
          </w:tcPr>
          <w:p w14:paraId="08C9F2EA"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22</w:t>
            </w:r>
          </w:p>
        </w:tc>
        <w:tc>
          <w:tcPr>
            <w:tcW w:w="0" w:type="auto"/>
            <w:shd w:val="clear" w:color="auto" w:fill="auto"/>
            <w:vAlign w:val="center"/>
            <w:hideMark/>
          </w:tcPr>
          <w:p w14:paraId="4678B48D"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Pr>
                <w:rFonts w:asciiTheme="minorHAnsi" w:eastAsia="Times New Roman" w:hAnsiTheme="minorHAnsi" w:cstheme="minorHAnsi"/>
                <w:sz w:val="16"/>
                <w:szCs w:val="16"/>
                <w:lang w:eastAsia="pt-BR"/>
              </w:rPr>
              <w:t>45</w:t>
            </w:r>
            <w:r w:rsidRPr="002672BF">
              <w:rPr>
                <w:rFonts w:asciiTheme="minorHAnsi" w:eastAsia="Times New Roman" w:hAnsiTheme="minorHAnsi" w:cstheme="minorHAnsi"/>
                <w:sz w:val="16"/>
                <w:szCs w:val="16"/>
                <w:lang w:eastAsia="pt-BR"/>
              </w:rPr>
              <w:t>%</w:t>
            </w:r>
          </w:p>
        </w:tc>
        <w:tc>
          <w:tcPr>
            <w:tcW w:w="0" w:type="auto"/>
            <w:vMerge w:val="restart"/>
            <w:shd w:val="clear" w:color="auto" w:fill="auto"/>
            <w:vAlign w:val="center"/>
            <w:hideMark/>
          </w:tcPr>
          <w:p w14:paraId="1FB3723F"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2672BF">
              <w:rPr>
                <w:rFonts w:asciiTheme="minorHAnsi" w:eastAsia="Times New Roman" w:hAnsiTheme="minorHAnsi" w:cstheme="minorHAnsi"/>
                <w:b/>
                <w:bCs/>
                <w:sz w:val="16"/>
                <w:szCs w:val="16"/>
                <w:lang w:eastAsia="pt-BR"/>
              </w:rPr>
              <w:t>Execução Orçamentária e Financeira</w:t>
            </w:r>
          </w:p>
        </w:tc>
        <w:tc>
          <w:tcPr>
            <w:tcW w:w="0" w:type="auto"/>
            <w:vMerge w:val="restart"/>
            <w:shd w:val="clear" w:color="auto" w:fill="auto"/>
            <w:vAlign w:val="center"/>
            <w:hideMark/>
          </w:tcPr>
          <w:p w14:paraId="42329961"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Pr>
                <w:rFonts w:asciiTheme="minorHAnsi" w:eastAsia="Times New Roman" w:hAnsiTheme="minorHAnsi" w:cstheme="minorHAnsi"/>
                <w:b/>
                <w:bCs/>
                <w:sz w:val="16"/>
                <w:szCs w:val="16"/>
                <w:lang w:eastAsia="pt-BR"/>
              </w:rPr>
              <w:t>54</w:t>
            </w:r>
            <w:r w:rsidRPr="002672BF">
              <w:rPr>
                <w:rFonts w:asciiTheme="minorHAnsi" w:eastAsia="Times New Roman" w:hAnsiTheme="minorHAnsi" w:cstheme="minorHAnsi"/>
                <w:b/>
                <w:bCs/>
                <w:sz w:val="16"/>
                <w:szCs w:val="16"/>
                <w:lang w:eastAsia="pt-BR"/>
              </w:rPr>
              <w:t>%</w:t>
            </w:r>
          </w:p>
        </w:tc>
        <w:tc>
          <w:tcPr>
            <w:tcW w:w="0" w:type="auto"/>
            <w:vMerge w:val="restart"/>
            <w:shd w:val="clear" w:color="auto" w:fill="auto"/>
            <w:vAlign w:val="center"/>
            <w:hideMark/>
          </w:tcPr>
          <w:p w14:paraId="2A32E473" w14:textId="77777777" w:rsidR="00215D71" w:rsidRPr="002672BF" w:rsidRDefault="00215D71" w:rsidP="00BD3046">
            <w:pPr>
              <w:spacing w:after="0" w:line="240" w:lineRule="auto"/>
              <w:jc w:val="center"/>
              <w:rPr>
                <w:rFonts w:asciiTheme="minorHAnsi" w:eastAsia="Times New Roman" w:hAnsiTheme="minorHAnsi" w:cstheme="minorHAnsi"/>
                <w:b/>
                <w:bCs/>
                <w:sz w:val="16"/>
                <w:szCs w:val="16"/>
                <w:lang w:eastAsia="pt-BR"/>
              </w:rPr>
            </w:pPr>
            <w:r w:rsidRPr="00D84678">
              <w:rPr>
                <w:rFonts w:asciiTheme="minorHAnsi" w:eastAsia="Times New Roman" w:hAnsiTheme="minorHAnsi" w:cstheme="minorHAnsi"/>
                <w:b/>
                <w:bCs/>
                <w:color w:val="C00000"/>
                <w:sz w:val="16"/>
                <w:szCs w:val="16"/>
                <w:lang w:eastAsia="pt-BR"/>
              </w:rPr>
              <w:t>Intermediário</w:t>
            </w:r>
          </w:p>
        </w:tc>
        <w:tc>
          <w:tcPr>
            <w:tcW w:w="0" w:type="auto"/>
            <w:vMerge/>
            <w:vAlign w:val="center"/>
            <w:hideMark/>
          </w:tcPr>
          <w:p w14:paraId="7D72CAD1"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5EB208F2" w14:textId="77777777" w:rsidTr="00BD3046">
        <w:trPr>
          <w:trHeight w:val="20"/>
        </w:trPr>
        <w:tc>
          <w:tcPr>
            <w:tcW w:w="0" w:type="auto"/>
            <w:vMerge/>
            <w:shd w:val="clear" w:color="auto" w:fill="auto"/>
            <w:vAlign w:val="center"/>
          </w:tcPr>
          <w:p w14:paraId="035D9EF2"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39A75838"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Político-Institucional</w:t>
            </w:r>
          </w:p>
        </w:tc>
        <w:tc>
          <w:tcPr>
            <w:tcW w:w="850" w:type="dxa"/>
            <w:shd w:val="clear" w:color="auto" w:fill="auto"/>
            <w:vAlign w:val="center"/>
            <w:hideMark/>
          </w:tcPr>
          <w:p w14:paraId="63F03FEC"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2</w:t>
            </w:r>
          </w:p>
        </w:tc>
        <w:tc>
          <w:tcPr>
            <w:tcW w:w="0" w:type="auto"/>
            <w:shd w:val="clear" w:color="auto" w:fill="auto"/>
            <w:vAlign w:val="center"/>
            <w:hideMark/>
          </w:tcPr>
          <w:p w14:paraId="12D129F0"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2</w:t>
            </w:r>
          </w:p>
        </w:tc>
        <w:tc>
          <w:tcPr>
            <w:tcW w:w="0" w:type="auto"/>
            <w:shd w:val="clear" w:color="auto" w:fill="auto"/>
            <w:vAlign w:val="center"/>
            <w:hideMark/>
          </w:tcPr>
          <w:p w14:paraId="7D42908F"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100%</w:t>
            </w:r>
          </w:p>
        </w:tc>
        <w:tc>
          <w:tcPr>
            <w:tcW w:w="0" w:type="auto"/>
            <w:vMerge/>
            <w:vAlign w:val="center"/>
            <w:hideMark/>
          </w:tcPr>
          <w:p w14:paraId="7DB0BCE0"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004AD231"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516E5C2B"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11D2CA92"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5167E769" w14:textId="77777777" w:rsidTr="00BD3046">
        <w:trPr>
          <w:trHeight w:val="20"/>
        </w:trPr>
        <w:tc>
          <w:tcPr>
            <w:tcW w:w="0" w:type="auto"/>
            <w:vMerge/>
            <w:shd w:val="clear" w:color="auto" w:fill="auto"/>
            <w:vAlign w:val="center"/>
          </w:tcPr>
          <w:p w14:paraId="6F0E17CF"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0AB44F9F"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Avaliativa</w:t>
            </w:r>
          </w:p>
        </w:tc>
        <w:tc>
          <w:tcPr>
            <w:tcW w:w="850" w:type="dxa"/>
            <w:shd w:val="clear" w:color="auto" w:fill="auto"/>
            <w:vAlign w:val="center"/>
            <w:hideMark/>
          </w:tcPr>
          <w:p w14:paraId="425F3E22"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7</w:t>
            </w:r>
          </w:p>
        </w:tc>
        <w:tc>
          <w:tcPr>
            <w:tcW w:w="0" w:type="auto"/>
            <w:shd w:val="clear" w:color="auto" w:fill="auto"/>
            <w:vAlign w:val="center"/>
            <w:hideMark/>
          </w:tcPr>
          <w:p w14:paraId="5ADF811B"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14</w:t>
            </w:r>
          </w:p>
        </w:tc>
        <w:tc>
          <w:tcPr>
            <w:tcW w:w="0" w:type="auto"/>
            <w:shd w:val="clear" w:color="auto" w:fill="auto"/>
            <w:vAlign w:val="center"/>
            <w:hideMark/>
          </w:tcPr>
          <w:p w14:paraId="4B68D215"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50%</w:t>
            </w:r>
          </w:p>
        </w:tc>
        <w:tc>
          <w:tcPr>
            <w:tcW w:w="0" w:type="auto"/>
            <w:vMerge/>
            <w:vAlign w:val="center"/>
            <w:hideMark/>
          </w:tcPr>
          <w:p w14:paraId="0F505157"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174D24B0"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0585429E"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6459503C"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37BFF71C" w14:textId="77777777" w:rsidTr="00BD3046">
        <w:trPr>
          <w:trHeight w:val="20"/>
        </w:trPr>
        <w:tc>
          <w:tcPr>
            <w:tcW w:w="0" w:type="auto"/>
            <w:vMerge/>
            <w:shd w:val="clear" w:color="auto" w:fill="auto"/>
            <w:vAlign w:val="center"/>
            <w:hideMark/>
          </w:tcPr>
          <w:p w14:paraId="1A258A47"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2D36852F"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Participativa e de Transparência</w:t>
            </w:r>
          </w:p>
        </w:tc>
        <w:tc>
          <w:tcPr>
            <w:tcW w:w="850" w:type="dxa"/>
            <w:shd w:val="clear" w:color="auto" w:fill="auto"/>
            <w:vAlign w:val="center"/>
            <w:hideMark/>
          </w:tcPr>
          <w:p w14:paraId="1FA0292D"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6</w:t>
            </w:r>
          </w:p>
        </w:tc>
        <w:tc>
          <w:tcPr>
            <w:tcW w:w="0" w:type="auto"/>
            <w:shd w:val="clear" w:color="auto" w:fill="auto"/>
            <w:vAlign w:val="center"/>
            <w:hideMark/>
          </w:tcPr>
          <w:p w14:paraId="5E5879AA"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8</w:t>
            </w:r>
          </w:p>
        </w:tc>
        <w:tc>
          <w:tcPr>
            <w:tcW w:w="0" w:type="auto"/>
            <w:shd w:val="clear" w:color="auto" w:fill="auto"/>
            <w:vAlign w:val="center"/>
            <w:hideMark/>
          </w:tcPr>
          <w:p w14:paraId="03405231"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75%</w:t>
            </w:r>
          </w:p>
        </w:tc>
        <w:tc>
          <w:tcPr>
            <w:tcW w:w="0" w:type="auto"/>
            <w:vMerge/>
            <w:vAlign w:val="center"/>
            <w:hideMark/>
          </w:tcPr>
          <w:p w14:paraId="559DD6B3"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23427403"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47695F8C"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30834A23"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r w:rsidR="00215D71" w:rsidRPr="002672BF" w14:paraId="78B21DB3" w14:textId="77777777" w:rsidTr="00BD3046">
        <w:trPr>
          <w:trHeight w:val="20"/>
        </w:trPr>
        <w:tc>
          <w:tcPr>
            <w:tcW w:w="0" w:type="auto"/>
            <w:vMerge/>
            <w:shd w:val="clear" w:color="auto" w:fill="auto"/>
            <w:vAlign w:val="center"/>
          </w:tcPr>
          <w:p w14:paraId="5A77B135"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p>
        </w:tc>
        <w:tc>
          <w:tcPr>
            <w:tcW w:w="1319" w:type="dxa"/>
            <w:shd w:val="clear" w:color="auto" w:fill="auto"/>
            <w:vAlign w:val="center"/>
            <w:hideMark/>
          </w:tcPr>
          <w:p w14:paraId="3CD61565" w14:textId="77777777" w:rsidR="00215D71" w:rsidRPr="002672BF" w:rsidRDefault="00215D71" w:rsidP="00BD3046">
            <w:pPr>
              <w:spacing w:after="0" w:line="240" w:lineRule="auto"/>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Institucional e Organizacional</w:t>
            </w:r>
          </w:p>
        </w:tc>
        <w:tc>
          <w:tcPr>
            <w:tcW w:w="850" w:type="dxa"/>
            <w:shd w:val="clear" w:color="auto" w:fill="auto"/>
            <w:vAlign w:val="center"/>
            <w:hideMark/>
          </w:tcPr>
          <w:p w14:paraId="7BFFA70B"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0</w:t>
            </w:r>
          </w:p>
        </w:tc>
        <w:tc>
          <w:tcPr>
            <w:tcW w:w="0" w:type="auto"/>
            <w:shd w:val="clear" w:color="auto" w:fill="auto"/>
            <w:vAlign w:val="center"/>
            <w:hideMark/>
          </w:tcPr>
          <w:p w14:paraId="19B84BA8" w14:textId="77777777" w:rsidR="00215D71" w:rsidRPr="002672BF" w:rsidRDefault="00215D71" w:rsidP="00BD3046">
            <w:pPr>
              <w:spacing w:after="0" w:line="240" w:lineRule="auto"/>
              <w:jc w:val="center"/>
              <w:rPr>
                <w:rFonts w:asciiTheme="minorHAnsi" w:eastAsia="Times New Roman" w:hAnsiTheme="minorHAnsi" w:cstheme="minorHAnsi"/>
                <w:b/>
                <w:bCs/>
                <w:i/>
                <w:iCs/>
                <w:sz w:val="16"/>
                <w:szCs w:val="16"/>
                <w:lang w:eastAsia="pt-BR"/>
              </w:rPr>
            </w:pPr>
            <w:r w:rsidRPr="002672BF">
              <w:rPr>
                <w:rFonts w:asciiTheme="minorHAnsi" w:eastAsia="Times New Roman" w:hAnsiTheme="minorHAnsi" w:cstheme="minorHAnsi"/>
                <w:b/>
                <w:bCs/>
                <w:i/>
                <w:iCs/>
                <w:sz w:val="16"/>
                <w:szCs w:val="16"/>
                <w:lang w:eastAsia="pt-BR"/>
              </w:rPr>
              <w:t>9</w:t>
            </w:r>
          </w:p>
        </w:tc>
        <w:tc>
          <w:tcPr>
            <w:tcW w:w="0" w:type="auto"/>
            <w:shd w:val="clear" w:color="auto" w:fill="auto"/>
            <w:vAlign w:val="center"/>
            <w:hideMark/>
          </w:tcPr>
          <w:p w14:paraId="4E3B2CD8" w14:textId="77777777" w:rsidR="00215D71" w:rsidRPr="002672BF" w:rsidRDefault="00215D71" w:rsidP="00BD3046">
            <w:pPr>
              <w:spacing w:after="0" w:line="240" w:lineRule="auto"/>
              <w:jc w:val="center"/>
              <w:rPr>
                <w:rFonts w:asciiTheme="minorHAnsi" w:eastAsia="Times New Roman" w:hAnsiTheme="minorHAnsi" w:cstheme="minorHAnsi"/>
                <w:sz w:val="16"/>
                <w:szCs w:val="16"/>
                <w:lang w:eastAsia="pt-BR"/>
              </w:rPr>
            </w:pPr>
            <w:r w:rsidRPr="002672BF">
              <w:rPr>
                <w:rFonts w:asciiTheme="minorHAnsi" w:eastAsia="Times New Roman" w:hAnsiTheme="minorHAnsi" w:cstheme="minorHAnsi"/>
                <w:sz w:val="16"/>
                <w:szCs w:val="16"/>
                <w:lang w:eastAsia="pt-BR"/>
              </w:rPr>
              <w:t>0%</w:t>
            </w:r>
          </w:p>
        </w:tc>
        <w:tc>
          <w:tcPr>
            <w:tcW w:w="0" w:type="auto"/>
            <w:vMerge/>
            <w:vAlign w:val="center"/>
            <w:hideMark/>
          </w:tcPr>
          <w:p w14:paraId="4F3438E1"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2176E47C"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69282D3B"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c>
          <w:tcPr>
            <w:tcW w:w="0" w:type="auto"/>
            <w:vMerge/>
            <w:vAlign w:val="center"/>
            <w:hideMark/>
          </w:tcPr>
          <w:p w14:paraId="455C1583" w14:textId="77777777" w:rsidR="00215D71" w:rsidRPr="002672BF" w:rsidRDefault="00215D71" w:rsidP="00BD3046">
            <w:pPr>
              <w:spacing w:after="0" w:line="240" w:lineRule="auto"/>
              <w:rPr>
                <w:rFonts w:asciiTheme="minorHAnsi" w:eastAsia="Times New Roman" w:hAnsiTheme="minorHAnsi" w:cstheme="minorHAnsi"/>
                <w:b/>
                <w:bCs/>
                <w:sz w:val="16"/>
                <w:szCs w:val="16"/>
                <w:lang w:eastAsia="pt-BR"/>
              </w:rPr>
            </w:pPr>
          </w:p>
        </w:tc>
      </w:tr>
    </w:tbl>
    <w:p w14:paraId="642A576F" w14:textId="043AFE49" w:rsidR="00215D71" w:rsidRDefault="00215D71" w:rsidP="00215D71">
      <w:pPr>
        <w:pStyle w:val="PargrafodaLista"/>
        <w:spacing w:line="240" w:lineRule="auto"/>
        <w:ind w:firstLine="0"/>
        <w:rPr>
          <w:sz w:val="20"/>
        </w:rPr>
      </w:pPr>
      <w:r w:rsidRPr="00D10A6C">
        <w:rPr>
          <w:sz w:val="20"/>
        </w:rPr>
        <w:t>Fonte: Elaboração própria.</w:t>
      </w:r>
    </w:p>
    <w:p w14:paraId="72644053" w14:textId="4BE33C58" w:rsidR="00215D71" w:rsidRPr="00215D71" w:rsidRDefault="00215D71" w:rsidP="00215D71">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215D71">
        <w:rPr>
          <w:rFonts w:ascii="Times New Roman" w:eastAsia="Arial" w:hAnsi="Times New Roman" w:cs="Times New Roman"/>
          <w:color w:val="000000"/>
        </w:rPr>
        <w:lastRenderedPageBreak/>
        <w:t>No que se refere às medidas de contingência, a metodologia sugere mecanismos destinados a evitar descontinuidades na gestão do Fundo. Entre essas providências encontra-se a possibilidade de aprovação de Plano de Ação emergencial nos casos em que haja atraso na formulação ou aprovação do planejamento regular. Também se recomenda a recomposição imediata das cadeiras do Conselho sempre que for identificado desequilíbrio na representação institucional. Por fim, destaca-se a necessidade de que eventuais reprogramações orçamentárias sejam submetidas à validação do colegiado, assegurando que as decisões priorizem a manutenção das entregas sociais destinadas à população em situação de vulnerabilidade. Dessa forma, busca-se preservar a finalidade redistributiva do Fundo e fortalecer sua capacidade de resposta frente a desafios institucionais ou operacionais.</w:t>
      </w:r>
    </w:p>
    <w:p w14:paraId="2891CB5F" w14:textId="77777777" w:rsidR="00DB0181" w:rsidRPr="00215D71" w:rsidRDefault="00DB0181" w:rsidP="00215D71">
      <w:pPr>
        <w:pStyle w:val="Ttulo1"/>
      </w:pPr>
      <w:bookmarkStart w:id="28" w:name="_heading=h.ewhnhdul0sc1" w:colFirst="0" w:colLast="0"/>
      <w:bookmarkEnd w:id="28"/>
      <w:r w:rsidRPr="00215D71">
        <w:t>CONCLUSÃO</w:t>
      </w:r>
    </w:p>
    <w:p w14:paraId="5B1F1CF8" w14:textId="77777777" w:rsidR="00C62CFB" w:rsidRPr="00C62CFB" w:rsidRDefault="00C62CFB" w:rsidP="00C62CFB">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C62CFB">
        <w:rPr>
          <w:rFonts w:ascii="Times New Roman" w:eastAsia="Arial" w:hAnsi="Times New Roman" w:cs="Times New Roman"/>
          <w:color w:val="000000"/>
        </w:rPr>
        <w:t>A aplicação do MoMMA nos Fundos de Combate à Pobreza de São Paulo e do Rio de Janeiro (2023–2025) demonstrou a capacidade da metodologia de mapear assimetrias, identificar gargalos e orientar soluções práticas no ciclo arrecadatório, orçamentário e executivo. O modelo evidenciou que, mesmo em contextos distintos, os fundos compartilham elementos e possuem um padrão estrutural. Possuem alta maturidade arrecadatória, mas fragilidades persistentes no planejamento, execução e avaliação.</w:t>
      </w:r>
    </w:p>
    <w:p w14:paraId="53A731C5" w14:textId="77777777" w:rsidR="00C62CFB" w:rsidRPr="00C62CFB" w:rsidRDefault="00C62CFB" w:rsidP="00C62CFB">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C62CFB">
        <w:rPr>
          <w:rFonts w:ascii="Times New Roman" w:eastAsia="Arial" w:hAnsi="Times New Roman" w:cs="Times New Roman"/>
          <w:color w:val="000000"/>
        </w:rPr>
        <w:t>Ao integrar os 3 eixos e as 7 dimensões analíticas ao protocolo de verificação com 73 questionamentos, o MoMMA assegura diagnóstico multidimensional, comparabilidade temporal e espacial, além de rastreabilidade causal entre recurso e resultado social, desde a programação orçamentária até a prestação de contas, portanto, posterior ao gasto. Sua métrica sintética de maturidade (percentuais por eixo e dimensão) traduz com objetividade a distância entre eficiência arrecadatória e efetividade redistributiva, permitindo a construção de recomendações acionáveis, monitoráveis e replicáveis.</w:t>
      </w:r>
    </w:p>
    <w:p w14:paraId="258B5B4B" w14:textId="26A94181" w:rsidR="00C62CFB" w:rsidRDefault="00C62CFB" w:rsidP="00C62CFB">
      <w:pPr>
        <w:pBdr>
          <w:top w:val="nil"/>
          <w:left w:val="nil"/>
          <w:bottom w:val="nil"/>
          <w:right w:val="nil"/>
          <w:between w:val="nil"/>
        </w:pBdr>
        <w:spacing w:after="0" w:line="360" w:lineRule="auto"/>
        <w:ind w:firstLine="709"/>
        <w:jc w:val="both"/>
        <w:rPr>
          <w:rFonts w:ascii="Times New Roman" w:eastAsia="Arial" w:hAnsi="Times New Roman" w:cs="Times New Roman"/>
          <w:color w:val="000000"/>
        </w:rPr>
      </w:pPr>
      <w:r w:rsidRPr="00C62CFB">
        <w:rPr>
          <w:rFonts w:ascii="Times New Roman" w:eastAsia="Arial" w:hAnsi="Times New Roman" w:cs="Times New Roman"/>
          <w:color w:val="000000"/>
        </w:rPr>
        <w:t>Os resultados confirmam que o MoMMA cumpre o que propõe: ser um instrumento padronizado e replicável de monitoramento e avaliação dos Fundos de Combate à Pobreza, capaz de transformar evidências em critérios objetivos de governança, transparência e justiça social. Trata-se, portanto, de uma metodologia que não apenas diagnostica, mas aponta caminhos para que o potencial arrecadatório dos FCPs se traduza em impacto real sobre a redução da pobreza e das desigualdades. Assim esperamos.</w:t>
      </w:r>
    </w:p>
    <w:p w14:paraId="2B761CAB" w14:textId="4530B743" w:rsidR="00C62CFB" w:rsidRDefault="00C62CFB" w:rsidP="00C62CFB">
      <w:pPr>
        <w:pStyle w:val="Ttulo1"/>
        <w:numPr>
          <w:ilvl w:val="0"/>
          <w:numId w:val="0"/>
        </w:numPr>
      </w:pPr>
      <w:r>
        <w:lastRenderedPageBreak/>
        <w:t>REFERÊNCIAS</w:t>
      </w:r>
    </w:p>
    <w:p w14:paraId="28EDF809" w14:textId="3E0FDDD3" w:rsidR="00C62CFB" w:rsidRPr="009777A4" w:rsidRDefault="00C62CFB" w:rsidP="009777A4">
      <w:pPr>
        <w:rPr>
          <w:rFonts w:ascii="Times New Roman" w:eastAsia="Arial" w:hAnsi="Times New Roman" w:cs="Times New Roman"/>
        </w:rPr>
      </w:pPr>
      <w:r w:rsidRPr="009777A4">
        <w:rPr>
          <w:rFonts w:ascii="Times New Roman" w:eastAsia="Arial" w:hAnsi="Times New Roman" w:cs="Times New Roman"/>
        </w:rPr>
        <w:t xml:space="preserve">BRASIL. TRIBUNAL DE CONTAS DA UNIÃO (TCU). </w:t>
      </w:r>
      <w:r w:rsidRPr="009777A4">
        <w:rPr>
          <w:rFonts w:ascii="Times New Roman" w:eastAsia="Arial" w:hAnsi="Times New Roman" w:cs="Times New Roman"/>
          <w:b/>
        </w:rPr>
        <w:t>Metodologia vai comparar pobreza multidimensional e gasto público</w:t>
      </w:r>
      <w:r w:rsidRPr="009777A4">
        <w:rPr>
          <w:rFonts w:ascii="Times New Roman" w:eastAsia="Arial" w:hAnsi="Times New Roman" w:cs="Times New Roman"/>
        </w:rPr>
        <w:t xml:space="preserve">. 2025. Disponível em: https://portal.tcu.gov.br/imprensa/noticias/metodologia-vai-comparar-pobreza-multidimensional-e-gasto-publico. Acesso em: </w:t>
      </w:r>
      <w:r w:rsidR="009777A4" w:rsidRPr="009777A4">
        <w:rPr>
          <w:rFonts w:ascii="Times New Roman" w:eastAsia="Arial" w:hAnsi="Times New Roman" w:cs="Times New Roman"/>
        </w:rPr>
        <w:t xml:space="preserve">5 </w:t>
      </w:r>
      <w:r w:rsidR="009777A4">
        <w:rPr>
          <w:rFonts w:ascii="Times New Roman" w:eastAsia="Arial" w:hAnsi="Times New Roman" w:cs="Times New Roman"/>
        </w:rPr>
        <w:t>fev</w:t>
      </w:r>
      <w:r w:rsidR="009777A4" w:rsidRPr="009777A4">
        <w:rPr>
          <w:rFonts w:ascii="Times New Roman" w:eastAsia="Arial" w:hAnsi="Times New Roman" w:cs="Times New Roman"/>
        </w:rPr>
        <w:t>. 202</w:t>
      </w:r>
      <w:r w:rsidR="009777A4">
        <w:rPr>
          <w:rFonts w:ascii="Times New Roman" w:eastAsia="Arial" w:hAnsi="Times New Roman" w:cs="Times New Roman"/>
        </w:rPr>
        <w:t>6</w:t>
      </w:r>
      <w:r w:rsidR="009777A4" w:rsidRPr="009777A4">
        <w:rPr>
          <w:rFonts w:ascii="Times New Roman" w:eastAsia="Arial" w:hAnsi="Times New Roman" w:cs="Times New Roman"/>
        </w:rPr>
        <w:t>.</w:t>
      </w:r>
    </w:p>
    <w:p w14:paraId="4C5135FA" w14:textId="531E7D27" w:rsidR="00C62CFB" w:rsidRPr="009777A4" w:rsidRDefault="00C62CFB" w:rsidP="009777A4">
      <w:pPr>
        <w:rPr>
          <w:rFonts w:ascii="Times New Roman" w:eastAsia="Arial" w:hAnsi="Times New Roman" w:cs="Times New Roman"/>
        </w:rPr>
      </w:pPr>
      <w:r w:rsidRPr="009777A4">
        <w:rPr>
          <w:rFonts w:ascii="Times New Roman" w:eastAsia="Arial" w:hAnsi="Times New Roman" w:cs="Times New Roman"/>
        </w:rPr>
        <w:t xml:space="preserve">BRASIL. TRIBUNAL DE CONTAS DA UNIÃO (TCU). </w:t>
      </w:r>
      <w:r w:rsidRPr="009777A4">
        <w:rPr>
          <w:rFonts w:ascii="Times New Roman" w:eastAsia="Arial" w:hAnsi="Times New Roman" w:cs="Times New Roman"/>
          <w:b/>
        </w:rPr>
        <w:t>TCU avalia uso do Índice Multidimensional de Pobreza em políticas públicas</w:t>
      </w:r>
      <w:r w:rsidRPr="009777A4">
        <w:rPr>
          <w:rFonts w:ascii="Times New Roman" w:eastAsia="Arial" w:hAnsi="Times New Roman" w:cs="Times New Roman"/>
        </w:rPr>
        <w:t xml:space="preserve">. 2025. Disponível em: https://portal.tcu.gov.br/imprensa/noticias/tcu-avalia-uso-do-indice-multidimensional-de-pobreza-em-politicas-publicas. Acesso em: </w:t>
      </w:r>
      <w:r w:rsidR="009777A4" w:rsidRPr="009777A4">
        <w:rPr>
          <w:rFonts w:ascii="Times New Roman" w:eastAsia="Arial" w:hAnsi="Times New Roman" w:cs="Times New Roman"/>
        </w:rPr>
        <w:t xml:space="preserve">5 </w:t>
      </w:r>
      <w:r w:rsidR="009777A4">
        <w:rPr>
          <w:rFonts w:ascii="Times New Roman" w:eastAsia="Arial" w:hAnsi="Times New Roman" w:cs="Times New Roman"/>
        </w:rPr>
        <w:t>fev</w:t>
      </w:r>
      <w:r w:rsidR="009777A4" w:rsidRPr="009777A4">
        <w:rPr>
          <w:rFonts w:ascii="Times New Roman" w:eastAsia="Arial" w:hAnsi="Times New Roman" w:cs="Times New Roman"/>
        </w:rPr>
        <w:t>. 202</w:t>
      </w:r>
      <w:r w:rsidR="009777A4">
        <w:rPr>
          <w:rFonts w:ascii="Times New Roman" w:eastAsia="Arial" w:hAnsi="Times New Roman" w:cs="Times New Roman"/>
        </w:rPr>
        <w:t>6</w:t>
      </w:r>
      <w:r w:rsidR="009777A4" w:rsidRPr="009777A4">
        <w:rPr>
          <w:rFonts w:ascii="Times New Roman" w:eastAsia="Arial" w:hAnsi="Times New Roman" w:cs="Times New Roman"/>
        </w:rPr>
        <w:t>.</w:t>
      </w:r>
    </w:p>
    <w:p w14:paraId="6290A750" w14:textId="248D7E7E" w:rsidR="00C62CFB" w:rsidRPr="009777A4" w:rsidRDefault="00C62CFB" w:rsidP="009777A4">
      <w:pPr>
        <w:rPr>
          <w:rFonts w:ascii="Times New Roman" w:eastAsia="Arial" w:hAnsi="Times New Roman" w:cs="Times New Roman"/>
        </w:rPr>
      </w:pPr>
      <w:r w:rsidRPr="009777A4">
        <w:rPr>
          <w:rFonts w:ascii="Times New Roman" w:eastAsia="Arial" w:hAnsi="Times New Roman" w:cs="Times New Roman"/>
        </w:rPr>
        <w:t xml:space="preserve">BUCCI, Maria Paula Dallari; GASPARDO, Murilo. </w:t>
      </w:r>
      <w:r w:rsidRPr="009777A4">
        <w:rPr>
          <w:rFonts w:ascii="Times New Roman" w:eastAsia="Arial" w:hAnsi="Times New Roman" w:cs="Times New Roman"/>
          <w:b/>
        </w:rPr>
        <w:t>Mapeamento de arranjos jurídico-institucionais</w:t>
      </w:r>
      <w:r w:rsidRPr="009777A4">
        <w:rPr>
          <w:rFonts w:ascii="Times New Roman" w:eastAsia="Arial" w:hAnsi="Times New Roman" w:cs="Times New Roman"/>
        </w:rPr>
        <w:t xml:space="preserve">: um roteiro metodológico para estudos das relações entre direito e política. REI: Revista Estudos Institucionais, v. 10, n. jan./abr. 2024, p. 1–36, 2024. Disponível em: https://www.estudosinstitucionais.com/REI/article/view/777. Acesso em: </w:t>
      </w:r>
      <w:r w:rsidR="009777A4" w:rsidRPr="009777A4">
        <w:rPr>
          <w:rFonts w:ascii="Times New Roman" w:eastAsia="Arial" w:hAnsi="Times New Roman" w:cs="Times New Roman"/>
        </w:rPr>
        <w:t xml:space="preserve">5 </w:t>
      </w:r>
      <w:r w:rsidR="009777A4">
        <w:rPr>
          <w:rFonts w:ascii="Times New Roman" w:eastAsia="Arial" w:hAnsi="Times New Roman" w:cs="Times New Roman"/>
        </w:rPr>
        <w:t>fev</w:t>
      </w:r>
      <w:r w:rsidR="009777A4" w:rsidRPr="009777A4">
        <w:rPr>
          <w:rFonts w:ascii="Times New Roman" w:eastAsia="Arial" w:hAnsi="Times New Roman" w:cs="Times New Roman"/>
        </w:rPr>
        <w:t>. 202</w:t>
      </w:r>
      <w:r w:rsidR="009777A4">
        <w:rPr>
          <w:rFonts w:ascii="Times New Roman" w:eastAsia="Arial" w:hAnsi="Times New Roman" w:cs="Times New Roman"/>
        </w:rPr>
        <w:t>6</w:t>
      </w:r>
      <w:r w:rsidR="009777A4" w:rsidRPr="009777A4">
        <w:rPr>
          <w:rFonts w:ascii="Times New Roman" w:eastAsia="Arial" w:hAnsi="Times New Roman" w:cs="Times New Roman"/>
        </w:rPr>
        <w:t>.</w:t>
      </w:r>
    </w:p>
    <w:p w14:paraId="626F8CB0" w14:textId="45DEF866" w:rsidR="00C62CFB" w:rsidRPr="009777A4" w:rsidRDefault="00C62CFB" w:rsidP="009777A4">
      <w:pPr>
        <w:rPr>
          <w:rFonts w:ascii="Times New Roman" w:eastAsia="Arial" w:hAnsi="Times New Roman" w:cs="Times New Roman"/>
        </w:rPr>
      </w:pPr>
      <w:r w:rsidRPr="009777A4">
        <w:rPr>
          <w:rFonts w:ascii="Times New Roman" w:eastAsia="Arial" w:hAnsi="Times New Roman" w:cs="Times New Roman"/>
        </w:rPr>
        <w:t xml:space="preserve">BUCCI, Maria Paula Dallari. </w:t>
      </w:r>
      <w:r w:rsidRPr="009777A4">
        <w:rPr>
          <w:rFonts w:ascii="Times New Roman" w:eastAsia="Arial" w:hAnsi="Times New Roman" w:cs="Times New Roman"/>
          <w:b/>
        </w:rPr>
        <w:t>Quadro de referência de uma política pública</w:t>
      </w:r>
      <w:r w:rsidRPr="009777A4">
        <w:rPr>
          <w:rFonts w:ascii="Times New Roman" w:eastAsia="Arial" w:hAnsi="Times New Roman" w:cs="Times New Roman"/>
        </w:rPr>
        <w:t xml:space="preserve">. São Paulo: Universidade de São Paulo, 2016. Disponível em: https://www.researchgate.net/publication/301776630_Quadro_de_referencia_de_uma_politica_publica. Acesso em: </w:t>
      </w:r>
      <w:r w:rsidR="009777A4" w:rsidRPr="009777A4">
        <w:rPr>
          <w:rFonts w:ascii="Times New Roman" w:eastAsia="Arial" w:hAnsi="Times New Roman" w:cs="Times New Roman"/>
        </w:rPr>
        <w:t xml:space="preserve">5 </w:t>
      </w:r>
      <w:r w:rsidR="009777A4">
        <w:rPr>
          <w:rFonts w:ascii="Times New Roman" w:eastAsia="Arial" w:hAnsi="Times New Roman" w:cs="Times New Roman"/>
        </w:rPr>
        <w:t>fev</w:t>
      </w:r>
      <w:r w:rsidR="009777A4" w:rsidRPr="009777A4">
        <w:rPr>
          <w:rFonts w:ascii="Times New Roman" w:eastAsia="Arial" w:hAnsi="Times New Roman" w:cs="Times New Roman"/>
        </w:rPr>
        <w:t>. 202</w:t>
      </w:r>
      <w:r w:rsidR="009777A4">
        <w:rPr>
          <w:rFonts w:ascii="Times New Roman" w:eastAsia="Arial" w:hAnsi="Times New Roman" w:cs="Times New Roman"/>
        </w:rPr>
        <w:t>6</w:t>
      </w:r>
      <w:r w:rsidR="009777A4" w:rsidRPr="009777A4">
        <w:rPr>
          <w:rFonts w:ascii="Times New Roman" w:eastAsia="Arial" w:hAnsi="Times New Roman" w:cs="Times New Roman"/>
        </w:rPr>
        <w:t>.</w:t>
      </w:r>
    </w:p>
    <w:p w14:paraId="78F34D6B" w14:textId="653599D3" w:rsidR="00C62CFB" w:rsidRPr="009777A4" w:rsidRDefault="00C62CFB" w:rsidP="009777A4">
      <w:pPr>
        <w:rPr>
          <w:rFonts w:ascii="Times New Roman" w:eastAsia="Arial" w:hAnsi="Times New Roman" w:cs="Times New Roman"/>
        </w:rPr>
      </w:pPr>
      <w:r w:rsidRPr="009777A4">
        <w:rPr>
          <w:rFonts w:ascii="Times New Roman" w:eastAsia="Arial" w:hAnsi="Times New Roman" w:cs="Times New Roman"/>
        </w:rPr>
        <w:t xml:space="preserve">BUCCI, Maria Paula Dallari; COUTINHO, Diogo R. </w:t>
      </w:r>
      <w:r w:rsidRPr="009777A4">
        <w:rPr>
          <w:rFonts w:ascii="Times New Roman" w:eastAsia="Arial" w:hAnsi="Times New Roman" w:cs="Times New Roman"/>
          <w:b/>
        </w:rPr>
        <w:t>Arranjos jurídico-institucionais da política de inovação tecnológica</w:t>
      </w:r>
      <w:r w:rsidRPr="009777A4">
        <w:rPr>
          <w:rFonts w:ascii="Times New Roman" w:eastAsia="Arial" w:hAnsi="Times New Roman" w:cs="Times New Roman"/>
        </w:rPr>
        <w:t xml:space="preserve">: uma análise baseada na abordagem de direito e políticas públicas. São Paulo: Blucher, 2017. Disponível em: https://repositorio.usp.br/item/002860534. Acesso em: </w:t>
      </w:r>
      <w:r w:rsidR="009777A4" w:rsidRPr="009777A4">
        <w:rPr>
          <w:rFonts w:ascii="Times New Roman" w:eastAsia="Arial" w:hAnsi="Times New Roman" w:cs="Times New Roman"/>
        </w:rPr>
        <w:t xml:space="preserve">5 </w:t>
      </w:r>
      <w:r w:rsidR="009777A4">
        <w:rPr>
          <w:rFonts w:ascii="Times New Roman" w:eastAsia="Arial" w:hAnsi="Times New Roman" w:cs="Times New Roman"/>
        </w:rPr>
        <w:t>fev</w:t>
      </w:r>
      <w:r w:rsidR="009777A4" w:rsidRPr="009777A4">
        <w:rPr>
          <w:rFonts w:ascii="Times New Roman" w:eastAsia="Arial" w:hAnsi="Times New Roman" w:cs="Times New Roman"/>
        </w:rPr>
        <w:t>. 202</w:t>
      </w:r>
      <w:r w:rsidR="009777A4">
        <w:rPr>
          <w:rFonts w:ascii="Times New Roman" w:eastAsia="Arial" w:hAnsi="Times New Roman" w:cs="Times New Roman"/>
        </w:rPr>
        <w:t>6</w:t>
      </w:r>
      <w:r w:rsidR="009777A4" w:rsidRPr="009777A4">
        <w:rPr>
          <w:rFonts w:ascii="Times New Roman" w:eastAsia="Arial" w:hAnsi="Times New Roman" w:cs="Times New Roman"/>
        </w:rPr>
        <w:t>.</w:t>
      </w:r>
    </w:p>
    <w:p w14:paraId="323DCE53" w14:textId="7B0A7007" w:rsidR="00C62CFB" w:rsidRPr="009777A4" w:rsidRDefault="00C62CFB" w:rsidP="009777A4">
      <w:pPr>
        <w:rPr>
          <w:rFonts w:ascii="Times New Roman" w:eastAsia="Arial" w:hAnsi="Times New Roman" w:cs="Times New Roman"/>
        </w:rPr>
      </w:pPr>
      <w:r w:rsidRPr="009777A4">
        <w:rPr>
          <w:rFonts w:ascii="Times New Roman" w:eastAsia="Arial" w:hAnsi="Times New Roman" w:cs="Times New Roman"/>
        </w:rPr>
        <w:t xml:space="preserve">COMMITTEE OF SPONSORING ORGANIZATIONS OF THE TREADWAY COMMISSION (COSO). </w:t>
      </w:r>
      <w:r w:rsidRPr="009777A4">
        <w:rPr>
          <w:rFonts w:ascii="Times New Roman" w:eastAsia="Arial" w:hAnsi="Times New Roman" w:cs="Times New Roman"/>
          <w:b/>
        </w:rPr>
        <w:t>Gerenciamento de riscos corporativos integrado em estratégia e performance</w:t>
      </w:r>
      <w:r w:rsidRPr="009777A4">
        <w:rPr>
          <w:rFonts w:ascii="Times New Roman" w:eastAsia="Arial" w:hAnsi="Times New Roman" w:cs="Times New Roman"/>
        </w:rPr>
        <w:t xml:space="preserve">: sumário executivo. Tradução PricewaterhouseCoopers; Instituto dos Auditores Internos do Brasil, 2017. Disponível em: http://conteudo.iiabrasil.org.br/coso. Acesso em: </w:t>
      </w:r>
      <w:r w:rsidR="009777A4" w:rsidRPr="009777A4">
        <w:rPr>
          <w:rFonts w:ascii="Times New Roman" w:eastAsia="Arial" w:hAnsi="Times New Roman" w:cs="Times New Roman"/>
        </w:rPr>
        <w:t xml:space="preserve">5 </w:t>
      </w:r>
      <w:r w:rsidR="009777A4">
        <w:rPr>
          <w:rFonts w:ascii="Times New Roman" w:eastAsia="Arial" w:hAnsi="Times New Roman" w:cs="Times New Roman"/>
        </w:rPr>
        <w:t>fev</w:t>
      </w:r>
      <w:r w:rsidR="009777A4" w:rsidRPr="009777A4">
        <w:rPr>
          <w:rFonts w:ascii="Times New Roman" w:eastAsia="Arial" w:hAnsi="Times New Roman" w:cs="Times New Roman"/>
        </w:rPr>
        <w:t>. 202</w:t>
      </w:r>
      <w:r w:rsidR="009777A4">
        <w:rPr>
          <w:rFonts w:ascii="Times New Roman" w:eastAsia="Arial" w:hAnsi="Times New Roman" w:cs="Times New Roman"/>
        </w:rPr>
        <w:t>6</w:t>
      </w:r>
      <w:r w:rsidR="009777A4" w:rsidRPr="009777A4">
        <w:rPr>
          <w:rFonts w:ascii="Times New Roman" w:eastAsia="Arial" w:hAnsi="Times New Roman" w:cs="Times New Roman"/>
        </w:rPr>
        <w:t>.</w:t>
      </w:r>
    </w:p>
    <w:p w14:paraId="79062E41" w14:textId="67F302FE" w:rsidR="00C62CFB" w:rsidRPr="009777A4" w:rsidRDefault="00C62CFB" w:rsidP="009777A4">
      <w:pPr>
        <w:rPr>
          <w:rFonts w:ascii="Times New Roman" w:eastAsia="Arial" w:hAnsi="Times New Roman" w:cs="Times New Roman"/>
        </w:rPr>
      </w:pPr>
      <w:r w:rsidRPr="009777A4">
        <w:rPr>
          <w:rFonts w:ascii="Times New Roman" w:eastAsia="Arial" w:hAnsi="Times New Roman" w:cs="Times New Roman"/>
        </w:rPr>
        <w:t xml:space="preserve">CONTI, José Maurício; SCAFF, Fernando Facury. </w:t>
      </w:r>
      <w:r w:rsidRPr="009777A4">
        <w:rPr>
          <w:rFonts w:ascii="Times New Roman" w:eastAsia="Arial" w:hAnsi="Times New Roman" w:cs="Times New Roman"/>
          <w:b/>
        </w:rPr>
        <w:t>Orçamentos públicos e direito financeiro</w:t>
      </w:r>
      <w:r w:rsidRPr="009777A4">
        <w:rPr>
          <w:rFonts w:ascii="Times New Roman" w:eastAsia="Arial" w:hAnsi="Times New Roman" w:cs="Times New Roman"/>
        </w:rPr>
        <w:t xml:space="preserve">. São Paulo: Revista dos Tribunais, 2011. Disponível em: https://repositorio.usp.br/item/002273828. Acesso em: 5 </w:t>
      </w:r>
      <w:r w:rsidR="009777A4">
        <w:rPr>
          <w:rFonts w:ascii="Times New Roman" w:eastAsia="Arial" w:hAnsi="Times New Roman" w:cs="Times New Roman"/>
        </w:rPr>
        <w:t>fev</w:t>
      </w:r>
      <w:r w:rsidRPr="009777A4">
        <w:rPr>
          <w:rFonts w:ascii="Times New Roman" w:eastAsia="Arial" w:hAnsi="Times New Roman" w:cs="Times New Roman"/>
        </w:rPr>
        <w:t>. 202</w:t>
      </w:r>
      <w:r w:rsidR="009777A4">
        <w:rPr>
          <w:rFonts w:ascii="Times New Roman" w:eastAsia="Arial" w:hAnsi="Times New Roman" w:cs="Times New Roman"/>
        </w:rPr>
        <w:t>6</w:t>
      </w:r>
      <w:r w:rsidRPr="009777A4">
        <w:rPr>
          <w:rFonts w:ascii="Times New Roman" w:eastAsia="Arial" w:hAnsi="Times New Roman" w:cs="Times New Roman"/>
        </w:rPr>
        <w:t>.</w:t>
      </w:r>
    </w:p>
    <w:p w14:paraId="05AF93A8" w14:textId="475C2104" w:rsidR="00C62CFB" w:rsidRPr="009777A4" w:rsidRDefault="00C62CFB" w:rsidP="009777A4">
      <w:pPr>
        <w:spacing w:after="0"/>
        <w:rPr>
          <w:rFonts w:ascii="Times New Roman" w:eastAsia="Arial" w:hAnsi="Times New Roman" w:cs="Times New Roman"/>
        </w:rPr>
      </w:pPr>
      <w:r w:rsidRPr="009777A4">
        <w:rPr>
          <w:rFonts w:ascii="Times New Roman" w:eastAsia="Arial" w:hAnsi="Times New Roman" w:cs="Times New Roman"/>
        </w:rPr>
        <w:t xml:space="preserve">RUIZ, I.; BUCCI, M. P. D. </w:t>
      </w:r>
      <w:r w:rsidRPr="009777A4">
        <w:rPr>
          <w:rFonts w:ascii="Times New Roman" w:eastAsia="Arial" w:hAnsi="Times New Roman" w:cs="Times New Roman"/>
          <w:b/>
        </w:rPr>
        <w:t>Quadro de Problemas de Políticas Públicas</w:t>
      </w:r>
      <w:r w:rsidRPr="009777A4">
        <w:rPr>
          <w:rFonts w:ascii="Times New Roman" w:eastAsia="Arial" w:hAnsi="Times New Roman" w:cs="Times New Roman"/>
        </w:rPr>
        <w:t>: uma ferramenta para análise jurídico</w:t>
      </w:r>
      <w:r w:rsidRPr="009777A4">
        <w:rPr>
          <w:rFonts w:ascii="Times New Roman" w:eastAsia="Cambria Math" w:hAnsi="Times New Roman" w:cs="Times New Roman"/>
        </w:rPr>
        <w:t>‑</w:t>
      </w:r>
      <w:r w:rsidRPr="009777A4">
        <w:rPr>
          <w:rFonts w:ascii="Times New Roman" w:eastAsia="Arial" w:hAnsi="Times New Roman" w:cs="Times New Roman"/>
        </w:rPr>
        <w:t>institucional. REI – Revista Estudos Institucionais, v. 5, n. 3, p. 1142–1167, 2019. Disponível em: https://doi.org/10.21783/rei.v5i3.443. Acesso em: 17 jul. 2025.</w:t>
      </w:r>
    </w:p>
    <w:p w14:paraId="1697D7C0" w14:textId="77777777" w:rsidR="00C62CFB" w:rsidRPr="009777A4" w:rsidRDefault="00C62CFB" w:rsidP="009777A4">
      <w:pPr>
        <w:spacing w:after="0"/>
        <w:rPr>
          <w:rFonts w:ascii="Times New Roman" w:eastAsia="Arial" w:hAnsi="Times New Roman" w:cs="Times New Roman"/>
        </w:rPr>
      </w:pPr>
      <w:r w:rsidRPr="009777A4">
        <w:rPr>
          <w:rFonts w:ascii="Times New Roman" w:eastAsia="Arial" w:hAnsi="Times New Roman" w:cs="Times New Roman"/>
        </w:rPr>
        <w:t xml:space="preserve">TRIBUNAL DE CONTAS DA UNIÃO (BRASIL). </w:t>
      </w:r>
      <w:r w:rsidRPr="009777A4">
        <w:rPr>
          <w:rFonts w:ascii="Times New Roman" w:eastAsia="Arial" w:hAnsi="Times New Roman" w:cs="Times New Roman"/>
          <w:b/>
        </w:rPr>
        <w:t>Manual de gestão de riscos do TCU</w:t>
      </w:r>
      <w:r w:rsidRPr="009777A4">
        <w:rPr>
          <w:rFonts w:ascii="Times New Roman" w:eastAsia="Arial" w:hAnsi="Times New Roman" w:cs="Times New Roman"/>
        </w:rPr>
        <w:t>. Brasília: TCU, 2020.</w:t>
      </w:r>
    </w:p>
    <w:p w14:paraId="5A3CABC0" w14:textId="77777777" w:rsidR="00C62CFB" w:rsidRPr="009777A4" w:rsidRDefault="00C62CFB" w:rsidP="009777A4">
      <w:pPr>
        <w:spacing w:after="0"/>
        <w:rPr>
          <w:rFonts w:ascii="Times New Roman" w:eastAsia="Arial" w:hAnsi="Times New Roman" w:cs="Times New Roman"/>
        </w:rPr>
      </w:pPr>
    </w:p>
    <w:p w14:paraId="6495DE22" w14:textId="77777777" w:rsidR="00C62CFB" w:rsidRPr="009777A4" w:rsidRDefault="00C62CFB" w:rsidP="009777A4">
      <w:pPr>
        <w:spacing w:after="0"/>
        <w:rPr>
          <w:rFonts w:ascii="Times New Roman" w:eastAsia="Arial" w:hAnsi="Times New Roman" w:cs="Times New Roman"/>
        </w:rPr>
      </w:pPr>
      <w:r w:rsidRPr="009777A4">
        <w:rPr>
          <w:rFonts w:ascii="Times New Roman" w:eastAsia="Arial" w:hAnsi="Times New Roman" w:cs="Times New Roman"/>
        </w:rPr>
        <w:t xml:space="preserve">TRIBUNAL DE CONTAS DA UNIÃO (BRASIL). </w:t>
      </w:r>
      <w:r w:rsidRPr="009777A4">
        <w:rPr>
          <w:rFonts w:ascii="Times New Roman" w:eastAsia="Arial" w:hAnsi="Times New Roman" w:cs="Times New Roman"/>
          <w:b/>
        </w:rPr>
        <w:t>Referencial básico de gestão de riscos</w:t>
      </w:r>
      <w:r w:rsidRPr="009777A4">
        <w:rPr>
          <w:rFonts w:ascii="Times New Roman" w:eastAsia="Arial" w:hAnsi="Times New Roman" w:cs="Times New Roman"/>
        </w:rPr>
        <w:t>. Brasília: TCU, 2018.</w:t>
      </w:r>
    </w:p>
    <w:p w14:paraId="789F4FFA" w14:textId="63D69763" w:rsidR="00C62CFB" w:rsidRPr="00C62CFB" w:rsidRDefault="001C7E6F" w:rsidP="00C62CFB">
      <w:pPr>
        <w:keepNext/>
        <w:pBdr>
          <w:top w:val="nil"/>
          <w:left w:val="nil"/>
          <w:bottom w:val="nil"/>
          <w:right w:val="nil"/>
          <w:between w:val="nil"/>
        </w:pBdr>
        <w:spacing w:after="0" w:line="360" w:lineRule="auto"/>
        <w:jc w:val="center"/>
        <w:rPr>
          <w:rFonts w:ascii="Times New Roman" w:eastAsia="Arial" w:hAnsi="Times New Roman" w:cs="Times New Roman"/>
          <w:color w:val="000000"/>
          <w:szCs w:val="20"/>
        </w:rPr>
      </w:pPr>
      <w:r w:rsidRPr="00C62CFB">
        <w:rPr>
          <w:rFonts w:ascii="Times New Roman" w:eastAsia="Arial" w:hAnsi="Times New Roman" w:cs="Times New Roman"/>
          <w:color w:val="000000"/>
          <w:szCs w:val="20"/>
        </w:rPr>
        <w:lastRenderedPageBreak/>
        <w:t>ANEXO – PROTOCOLO DE VERIFICAÇÃO DO MOMMA</w:t>
      </w:r>
    </w:p>
    <w:tbl>
      <w:tblPr>
        <w:tblW w:w="91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5"/>
        <w:gridCol w:w="1635"/>
        <w:gridCol w:w="2910"/>
        <w:gridCol w:w="1335"/>
        <w:gridCol w:w="990"/>
        <w:gridCol w:w="615"/>
      </w:tblGrid>
      <w:tr w:rsidR="00C62CFB" w:rsidRPr="00A04B57" w14:paraId="7AEF503D" w14:textId="77777777" w:rsidTr="00BD3046">
        <w:trPr>
          <w:trHeight w:val="20"/>
        </w:trPr>
        <w:tc>
          <w:tcPr>
            <w:tcW w:w="1665" w:type="dxa"/>
            <w:vAlign w:val="center"/>
          </w:tcPr>
          <w:p w14:paraId="12CC2F1F" w14:textId="77777777" w:rsidR="00C62CFB" w:rsidRPr="00A04B57" w:rsidRDefault="00C62CFB" w:rsidP="00BD3046">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Eixo</w:t>
            </w:r>
          </w:p>
        </w:tc>
        <w:tc>
          <w:tcPr>
            <w:tcW w:w="1635" w:type="dxa"/>
            <w:vAlign w:val="center"/>
          </w:tcPr>
          <w:p w14:paraId="3E387122" w14:textId="77777777" w:rsidR="00C62CFB" w:rsidRPr="00A04B57" w:rsidRDefault="00C62CFB" w:rsidP="00BD3046">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Dimensão</w:t>
            </w:r>
          </w:p>
        </w:tc>
        <w:tc>
          <w:tcPr>
            <w:tcW w:w="2910" w:type="dxa"/>
            <w:vAlign w:val="center"/>
          </w:tcPr>
          <w:p w14:paraId="1658FA06" w14:textId="77777777" w:rsidR="00C62CFB" w:rsidRPr="00A04B57" w:rsidRDefault="00C62CFB" w:rsidP="00BD3046">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Pergunta (Elemento de Análise)</w:t>
            </w:r>
          </w:p>
        </w:tc>
        <w:tc>
          <w:tcPr>
            <w:tcW w:w="1335" w:type="dxa"/>
            <w:vAlign w:val="center"/>
          </w:tcPr>
          <w:p w14:paraId="6E7C7565" w14:textId="77777777" w:rsidR="00C62CFB" w:rsidRPr="00A04B57" w:rsidRDefault="00C62CFB" w:rsidP="00BD3046">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Criticidade</w:t>
            </w:r>
          </w:p>
        </w:tc>
        <w:tc>
          <w:tcPr>
            <w:tcW w:w="990" w:type="dxa"/>
            <w:vAlign w:val="center"/>
          </w:tcPr>
          <w:p w14:paraId="37B08CE4" w14:textId="77777777" w:rsidR="00C62CFB" w:rsidRPr="00A04B57" w:rsidRDefault="00C62CFB" w:rsidP="00BD3046">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Tipo de Indicador</w:t>
            </w:r>
          </w:p>
        </w:tc>
        <w:tc>
          <w:tcPr>
            <w:tcW w:w="615" w:type="dxa"/>
            <w:vAlign w:val="center"/>
          </w:tcPr>
          <w:p w14:paraId="0B19E192" w14:textId="77777777" w:rsidR="00C62CFB" w:rsidRPr="00A04B57" w:rsidRDefault="00C62CFB" w:rsidP="00BD3046">
            <w:pPr>
              <w:spacing w:after="0" w:line="240" w:lineRule="auto"/>
              <w:jc w:val="center"/>
              <w:rPr>
                <w:rFonts w:ascii="Times New Roman" w:eastAsia="Arial" w:hAnsi="Times New Roman" w:cs="Times New Roman"/>
                <w:b/>
                <w:color w:val="000000"/>
                <w:sz w:val="18"/>
                <w:szCs w:val="18"/>
              </w:rPr>
            </w:pPr>
            <w:r w:rsidRPr="00A04B57">
              <w:rPr>
                <w:rFonts w:ascii="Times New Roman" w:eastAsia="Arial" w:hAnsi="Times New Roman" w:cs="Times New Roman"/>
                <w:b/>
                <w:color w:val="000000"/>
                <w:sz w:val="18"/>
                <w:szCs w:val="18"/>
              </w:rPr>
              <w:t>Peso</w:t>
            </w:r>
          </w:p>
        </w:tc>
      </w:tr>
      <w:tr w:rsidR="00C62CFB" w:rsidRPr="00A04B57" w14:paraId="5B21E608" w14:textId="77777777" w:rsidTr="00BD3046">
        <w:trPr>
          <w:trHeight w:val="20"/>
        </w:trPr>
        <w:tc>
          <w:tcPr>
            <w:tcW w:w="1665" w:type="dxa"/>
            <w:vMerge w:val="restart"/>
            <w:vAlign w:val="center"/>
          </w:tcPr>
          <w:p w14:paraId="49E628D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E1. Responsabilidade Arrecadatória</w:t>
            </w:r>
          </w:p>
        </w:tc>
        <w:tc>
          <w:tcPr>
            <w:tcW w:w="1635" w:type="dxa"/>
            <w:vMerge w:val="restart"/>
            <w:vAlign w:val="center"/>
          </w:tcPr>
          <w:p w14:paraId="1DB8F97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D1. </w:t>
            </w:r>
          </w:p>
          <w:p w14:paraId="5C467F9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Jurídico-Estrutural</w:t>
            </w:r>
          </w:p>
        </w:tc>
        <w:tc>
          <w:tcPr>
            <w:tcW w:w="2910" w:type="dxa"/>
            <w:vAlign w:val="center"/>
          </w:tcPr>
          <w:p w14:paraId="179A1415"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P1. O Fundo possui lei formal de criação vigente?</w:t>
            </w:r>
          </w:p>
        </w:tc>
        <w:tc>
          <w:tcPr>
            <w:tcW w:w="1335" w:type="dxa"/>
            <w:vAlign w:val="center"/>
          </w:tcPr>
          <w:p w14:paraId="0D013B0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034152E2"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7C156072"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08AB04C9" w14:textId="77777777" w:rsidTr="00BD3046">
        <w:trPr>
          <w:trHeight w:val="20"/>
        </w:trPr>
        <w:tc>
          <w:tcPr>
            <w:tcW w:w="1665" w:type="dxa"/>
            <w:vMerge/>
            <w:vAlign w:val="center"/>
          </w:tcPr>
          <w:p w14:paraId="3E82B1F9"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36F27AF8"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0F6449F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P2. O Fundo está previsto na Constituição Estadual ou Lei Orgânica Municipal?</w:t>
            </w:r>
          </w:p>
        </w:tc>
        <w:tc>
          <w:tcPr>
            <w:tcW w:w="1335" w:type="dxa"/>
            <w:vAlign w:val="center"/>
          </w:tcPr>
          <w:p w14:paraId="1575983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5B5C4A05"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7E9080D2"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50C4F949" w14:textId="77777777" w:rsidTr="00BD3046">
        <w:trPr>
          <w:trHeight w:val="20"/>
        </w:trPr>
        <w:tc>
          <w:tcPr>
            <w:tcW w:w="1665" w:type="dxa"/>
            <w:vMerge/>
            <w:vAlign w:val="center"/>
          </w:tcPr>
          <w:p w14:paraId="23E33650"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5EA763BE"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56AA5134"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P3. Existe regulamentação infralegal vigente (decreto, portaria, resolução)?</w:t>
            </w:r>
          </w:p>
        </w:tc>
        <w:tc>
          <w:tcPr>
            <w:tcW w:w="1335" w:type="dxa"/>
            <w:vAlign w:val="center"/>
          </w:tcPr>
          <w:p w14:paraId="5EFA284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3DE83DAE"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119308CA"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7B70B862" w14:textId="77777777" w:rsidTr="00BD3046">
        <w:trPr>
          <w:trHeight w:val="20"/>
        </w:trPr>
        <w:tc>
          <w:tcPr>
            <w:tcW w:w="1665" w:type="dxa"/>
            <w:vMerge/>
            <w:vAlign w:val="center"/>
          </w:tcPr>
          <w:p w14:paraId="2F9C3F6F"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183A5DF8"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233A20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P4. A legislação define claramente os objetivos institucionais do Fundo?</w:t>
            </w:r>
          </w:p>
        </w:tc>
        <w:tc>
          <w:tcPr>
            <w:tcW w:w="1335" w:type="dxa"/>
            <w:vAlign w:val="center"/>
          </w:tcPr>
          <w:p w14:paraId="61DAA899"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1C82E42E"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64787015"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61043F01" w14:textId="77777777" w:rsidTr="00BD3046">
        <w:trPr>
          <w:trHeight w:val="20"/>
        </w:trPr>
        <w:tc>
          <w:tcPr>
            <w:tcW w:w="1665" w:type="dxa"/>
            <w:vMerge/>
            <w:vAlign w:val="center"/>
          </w:tcPr>
          <w:p w14:paraId="2E5E70E1"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781D2327"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0DA90F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P5. A legislação define claramente as fontes de receita do Fundo?</w:t>
            </w:r>
          </w:p>
        </w:tc>
        <w:tc>
          <w:tcPr>
            <w:tcW w:w="1335" w:type="dxa"/>
            <w:vAlign w:val="center"/>
          </w:tcPr>
          <w:p w14:paraId="2BF75E7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4BEFF12B"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4F03D4B7"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343C437C" w14:textId="77777777" w:rsidTr="00BD3046">
        <w:trPr>
          <w:trHeight w:val="20"/>
        </w:trPr>
        <w:tc>
          <w:tcPr>
            <w:tcW w:w="1665" w:type="dxa"/>
            <w:vMerge/>
            <w:vAlign w:val="center"/>
          </w:tcPr>
          <w:p w14:paraId="7AF1F0FC"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2EB6FBC5"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3CE570BC"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P6. A legislação define claramente a destinação legal dos recursos do Fundo?</w:t>
            </w:r>
          </w:p>
        </w:tc>
        <w:tc>
          <w:tcPr>
            <w:tcW w:w="1335" w:type="dxa"/>
            <w:vAlign w:val="center"/>
          </w:tcPr>
          <w:p w14:paraId="4922B0A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52E057D4"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03963357"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392D40A3" w14:textId="77777777" w:rsidTr="00BD3046">
        <w:trPr>
          <w:trHeight w:val="20"/>
        </w:trPr>
        <w:tc>
          <w:tcPr>
            <w:tcW w:w="1665" w:type="dxa"/>
            <w:vMerge/>
            <w:vAlign w:val="center"/>
          </w:tcPr>
          <w:p w14:paraId="06F5AC57"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19E1333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6F77766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P7. A legislação prevê mecanismos de governança (Órgão Gestor do Fundo (OGF), Conselho Gestor do Fundo (CGF), transparência, prestação de contas)?</w:t>
            </w:r>
          </w:p>
        </w:tc>
        <w:tc>
          <w:tcPr>
            <w:tcW w:w="1335" w:type="dxa"/>
            <w:vAlign w:val="center"/>
          </w:tcPr>
          <w:p w14:paraId="55059BE4"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533A5145"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7F4C9CEE"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5E7AE81D" w14:textId="77777777" w:rsidTr="00BD3046">
        <w:trPr>
          <w:trHeight w:val="20"/>
        </w:trPr>
        <w:tc>
          <w:tcPr>
            <w:tcW w:w="1665" w:type="dxa"/>
            <w:vMerge/>
            <w:vAlign w:val="center"/>
          </w:tcPr>
          <w:p w14:paraId="18156F87"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09645E5F"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6A850B3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P8. Existe previsão legal de vinculação de alíquotas de ICMS (até 2%) ou ISS (até 0,5%) para o Fundo?</w:t>
            </w:r>
          </w:p>
        </w:tc>
        <w:tc>
          <w:tcPr>
            <w:tcW w:w="1335" w:type="dxa"/>
            <w:vAlign w:val="center"/>
          </w:tcPr>
          <w:p w14:paraId="0D0B6F35"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0AB60944"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048E3459"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13985268" w14:textId="77777777" w:rsidTr="00BD3046">
        <w:trPr>
          <w:trHeight w:val="20"/>
        </w:trPr>
        <w:tc>
          <w:tcPr>
            <w:tcW w:w="1665" w:type="dxa"/>
            <w:vMerge/>
            <w:vAlign w:val="center"/>
          </w:tcPr>
          <w:p w14:paraId="2C2779B4"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restart"/>
            <w:vAlign w:val="center"/>
          </w:tcPr>
          <w:p w14:paraId="0174A7B7"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D2. </w:t>
            </w:r>
          </w:p>
          <w:p w14:paraId="7352C93B"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Financeira e Orçamentária</w:t>
            </w:r>
          </w:p>
        </w:tc>
        <w:tc>
          <w:tcPr>
            <w:tcW w:w="2910" w:type="dxa"/>
            <w:vAlign w:val="center"/>
          </w:tcPr>
          <w:p w14:paraId="49FECDA7"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P9. O Fundo apresentou previsão de receitas discriminadas (por natureza) na LOA?</w:t>
            </w:r>
          </w:p>
        </w:tc>
        <w:tc>
          <w:tcPr>
            <w:tcW w:w="1335" w:type="dxa"/>
            <w:vAlign w:val="center"/>
          </w:tcPr>
          <w:p w14:paraId="4F24505D"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3F2BF1AD"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13E35749"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3839FC69" w14:textId="77777777" w:rsidTr="00BD3046">
        <w:trPr>
          <w:trHeight w:val="20"/>
        </w:trPr>
        <w:tc>
          <w:tcPr>
            <w:tcW w:w="1665" w:type="dxa"/>
            <w:vMerge/>
            <w:vAlign w:val="center"/>
          </w:tcPr>
          <w:p w14:paraId="559E0CD0"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2B5E67C6"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5FBFD31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P10. A arrecadação do Fundo é regular ao longo do exercício?</w:t>
            </w:r>
          </w:p>
        </w:tc>
        <w:tc>
          <w:tcPr>
            <w:tcW w:w="1335" w:type="dxa"/>
            <w:vAlign w:val="center"/>
          </w:tcPr>
          <w:p w14:paraId="5D123A7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1F593BD9"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IR</w:t>
            </w:r>
          </w:p>
        </w:tc>
        <w:tc>
          <w:tcPr>
            <w:tcW w:w="615" w:type="dxa"/>
            <w:vAlign w:val="center"/>
          </w:tcPr>
          <w:p w14:paraId="3D59C727"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564DE4ED" w14:textId="77777777" w:rsidTr="00BD3046">
        <w:trPr>
          <w:trHeight w:val="20"/>
        </w:trPr>
        <w:tc>
          <w:tcPr>
            <w:tcW w:w="1665" w:type="dxa"/>
            <w:vMerge/>
            <w:vAlign w:val="center"/>
          </w:tcPr>
          <w:p w14:paraId="2395086F"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27715E52"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433C3B04" w14:textId="77777777" w:rsidR="00C62CFB" w:rsidRPr="00A04B57" w:rsidRDefault="00C62CFB" w:rsidP="00BD3046">
            <w:pPr>
              <w:spacing w:after="0" w:line="240" w:lineRule="auto"/>
              <w:rPr>
                <w:rFonts w:ascii="Times New Roman" w:eastAsia="Arial" w:hAnsi="Times New Roman" w:cs="Times New Roman"/>
                <w:color w:val="FF0000"/>
                <w:sz w:val="18"/>
                <w:szCs w:val="18"/>
              </w:rPr>
            </w:pPr>
            <w:r w:rsidRPr="00A04B57">
              <w:rPr>
                <w:rFonts w:ascii="Times New Roman" w:eastAsia="Arial" w:hAnsi="Times New Roman" w:cs="Times New Roman"/>
                <w:sz w:val="18"/>
                <w:szCs w:val="18"/>
              </w:rPr>
              <w:t>P11. O Fundo recebeu repasses sem atrasos, interrupções ou perdas significativas?</w:t>
            </w:r>
          </w:p>
        </w:tc>
        <w:tc>
          <w:tcPr>
            <w:tcW w:w="1335" w:type="dxa"/>
            <w:vAlign w:val="center"/>
          </w:tcPr>
          <w:p w14:paraId="78B0F060"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3702909B"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IR</w:t>
            </w:r>
          </w:p>
        </w:tc>
        <w:tc>
          <w:tcPr>
            <w:tcW w:w="615" w:type="dxa"/>
            <w:vAlign w:val="center"/>
          </w:tcPr>
          <w:p w14:paraId="78725C5A"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3D0C1361" w14:textId="77777777" w:rsidTr="00BD3046">
        <w:trPr>
          <w:trHeight w:val="20"/>
        </w:trPr>
        <w:tc>
          <w:tcPr>
            <w:tcW w:w="1665" w:type="dxa"/>
            <w:vMerge/>
            <w:vAlign w:val="center"/>
          </w:tcPr>
          <w:p w14:paraId="0554383C"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restart"/>
            <w:vAlign w:val="center"/>
          </w:tcPr>
          <w:p w14:paraId="0AFE0B00"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D3. </w:t>
            </w:r>
          </w:p>
          <w:p w14:paraId="4EF8B120"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Político-</w:t>
            </w:r>
          </w:p>
          <w:p w14:paraId="35B0065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Institucional</w:t>
            </w:r>
          </w:p>
        </w:tc>
        <w:tc>
          <w:tcPr>
            <w:tcW w:w="2910" w:type="dxa"/>
            <w:vAlign w:val="center"/>
          </w:tcPr>
          <w:p w14:paraId="3CEF4EA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P12. O Fundo atua de forma complementar às dotações ordinárias das secretarias, sem substituí-las?</w:t>
            </w:r>
          </w:p>
        </w:tc>
        <w:tc>
          <w:tcPr>
            <w:tcW w:w="1335" w:type="dxa"/>
            <w:vAlign w:val="center"/>
          </w:tcPr>
          <w:p w14:paraId="43A86455"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2E1DF5A9"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4E6613A2"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0159CDEF" w14:textId="77777777" w:rsidTr="00BD3046">
        <w:trPr>
          <w:trHeight w:val="20"/>
        </w:trPr>
        <w:tc>
          <w:tcPr>
            <w:tcW w:w="1665" w:type="dxa"/>
            <w:vMerge/>
            <w:vAlign w:val="center"/>
          </w:tcPr>
          <w:p w14:paraId="13504EC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0AEBCACB"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2CF89B1" w14:textId="77777777" w:rsidR="00C62CFB" w:rsidRPr="00A04B57" w:rsidRDefault="00C62CFB" w:rsidP="00BD3046">
            <w:pPr>
              <w:spacing w:after="0" w:line="240" w:lineRule="auto"/>
              <w:rPr>
                <w:rFonts w:ascii="Times New Roman" w:eastAsia="Arial" w:hAnsi="Times New Roman" w:cs="Times New Roman"/>
                <w:color w:val="FF0000"/>
                <w:sz w:val="18"/>
                <w:szCs w:val="18"/>
              </w:rPr>
            </w:pPr>
            <w:sdt>
              <w:sdtPr>
                <w:rPr>
                  <w:rFonts w:ascii="Times New Roman" w:hAnsi="Times New Roman" w:cs="Times New Roman"/>
                </w:rPr>
                <w:tag w:val="goog_rdk_0"/>
                <w:id w:val="-1643592117"/>
              </w:sdtPr>
              <w:sdtContent>
                <w:r w:rsidRPr="00A04B57">
                  <w:rPr>
                    <w:rFonts w:ascii="Times New Roman" w:eastAsia="Arial Unicode MS" w:hAnsi="Times New Roman" w:cs="Times New Roman"/>
                    <w:sz w:val="18"/>
                    <w:szCs w:val="18"/>
                  </w:rPr>
                  <w:t>P13. A execução não está concentrada em poucos atores (≤ 3)?</w:t>
                </w:r>
              </w:sdtContent>
            </w:sdt>
          </w:p>
        </w:tc>
        <w:tc>
          <w:tcPr>
            <w:tcW w:w="1335" w:type="dxa"/>
            <w:vAlign w:val="center"/>
          </w:tcPr>
          <w:p w14:paraId="3EE20AC4"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00C3D547"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IR</w:t>
            </w:r>
          </w:p>
        </w:tc>
        <w:tc>
          <w:tcPr>
            <w:tcW w:w="615" w:type="dxa"/>
            <w:vAlign w:val="center"/>
          </w:tcPr>
          <w:p w14:paraId="73D9B0A0"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728CEAFE" w14:textId="77777777" w:rsidTr="00BD3046">
        <w:trPr>
          <w:trHeight w:val="20"/>
        </w:trPr>
        <w:tc>
          <w:tcPr>
            <w:tcW w:w="1665" w:type="dxa"/>
            <w:vMerge/>
            <w:vAlign w:val="center"/>
          </w:tcPr>
          <w:p w14:paraId="6D3E06B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restart"/>
            <w:vAlign w:val="center"/>
          </w:tcPr>
          <w:p w14:paraId="7F957459"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D4. </w:t>
            </w:r>
          </w:p>
          <w:p w14:paraId="239D711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Participativa e de Transparência</w:t>
            </w:r>
          </w:p>
        </w:tc>
        <w:tc>
          <w:tcPr>
            <w:tcW w:w="2910" w:type="dxa"/>
            <w:vAlign w:val="center"/>
          </w:tcPr>
          <w:p w14:paraId="6A087BC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P14. Há transparência ativa dos dados de arrecadação do Fundo?</w:t>
            </w:r>
          </w:p>
        </w:tc>
        <w:tc>
          <w:tcPr>
            <w:tcW w:w="1335" w:type="dxa"/>
            <w:vAlign w:val="center"/>
          </w:tcPr>
          <w:p w14:paraId="6282A91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499D989E"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3DF4C741"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745B8E3A" w14:textId="77777777" w:rsidTr="00BD3046">
        <w:trPr>
          <w:trHeight w:val="20"/>
        </w:trPr>
        <w:tc>
          <w:tcPr>
            <w:tcW w:w="1665" w:type="dxa"/>
            <w:vMerge/>
            <w:vAlign w:val="center"/>
          </w:tcPr>
          <w:p w14:paraId="231FFF12"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1D89257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316FFEFB"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P15. Os dados de arrecadação são disponibilizados em tempo real ou com atualização mensal?</w:t>
            </w:r>
          </w:p>
        </w:tc>
        <w:tc>
          <w:tcPr>
            <w:tcW w:w="1335" w:type="dxa"/>
            <w:vAlign w:val="center"/>
          </w:tcPr>
          <w:p w14:paraId="3095C37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7C7895BA"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3914F72F"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287651EC" w14:textId="77777777" w:rsidTr="00BD3046">
        <w:trPr>
          <w:trHeight w:val="20"/>
        </w:trPr>
        <w:tc>
          <w:tcPr>
            <w:tcW w:w="1665" w:type="dxa"/>
            <w:vMerge w:val="restart"/>
            <w:vAlign w:val="center"/>
          </w:tcPr>
          <w:p w14:paraId="776C443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E2. Planejamento Orçamentário</w:t>
            </w:r>
          </w:p>
        </w:tc>
        <w:tc>
          <w:tcPr>
            <w:tcW w:w="1635" w:type="dxa"/>
            <w:vMerge w:val="restart"/>
            <w:vAlign w:val="center"/>
          </w:tcPr>
          <w:p w14:paraId="0F813F8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D1. </w:t>
            </w:r>
          </w:p>
          <w:p w14:paraId="6C6FFB2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Jurídico-Estrutural</w:t>
            </w:r>
          </w:p>
        </w:tc>
        <w:tc>
          <w:tcPr>
            <w:tcW w:w="2910" w:type="dxa"/>
            <w:vAlign w:val="center"/>
          </w:tcPr>
          <w:p w14:paraId="1F022B4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P16. A legislação do Fundo define o que são e/ou quais as áreas das ações de combate à pobreza?</w:t>
            </w:r>
          </w:p>
        </w:tc>
        <w:tc>
          <w:tcPr>
            <w:tcW w:w="1335" w:type="dxa"/>
            <w:vAlign w:val="center"/>
          </w:tcPr>
          <w:p w14:paraId="3144352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20B86054"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5C5448B6"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627D8646" w14:textId="77777777" w:rsidTr="00BD3046">
        <w:trPr>
          <w:trHeight w:val="20"/>
        </w:trPr>
        <w:tc>
          <w:tcPr>
            <w:tcW w:w="1665" w:type="dxa"/>
            <w:vMerge/>
            <w:vAlign w:val="center"/>
          </w:tcPr>
          <w:p w14:paraId="5E31A279"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3132F0B2"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0A48B65B"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P17. Existe previsão obrigatória para elaboração de Plano de Ação (PA) pelo Conselho Gestor do Fundo?</w:t>
            </w:r>
          </w:p>
        </w:tc>
        <w:tc>
          <w:tcPr>
            <w:tcW w:w="1335" w:type="dxa"/>
            <w:vAlign w:val="center"/>
          </w:tcPr>
          <w:p w14:paraId="228884CC"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6A5B4160"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49E7F3B7"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565DFE40" w14:textId="77777777" w:rsidTr="00BD3046">
        <w:trPr>
          <w:trHeight w:val="20"/>
        </w:trPr>
        <w:tc>
          <w:tcPr>
            <w:tcW w:w="1665" w:type="dxa"/>
            <w:vMerge/>
            <w:vAlign w:val="center"/>
          </w:tcPr>
          <w:p w14:paraId="0495209F"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68112A88"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75999B24"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P18. O Plano de Ação (PA) define metas e objetivos claros para cada área temática de política pública?</w:t>
            </w:r>
          </w:p>
        </w:tc>
        <w:tc>
          <w:tcPr>
            <w:tcW w:w="1335" w:type="dxa"/>
            <w:vAlign w:val="center"/>
          </w:tcPr>
          <w:p w14:paraId="20E197F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098F70CB"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5EE6C69B"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660E1C17" w14:textId="77777777" w:rsidTr="00BD3046">
        <w:trPr>
          <w:trHeight w:val="20"/>
        </w:trPr>
        <w:tc>
          <w:tcPr>
            <w:tcW w:w="1665" w:type="dxa"/>
            <w:vMerge/>
            <w:vAlign w:val="center"/>
          </w:tcPr>
          <w:p w14:paraId="6EEFC433"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7F46C864"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5982ABD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P19. O Plano de Ação (PA) está alinhado ao Plano Plurianual?</w:t>
            </w:r>
          </w:p>
        </w:tc>
        <w:tc>
          <w:tcPr>
            <w:tcW w:w="1335" w:type="dxa"/>
            <w:vAlign w:val="center"/>
          </w:tcPr>
          <w:p w14:paraId="05087A7C"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314F8CD0"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53D9D004"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41DF2D1B" w14:textId="77777777" w:rsidTr="00BD3046">
        <w:trPr>
          <w:trHeight w:val="20"/>
        </w:trPr>
        <w:tc>
          <w:tcPr>
            <w:tcW w:w="1665" w:type="dxa"/>
            <w:vMerge/>
            <w:vAlign w:val="center"/>
          </w:tcPr>
          <w:p w14:paraId="46589B1C"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50436B92"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4582972E"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P20. Existe previsão obrigatória para elaboração de Plano de Aplicação Financeira (PAF) pelo Conselho Gestor do Fundo?</w:t>
            </w:r>
          </w:p>
        </w:tc>
        <w:tc>
          <w:tcPr>
            <w:tcW w:w="1335" w:type="dxa"/>
            <w:vAlign w:val="center"/>
          </w:tcPr>
          <w:p w14:paraId="3DEEA31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06F29779"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23A9BDB2"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3B54B20C" w14:textId="77777777" w:rsidTr="00BD3046">
        <w:trPr>
          <w:trHeight w:val="20"/>
        </w:trPr>
        <w:tc>
          <w:tcPr>
            <w:tcW w:w="1665" w:type="dxa"/>
            <w:vMerge/>
            <w:vAlign w:val="center"/>
          </w:tcPr>
          <w:p w14:paraId="29D23DA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restart"/>
            <w:vAlign w:val="center"/>
          </w:tcPr>
          <w:p w14:paraId="0194D9A9"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D5. </w:t>
            </w:r>
          </w:p>
          <w:p w14:paraId="466EEAA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Institucional e Organizacional</w:t>
            </w:r>
          </w:p>
        </w:tc>
        <w:tc>
          <w:tcPr>
            <w:tcW w:w="2910" w:type="dxa"/>
            <w:vAlign w:val="center"/>
          </w:tcPr>
          <w:p w14:paraId="282C123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P21. O Conselho Gestor do Fundo está formalmente instituído?</w:t>
            </w:r>
          </w:p>
        </w:tc>
        <w:tc>
          <w:tcPr>
            <w:tcW w:w="1335" w:type="dxa"/>
            <w:vAlign w:val="center"/>
          </w:tcPr>
          <w:p w14:paraId="3DC359E4"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0A5C431E"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10878DB9"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169D3A14" w14:textId="77777777" w:rsidTr="00BD3046">
        <w:trPr>
          <w:trHeight w:val="20"/>
        </w:trPr>
        <w:tc>
          <w:tcPr>
            <w:tcW w:w="1665" w:type="dxa"/>
            <w:vMerge/>
            <w:vAlign w:val="center"/>
          </w:tcPr>
          <w:p w14:paraId="3B3F46E8"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0590163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03B1E17B"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P22. Os gestores (Ordenadores do Fundo e Conselheiros) possuem capacitação em planejamento, </w:t>
            </w:r>
            <w:r w:rsidRPr="00A04B57">
              <w:rPr>
                <w:rFonts w:ascii="Times New Roman" w:eastAsia="Arial" w:hAnsi="Times New Roman" w:cs="Times New Roman"/>
                <w:color w:val="000000"/>
                <w:sz w:val="18"/>
                <w:szCs w:val="18"/>
              </w:rPr>
              <w:lastRenderedPageBreak/>
              <w:t>orçamento e avaliação das políticas de combate à pobreza?</w:t>
            </w:r>
          </w:p>
        </w:tc>
        <w:tc>
          <w:tcPr>
            <w:tcW w:w="1335" w:type="dxa"/>
            <w:vAlign w:val="center"/>
          </w:tcPr>
          <w:p w14:paraId="5A23CB74"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lastRenderedPageBreak/>
              <w:t>Estratégico</w:t>
            </w:r>
          </w:p>
        </w:tc>
        <w:tc>
          <w:tcPr>
            <w:tcW w:w="990" w:type="dxa"/>
            <w:vAlign w:val="center"/>
          </w:tcPr>
          <w:p w14:paraId="2A40FB95"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1A003FD3"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6BC54D09" w14:textId="77777777" w:rsidTr="00BD3046">
        <w:trPr>
          <w:trHeight w:val="20"/>
        </w:trPr>
        <w:tc>
          <w:tcPr>
            <w:tcW w:w="1665" w:type="dxa"/>
            <w:vMerge/>
            <w:vAlign w:val="center"/>
          </w:tcPr>
          <w:p w14:paraId="28C9BC20"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5E42ED91"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48A0BAA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P23. A composição do Conselho Gestor do Fundo é paritária entre governo e sociedade civil?</w:t>
            </w:r>
          </w:p>
        </w:tc>
        <w:tc>
          <w:tcPr>
            <w:tcW w:w="1335" w:type="dxa"/>
            <w:vAlign w:val="center"/>
          </w:tcPr>
          <w:p w14:paraId="59247BFE"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67B5A061"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3DD692AA"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62610CDB" w14:textId="77777777" w:rsidTr="00BD3046">
        <w:trPr>
          <w:trHeight w:val="20"/>
        </w:trPr>
        <w:tc>
          <w:tcPr>
            <w:tcW w:w="1665" w:type="dxa"/>
            <w:vMerge/>
            <w:vAlign w:val="center"/>
          </w:tcPr>
          <w:p w14:paraId="0B2944D7"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4942953E"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A643AA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P24. O Conselho Gestor do Fundo recebe formação periódica para exercer suas funções com autonomia e técnica?</w:t>
            </w:r>
          </w:p>
        </w:tc>
        <w:tc>
          <w:tcPr>
            <w:tcW w:w="1335" w:type="dxa"/>
            <w:vAlign w:val="center"/>
          </w:tcPr>
          <w:p w14:paraId="122AC4F4"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0DD28588"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6059716B"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65AEC46C" w14:textId="77777777" w:rsidTr="00BD3046">
        <w:trPr>
          <w:trHeight w:val="20"/>
        </w:trPr>
        <w:tc>
          <w:tcPr>
            <w:tcW w:w="1665" w:type="dxa"/>
            <w:vMerge/>
            <w:vAlign w:val="center"/>
          </w:tcPr>
          <w:p w14:paraId="4037187B"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1CB3083E"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B4FF909"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P25. O Conselho Gestor do Fundo possui poder deliberativo sobre o uso dos recursos?</w:t>
            </w:r>
          </w:p>
        </w:tc>
        <w:tc>
          <w:tcPr>
            <w:tcW w:w="1335" w:type="dxa"/>
            <w:vAlign w:val="center"/>
          </w:tcPr>
          <w:p w14:paraId="66117ED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483B331A"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22244D1B"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7830174E" w14:textId="77777777" w:rsidTr="00BD3046">
        <w:trPr>
          <w:trHeight w:val="20"/>
        </w:trPr>
        <w:tc>
          <w:tcPr>
            <w:tcW w:w="1665" w:type="dxa"/>
            <w:vMerge/>
            <w:vAlign w:val="center"/>
          </w:tcPr>
          <w:p w14:paraId="7CB2453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5E17257A"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39059DF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P26. Há instâncias de articulação para o planejamento de despesas com recursos do Fundo para ações de educação, saúde, assistência social etc.?</w:t>
            </w:r>
          </w:p>
        </w:tc>
        <w:tc>
          <w:tcPr>
            <w:tcW w:w="1335" w:type="dxa"/>
            <w:vAlign w:val="center"/>
          </w:tcPr>
          <w:p w14:paraId="27894AF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590CED52"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5FF94099"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43F2D6C7" w14:textId="77777777" w:rsidTr="00BD3046">
        <w:trPr>
          <w:trHeight w:val="20"/>
        </w:trPr>
        <w:tc>
          <w:tcPr>
            <w:tcW w:w="1665" w:type="dxa"/>
            <w:vMerge/>
            <w:vAlign w:val="center"/>
          </w:tcPr>
          <w:p w14:paraId="67FAF07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20E8CDA5"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E25EB7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P27. Existe prestação de contas periódica e pública específica do Fundo?</w:t>
            </w:r>
          </w:p>
        </w:tc>
        <w:tc>
          <w:tcPr>
            <w:tcW w:w="1335" w:type="dxa"/>
            <w:vAlign w:val="center"/>
          </w:tcPr>
          <w:p w14:paraId="2FC5FFE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59F62C8F"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54185146"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0D7E9A1F" w14:textId="77777777" w:rsidTr="00BD3046">
        <w:trPr>
          <w:trHeight w:val="20"/>
        </w:trPr>
        <w:tc>
          <w:tcPr>
            <w:tcW w:w="1665" w:type="dxa"/>
            <w:vMerge/>
            <w:vAlign w:val="center"/>
          </w:tcPr>
          <w:p w14:paraId="56265CCB"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restart"/>
            <w:vAlign w:val="center"/>
          </w:tcPr>
          <w:p w14:paraId="18C2C30C"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D3. </w:t>
            </w:r>
          </w:p>
          <w:p w14:paraId="02C15B09"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Político-</w:t>
            </w:r>
          </w:p>
          <w:p w14:paraId="4ECE1A2C"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Institucional</w:t>
            </w:r>
          </w:p>
        </w:tc>
        <w:tc>
          <w:tcPr>
            <w:tcW w:w="2910" w:type="dxa"/>
            <w:vAlign w:val="center"/>
          </w:tcPr>
          <w:p w14:paraId="53CEE2C7"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P28. Os recursos do Fundo </w:t>
            </w:r>
            <w:r w:rsidRPr="00A04B57">
              <w:rPr>
                <w:rFonts w:ascii="Times New Roman" w:eastAsia="Arial" w:hAnsi="Times New Roman" w:cs="Times New Roman"/>
                <w:sz w:val="18"/>
                <w:szCs w:val="18"/>
              </w:rPr>
              <w:t>atendem</w:t>
            </w:r>
            <w:r w:rsidRPr="00A04B57">
              <w:rPr>
                <w:rFonts w:ascii="Times New Roman" w:eastAsia="Arial" w:hAnsi="Times New Roman" w:cs="Times New Roman"/>
                <w:color w:val="000000"/>
                <w:sz w:val="18"/>
                <w:szCs w:val="18"/>
              </w:rPr>
              <w:t>, prioritariamente, as áreas mais pobres ou vulneráveis do território? Ou seja, os critérios regionais (ex: IDH, CADÚnico, mapa de pobreza) para as ações custeadas estão bem definidos?</w:t>
            </w:r>
          </w:p>
        </w:tc>
        <w:tc>
          <w:tcPr>
            <w:tcW w:w="1335" w:type="dxa"/>
            <w:vAlign w:val="center"/>
          </w:tcPr>
          <w:p w14:paraId="42DEC02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767DE25E"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56622051"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43E1519F" w14:textId="77777777" w:rsidTr="00BD3046">
        <w:trPr>
          <w:trHeight w:val="20"/>
        </w:trPr>
        <w:tc>
          <w:tcPr>
            <w:tcW w:w="1665" w:type="dxa"/>
            <w:vMerge/>
            <w:vAlign w:val="center"/>
          </w:tcPr>
          <w:p w14:paraId="4CEB50CE"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7A87DBDA"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490A4569"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P29. O Conselho não foi desativado ou perdeu autonomia nos últimos 5 anos?</w:t>
            </w:r>
          </w:p>
        </w:tc>
        <w:tc>
          <w:tcPr>
            <w:tcW w:w="1335" w:type="dxa"/>
            <w:vAlign w:val="center"/>
          </w:tcPr>
          <w:p w14:paraId="2A15B9DE"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1E8842A2"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6C70F12E"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107DE9F3" w14:textId="77777777" w:rsidTr="00BD3046">
        <w:trPr>
          <w:trHeight w:val="20"/>
        </w:trPr>
        <w:tc>
          <w:tcPr>
            <w:tcW w:w="1665" w:type="dxa"/>
            <w:vMerge/>
            <w:vAlign w:val="center"/>
          </w:tcPr>
          <w:p w14:paraId="3605076C"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79FA78B9"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8F63DC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P30. Há Plano de Ação (PA) e Plano de Aplicação Financeira (PAF) aprovado para o exercício atual?</w:t>
            </w:r>
          </w:p>
        </w:tc>
        <w:tc>
          <w:tcPr>
            <w:tcW w:w="1335" w:type="dxa"/>
            <w:vAlign w:val="center"/>
          </w:tcPr>
          <w:p w14:paraId="39ACDCC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379E7DD5"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564E2F6A"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0B7B7269" w14:textId="77777777" w:rsidTr="00BD3046">
        <w:trPr>
          <w:trHeight w:val="20"/>
        </w:trPr>
        <w:tc>
          <w:tcPr>
            <w:tcW w:w="1665" w:type="dxa"/>
            <w:vMerge/>
            <w:vAlign w:val="center"/>
          </w:tcPr>
          <w:p w14:paraId="4984CD18"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06BCE5F1"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7CE085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P31. O total de despesas autorizadas no Plano de Aplicação Financeira (PAF) é compatível com a previsão anual de receitas para o Fundo?</w:t>
            </w:r>
          </w:p>
        </w:tc>
        <w:tc>
          <w:tcPr>
            <w:tcW w:w="1335" w:type="dxa"/>
            <w:vAlign w:val="center"/>
          </w:tcPr>
          <w:p w14:paraId="56220D5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73670E2F"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53980EC5"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05D8E204" w14:textId="77777777" w:rsidTr="00BD3046">
        <w:trPr>
          <w:trHeight w:val="20"/>
        </w:trPr>
        <w:tc>
          <w:tcPr>
            <w:tcW w:w="1665" w:type="dxa"/>
            <w:vMerge/>
            <w:vAlign w:val="center"/>
          </w:tcPr>
          <w:p w14:paraId="19E0EDA1"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6508F7E7"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241B3E8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P32. Existe espaço institucional para revisão e correção das metas das ações custeadas com recursos do Fundo?</w:t>
            </w:r>
          </w:p>
        </w:tc>
        <w:tc>
          <w:tcPr>
            <w:tcW w:w="1335" w:type="dxa"/>
            <w:vAlign w:val="center"/>
          </w:tcPr>
          <w:p w14:paraId="443A59D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0D959208"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3E0FF939"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7A73AA6F" w14:textId="77777777" w:rsidTr="00BD3046">
        <w:trPr>
          <w:trHeight w:val="20"/>
        </w:trPr>
        <w:tc>
          <w:tcPr>
            <w:tcW w:w="1665" w:type="dxa"/>
            <w:vMerge/>
            <w:vAlign w:val="center"/>
          </w:tcPr>
          <w:p w14:paraId="6C6372EA"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restart"/>
            <w:vAlign w:val="center"/>
          </w:tcPr>
          <w:p w14:paraId="3E3C757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D2. </w:t>
            </w:r>
          </w:p>
          <w:p w14:paraId="3072426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Financeira e Orçamentária</w:t>
            </w:r>
          </w:p>
        </w:tc>
        <w:tc>
          <w:tcPr>
            <w:tcW w:w="2910" w:type="dxa"/>
            <w:vAlign w:val="center"/>
          </w:tcPr>
          <w:p w14:paraId="2A6A0E6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P33. O Fundo possui Unidade Orçamentária própria ou está classificado por Fonte de Recursos na LOA?</w:t>
            </w:r>
          </w:p>
        </w:tc>
        <w:tc>
          <w:tcPr>
            <w:tcW w:w="1335" w:type="dxa"/>
            <w:vAlign w:val="center"/>
          </w:tcPr>
          <w:p w14:paraId="41B887D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5F3F78C6"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21093CF1"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79C323DC" w14:textId="77777777" w:rsidTr="00BD3046">
        <w:trPr>
          <w:trHeight w:val="20"/>
        </w:trPr>
        <w:tc>
          <w:tcPr>
            <w:tcW w:w="1665" w:type="dxa"/>
            <w:vMerge/>
            <w:vAlign w:val="center"/>
          </w:tcPr>
          <w:p w14:paraId="425E7011"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3BFE0CE0"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C40B8E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P34. É possível identificar quais ações governamentais são custeadas com recursos do Fundo de Combate à Pobreza nas peças orçamentárias?</w:t>
            </w:r>
          </w:p>
        </w:tc>
        <w:tc>
          <w:tcPr>
            <w:tcW w:w="1335" w:type="dxa"/>
            <w:vAlign w:val="center"/>
          </w:tcPr>
          <w:p w14:paraId="7A02535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464490F1"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4F794118"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753BE633" w14:textId="77777777" w:rsidTr="00BD3046">
        <w:trPr>
          <w:trHeight w:val="20"/>
        </w:trPr>
        <w:tc>
          <w:tcPr>
            <w:tcW w:w="1665" w:type="dxa"/>
            <w:vMerge/>
            <w:vAlign w:val="center"/>
          </w:tcPr>
          <w:p w14:paraId="4E43AF93"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15B36F99"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FCD0837"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P35. Há metas no PPA ou na LDO que dependem de recursos do Fundo de Combate à Pobreza para serem cumpridas?</w:t>
            </w:r>
          </w:p>
        </w:tc>
        <w:tc>
          <w:tcPr>
            <w:tcW w:w="1335" w:type="dxa"/>
            <w:vAlign w:val="center"/>
          </w:tcPr>
          <w:p w14:paraId="17C0F25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601D843D"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6766FE6F"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2B2491ED" w14:textId="77777777" w:rsidTr="00BD3046">
        <w:trPr>
          <w:trHeight w:val="20"/>
        </w:trPr>
        <w:tc>
          <w:tcPr>
            <w:tcW w:w="1665" w:type="dxa"/>
            <w:vMerge/>
            <w:vAlign w:val="center"/>
          </w:tcPr>
          <w:p w14:paraId="15FB38BA"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restart"/>
            <w:vAlign w:val="center"/>
          </w:tcPr>
          <w:p w14:paraId="61BBF755"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D6. </w:t>
            </w:r>
          </w:p>
          <w:p w14:paraId="030C67D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Avaliativa</w:t>
            </w:r>
          </w:p>
        </w:tc>
        <w:tc>
          <w:tcPr>
            <w:tcW w:w="2910" w:type="dxa"/>
            <w:vAlign w:val="center"/>
          </w:tcPr>
          <w:p w14:paraId="0DF7CB5E"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P36. Há mecanismos de monitoramento do cumprimento do Plano de Ação (PA) do Fundo?</w:t>
            </w:r>
          </w:p>
        </w:tc>
        <w:tc>
          <w:tcPr>
            <w:tcW w:w="1335" w:type="dxa"/>
            <w:vAlign w:val="center"/>
          </w:tcPr>
          <w:p w14:paraId="7641941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4CDB1703"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0C0EB438"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303467F3" w14:textId="77777777" w:rsidTr="00BD3046">
        <w:trPr>
          <w:trHeight w:val="20"/>
        </w:trPr>
        <w:tc>
          <w:tcPr>
            <w:tcW w:w="1665" w:type="dxa"/>
            <w:vMerge/>
            <w:vAlign w:val="center"/>
          </w:tcPr>
          <w:p w14:paraId="34FEF2D0"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33B5D481"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61A62284"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P37. Foram realizadas audiências públicas ou consultas sobre as prioridades que seriam custeadas com recursos do Fundo?</w:t>
            </w:r>
          </w:p>
        </w:tc>
        <w:tc>
          <w:tcPr>
            <w:tcW w:w="1335" w:type="dxa"/>
            <w:vAlign w:val="center"/>
          </w:tcPr>
          <w:p w14:paraId="3D8710F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01A3E7D3"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08012D52"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7D8F4A3A" w14:textId="77777777" w:rsidTr="00BD3046">
        <w:trPr>
          <w:trHeight w:val="20"/>
        </w:trPr>
        <w:tc>
          <w:tcPr>
            <w:tcW w:w="1665" w:type="dxa"/>
            <w:vMerge/>
            <w:vAlign w:val="center"/>
          </w:tcPr>
          <w:p w14:paraId="6584AD5B"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2DFB569C"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E36790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P38. Resultados de monitoramento e avaliação de políticas públicas influenciaram a elaboração da programação orçamentária anual do Fundo?</w:t>
            </w:r>
          </w:p>
        </w:tc>
        <w:tc>
          <w:tcPr>
            <w:tcW w:w="1335" w:type="dxa"/>
            <w:vAlign w:val="center"/>
          </w:tcPr>
          <w:p w14:paraId="2ACE2A5C"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423BC7F7"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0A731F95"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2CB10CD8" w14:textId="77777777" w:rsidTr="00BD3046">
        <w:trPr>
          <w:trHeight w:val="20"/>
        </w:trPr>
        <w:tc>
          <w:tcPr>
            <w:tcW w:w="1665" w:type="dxa"/>
            <w:vMerge/>
            <w:vAlign w:val="center"/>
          </w:tcPr>
          <w:p w14:paraId="7D1F8EA0"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restart"/>
            <w:vAlign w:val="center"/>
          </w:tcPr>
          <w:p w14:paraId="3EAF7E3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D7. </w:t>
            </w:r>
          </w:p>
          <w:p w14:paraId="6D89178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Histórico-</w:t>
            </w:r>
          </w:p>
          <w:p w14:paraId="3F59A92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Evolutiva</w:t>
            </w:r>
          </w:p>
        </w:tc>
        <w:tc>
          <w:tcPr>
            <w:tcW w:w="2910" w:type="dxa"/>
            <w:vAlign w:val="center"/>
          </w:tcPr>
          <w:p w14:paraId="6DBB460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P39. O Fundo de Combate à Pobreza foi constituído legalmente há mais de 5 anos?</w:t>
            </w:r>
          </w:p>
        </w:tc>
        <w:tc>
          <w:tcPr>
            <w:tcW w:w="1335" w:type="dxa"/>
            <w:vAlign w:val="center"/>
          </w:tcPr>
          <w:p w14:paraId="447BA82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56EFDAEE"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4AAEBDB8"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7606E13D" w14:textId="77777777" w:rsidTr="00BD3046">
        <w:trPr>
          <w:trHeight w:val="20"/>
        </w:trPr>
        <w:tc>
          <w:tcPr>
            <w:tcW w:w="1665" w:type="dxa"/>
            <w:vMerge/>
            <w:vAlign w:val="center"/>
          </w:tcPr>
          <w:p w14:paraId="1F467B82"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6DFCF72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CA3681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P40. Desde a sua criação, houve alterações relevantes em sua estrutura normativa?</w:t>
            </w:r>
          </w:p>
        </w:tc>
        <w:tc>
          <w:tcPr>
            <w:tcW w:w="1335" w:type="dxa"/>
            <w:vAlign w:val="center"/>
          </w:tcPr>
          <w:p w14:paraId="43DD262D"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160E74CD"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43A397E4"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4951ACBF" w14:textId="77777777" w:rsidTr="00BD3046">
        <w:trPr>
          <w:trHeight w:val="20"/>
        </w:trPr>
        <w:tc>
          <w:tcPr>
            <w:tcW w:w="1665" w:type="dxa"/>
            <w:vMerge/>
            <w:vAlign w:val="center"/>
          </w:tcPr>
          <w:p w14:paraId="00FBD215"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57B718EA"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2643A61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P41. Nenhuma política financiada foi descontinuada por falta de programação orçamentária fixada com recursos do Fundo?</w:t>
            </w:r>
          </w:p>
        </w:tc>
        <w:tc>
          <w:tcPr>
            <w:tcW w:w="1335" w:type="dxa"/>
            <w:vAlign w:val="center"/>
          </w:tcPr>
          <w:p w14:paraId="0C46D669"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149C33C4"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477AB3D4"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09F3824D" w14:textId="77777777" w:rsidTr="00BD3046">
        <w:trPr>
          <w:trHeight w:val="20"/>
        </w:trPr>
        <w:tc>
          <w:tcPr>
            <w:tcW w:w="1665" w:type="dxa"/>
            <w:vMerge/>
            <w:vAlign w:val="center"/>
          </w:tcPr>
          <w:p w14:paraId="5D5D0855"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551582C3"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3546638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P42. Não ocorreram judicializações nos últimos 5 anos?</w:t>
            </w:r>
          </w:p>
        </w:tc>
        <w:tc>
          <w:tcPr>
            <w:tcW w:w="1335" w:type="dxa"/>
            <w:vAlign w:val="center"/>
          </w:tcPr>
          <w:p w14:paraId="68653970"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0E596026"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15CA38D8"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4E801FC4" w14:textId="77777777" w:rsidTr="00BD3046">
        <w:trPr>
          <w:trHeight w:val="20"/>
        </w:trPr>
        <w:tc>
          <w:tcPr>
            <w:tcW w:w="1665" w:type="dxa"/>
            <w:vMerge/>
            <w:vAlign w:val="center"/>
          </w:tcPr>
          <w:p w14:paraId="5DDA708E"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201CD459"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0D0B2F3B"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P43. Não houve mudanças abruptas na orientação política das destinações?</w:t>
            </w:r>
          </w:p>
        </w:tc>
        <w:tc>
          <w:tcPr>
            <w:tcW w:w="1335" w:type="dxa"/>
            <w:vAlign w:val="center"/>
          </w:tcPr>
          <w:p w14:paraId="011F963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33D1B2A3"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0EBEF315"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2AEC5350" w14:textId="77777777" w:rsidTr="00BD3046">
        <w:trPr>
          <w:trHeight w:val="20"/>
        </w:trPr>
        <w:tc>
          <w:tcPr>
            <w:tcW w:w="1665" w:type="dxa"/>
            <w:vMerge w:val="restart"/>
            <w:vAlign w:val="center"/>
          </w:tcPr>
          <w:p w14:paraId="244F8E10"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Execução Orçamentária e Financeira</w:t>
            </w:r>
          </w:p>
        </w:tc>
        <w:tc>
          <w:tcPr>
            <w:tcW w:w="1635" w:type="dxa"/>
            <w:vMerge w:val="restart"/>
            <w:vAlign w:val="center"/>
          </w:tcPr>
          <w:p w14:paraId="1B09D48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D2. </w:t>
            </w:r>
          </w:p>
          <w:p w14:paraId="632B1B47"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Financeira e Orçamentária</w:t>
            </w:r>
          </w:p>
        </w:tc>
        <w:tc>
          <w:tcPr>
            <w:tcW w:w="2910" w:type="dxa"/>
            <w:vAlign w:val="center"/>
          </w:tcPr>
          <w:p w14:paraId="07C263A4" w14:textId="77777777" w:rsidR="00C62CFB" w:rsidRPr="00A04B57" w:rsidRDefault="00C62CFB" w:rsidP="00BD3046">
            <w:pPr>
              <w:spacing w:after="0" w:line="240" w:lineRule="auto"/>
              <w:rPr>
                <w:rFonts w:ascii="Times New Roman" w:eastAsia="Arial" w:hAnsi="Times New Roman" w:cs="Times New Roman"/>
                <w:color w:val="000000"/>
                <w:sz w:val="18"/>
                <w:szCs w:val="18"/>
              </w:rPr>
            </w:pPr>
            <w:sdt>
              <w:sdtPr>
                <w:rPr>
                  <w:rFonts w:ascii="Times New Roman" w:hAnsi="Times New Roman" w:cs="Times New Roman"/>
                </w:rPr>
                <w:tag w:val="goog_rdk_1"/>
                <w:id w:val="1804104080"/>
              </w:sdtPr>
              <w:sdtContent>
                <w:r w:rsidRPr="00A04B57">
                  <w:rPr>
                    <w:rFonts w:ascii="Times New Roman" w:eastAsia="Arial Unicode MS" w:hAnsi="Times New Roman" w:cs="Times New Roman"/>
                    <w:color w:val="000000"/>
                    <w:sz w:val="18"/>
                    <w:szCs w:val="18"/>
                  </w:rPr>
                  <w:t>P44. O Fundo arrecadou ≥ 85% do valor programado no último ano?</w:t>
                </w:r>
              </w:sdtContent>
            </w:sdt>
          </w:p>
        </w:tc>
        <w:tc>
          <w:tcPr>
            <w:tcW w:w="1335" w:type="dxa"/>
            <w:vAlign w:val="center"/>
          </w:tcPr>
          <w:p w14:paraId="47752CD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75454E80"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IR</w:t>
            </w:r>
          </w:p>
        </w:tc>
        <w:tc>
          <w:tcPr>
            <w:tcW w:w="615" w:type="dxa"/>
            <w:vAlign w:val="center"/>
          </w:tcPr>
          <w:p w14:paraId="7EE17903"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5DF37E64" w14:textId="77777777" w:rsidTr="00BD3046">
        <w:trPr>
          <w:trHeight w:val="20"/>
        </w:trPr>
        <w:tc>
          <w:tcPr>
            <w:tcW w:w="1665" w:type="dxa"/>
            <w:vMerge/>
            <w:vAlign w:val="center"/>
          </w:tcPr>
          <w:p w14:paraId="4744FB34"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3C65DD3F"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2AE58E2F" w14:textId="77777777" w:rsidR="00C62CFB" w:rsidRPr="00A04B57" w:rsidRDefault="00C62CFB" w:rsidP="00BD3046">
            <w:pPr>
              <w:spacing w:after="0" w:line="240" w:lineRule="auto"/>
              <w:rPr>
                <w:rFonts w:ascii="Times New Roman" w:eastAsia="Arial" w:hAnsi="Times New Roman" w:cs="Times New Roman"/>
                <w:color w:val="000000"/>
                <w:sz w:val="18"/>
                <w:szCs w:val="18"/>
              </w:rPr>
            </w:pPr>
            <w:sdt>
              <w:sdtPr>
                <w:rPr>
                  <w:rFonts w:ascii="Times New Roman" w:hAnsi="Times New Roman" w:cs="Times New Roman"/>
                </w:rPr>
                <w:tag w:val="goog_rdk_2"/>
                <w:id w:val="1749149047"/>
              </w:sdtPr>
              <w:sdtContent>
                <w:r w:rsidRPr="00A04B57">
                  <w:rPr>
                    <w:rFonts w:ascii="Times New Roman" w:eastAsia="Arial Unicode MS" w:hAnsi="Times New Roman" w:cs="Times New Roman"/>
                    <w:color w:val="000000"/>
                    <w:sz w:val="18"/>
                    <w:szCs w:val="18"/>
                  </w:rPr>
                  <w:t>P45. O Fundo executou (saldo liquidado) ≥ 85% do valor fixado para as despesas no último ano?</w:t>
                </w:r>
              </w:sdtContent>
            </w:sdt>
          </w:p>
        </w:tc>
        <w:tc>
          <w:tcPr>
            <w:tcW w:w="1335" w:type="dxa"/>
            <w:vAlign w:val="center"/>
          </w:tcPr>
          <w:p w14:paraId="438C61D0"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7B914000"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IR</w:t>
            </w:r>
          </w:p>
        </w:tc>
        <w:tc>
          <w:tcPr>
            <w:tcW w:w="615" w:type="dxa"/>
            <w:vAlign w:val="center"/>
          </w:tcPr>
          <w:p w14:paraId="0E513F3B"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74CBBF1A" w14:textId="77777777" w:rsidTr="00BD3046">
        <w:trPr>
          <w:trHeight w:val="20"/>
        </w:trPr>
        <w:tc>
          <w:tcPr>
            <w:tcW w:w="1665" w:type="dxa"/>
            <w:vMerge/>
            <w:vAlign w:val="center"/>
          </w:tcPr>
          <w:p w14:paraId="6144B8D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2474DDC3"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326C55C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P46. O saldo financeiro não ultrapassou 25% da arrecadação anual, salvo mediante reserva legal prevista?</w:t>
            </w:r>
          </w:p>
        </w:tc>
        <w:tc>
          <w:tcPr>
            <w:tcW w:w="1335" w:type="dxa"/>
            <w:vAlign w:val="center"/>
          </w:tcPr>
          <w:p w14:paraId="0122DE1B"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31AF5121"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IR</w:t>
            </w:r>
          </w:p>
        </w:tc>
        <w:tc>
          <w:tcPr>
            <w:tcW w:w="615" w:type="dxa"/>
            <w:vAlign w:val="center"/>
          </w:tcPr>
          <w:p w14:paraId="2DC835FC"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2752D97E" w14:textId="77777777" w:rsidTr="00BD3046">
        <w:trPr>
          <w:trHeight w:val="20"/>
        </w:trPr>
        <w:tc>
          <w:tcPr>
            <w:tcW w:w="1665" w:type="dxa"/>
            <w:vMerge/>
            <w:vAlign w:val="center"/>
          </w:tcPr>
          <w:p w14:paraId="476F33A1"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101C8E5E"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328E6EB0"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P47. A execução financeira (despesas pagas) foi proporcional à arrecadação no último ano?</w:t>
            </w:r>
          </w:p>
        </w:tc>
        <w:tc>
          <w:tcPr>
            <w:tcW w:w="1335" w:type="dxa"/>
            <w:vAlign w:val="center"/>
          </w:tcPr>
          <w:p w14:paraId="1D3914CE"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31DFE586"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IR</w:t>
            </w:r>
          </w:p>
        </w:tc>
        <w:tc>
          <w:tcPr>
            <w:tcW w:w="615" w:type="dxa"/>
            <w:vAlign w:val="center"/>
          </w:tcPr>
          <w:p w14:paraId="7575127A"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20649E40" w14:textId="77777777" w:rsidTr="00BD3046">
        <w:trPr>
          <w:trHeight w:val="20"/>
        </w:trPr>
        <w:tc>
          <w:tcPr>
            <w:tcW w:w="1665" w:type="dxa"/>
            <w:vMerge/>
            <w:vAlign w:val="center"/>
          </w:tcPr>
          <w:p w14:paraId="306E8453"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1AD73DEB"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4E6F2B1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P48. O estoque de Restos a Pagar é inferior a 10% da receita arrecadada anual?</w:t>
            </w:r>
          </w:p>
        </w:tc>
        <w:tc>
          <w:tcPr>
            <w:tcW w:w="1335" w:type="dxa"/>
            <w:vAlign w:val="center"/>
          </w:tcPr>
          <w:p w14:paraId="19D4556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01DD915D"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IR</w:t>
            </w:r>
          </w:p>
        </w:tc>
        <w:tc>
          <w:tcPr>
            <w:tcW w:w="615" w:type="dxa"/>
            <w:vAlign w:val="center"/>
          </w:tcPr>
          <w:p w14:paraId="2C1E45B3"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73D6A47C" w14:textId="77777777" w:rsidTr="00BD3046">
        <w:trPr>
          <w:trHeight w:val="20"/>
        </w:trPr>
        <w:tc>
          <w:tcPr>
            <w:tcW w:w="1665" w:type="dxa"/>
            <w:vMerge/>
            <w:vAlign w:val="center"/>
          </w:tcPr>
          <w:p w14:paraId="4F17CCE6"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5F1C709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611927CD"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P49. Não houve contingenciamento de despesas autorizadas?</w:t>
            </w:r>
          </w:p>
        </w:tc>
        <w:tc>
          <w:tcPr>
            <w:tcW w:w="1335" w:type="dxa"/>
            <w:vAlign w:val="center"/>
          </w:tcPr>
          <w:p w14:paraId="1D18CB7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5B42BF4A"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2AB16E06"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4FE496CF" w14:textId="77777777" w:rsidTr="00BD3046">
        <w:trPr>
          <w:trHeight w:val="20"/>
        </w:trPr>
        <w:tc>
          <w:tcPr>
            <w:tcW w:w="1665" w:type="dxa"/>
            <w:vMerge/>
            <w:vAlign w:val="center"/>
          </w:tcPr>
          <w:p w14:paraId="0C710DC1"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68295D62"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5F0624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P50. Não houve desvinculação de recursos?</w:t>
            </w:r>
          </w:p>
        </w:tc>
        <w:tc>
          <w:tcPr>
            <w:tcW w:w="1335" w:type="dxa"/>
            <w:vAlign w:val="center"/>
          </w:tcPr>
          <w:p w14:paraId="41F60F6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17BAFB87"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7B503A96"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558B36CE" w14:textId="77777777" w:rsidTr="00BD3046">
        <w:trPr>
          <w:trHeight w:val="20"/>
        </w:trPr>
        <w:tc>
          <w:tcPr>
            <w:tcW w:w="1665" w:type="dxa"/>
            <w:vMerge/>
            <w:vAlign w:val="center"/>
          </w:tcPr>
          <w:p w14:paraId="0F7A6908"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661C059C"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5C102A3B"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P51. Não houve remanejamento para ações fora do escopo do Fundo?</w:t>
            </w:r>
          </w:p>
        </w:tc>
        <w:tc>
          <w:tcPr>
            <w:tcW w:w="1335" w:type="dxa"/>
            <w:vAlign w:val="center"/>
          </w:tcPr>
          <w:p w14:paraId="7330FD3C"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396FE4E7"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14AD405F"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043CA82B" w14:textId="77777777" w:rsidTr="00BD3046">
        <w:trPr>
          <w:trHeight w:val="20"/>
        </w:trPr>
        <w:tc>
          <w:tcPr>
            <w:tcW w:w="1665" w:type="dxa"/>
            <w:vMerge/>
            <w:vAlign w:val="center"/>
          </w:tcPr>
          <w:p w14:paraId="58C262D0"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3455A792"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550A55FE" w14:textId="77777777" w:rsidR="00C62CFB" w:rsidRPr="00A04B57" w:rsidRDefault="00C62CFB" w:rsidP="00BD3046">
            <w:pPr>
              <w:spacing w:after="0" w:line="240" w:lineRule="auto"/>
              <w:rPr>
                <w:rFonts w:ascii="Times New Roman" w:eastAsia="Arial" w:hAnsi="Times New Roman" w:cs="Times New Roman"/>
                <w:color w:val="000000"/>
                <w:sz w:val="18"/>
                <w:szCs w:val="18"/>
              </w:rPr>
            </w:pPr>
            <w:sdt>
              <w:sdtPr>
                <w:rPr>
                  <w:rFonts w:ascii="Times New Roman" w:hAnsi="Times New Roman" w:cs="Times New Roman"/>
                </w:rPr>
                <w:tag w:val="goog_rdk_3"/>
                <w:id w:val="-1175006741"/>
              </w:sdtPr>
              <w:sdtContent>
                <w:r w:rsidRPr="00A04B57">
                  <w:rPr>
                    <w:rFonts w:ascii="Times New Roman" w:eastAsia="Arial Unicode MS" w:hAnsi="Times New Roman" w:cs="Times New Roman"/>
                    <w:color w:val="000000"/>
                    <w:sz w:val="18"/>
                    <w:szCs w:val="18"/>
                  </w:rPr>
                  <w:t>P52. Não houve perda de arrecadação por desvinculação de receitas (≥ 20% do valor programado para as receitas no último ano)?</w:t>
                </w:r>
              </w:sdtContent>
            </w:sdt>
          </w:p>
        </w:tc>
        <w:tc>
          <w:tcPr>
            <w:tcW w:w="1335" w:type="dxa"/>
            <w:vAlign w:val="center"/>
          </w:tcPr>
          <w:p w14:paraId="0891D5D5"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5DC4F6B6"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IR</w:t>
            </w:r>
          </w:p>
        </w:tc>
        <w:tc>
          <w:tcPr>
            <w:tcW w:w="615" w:type="dxa"/>
            <w:vAlign w:val="center"/>
          </w:tcPr>
          <w:p w14:paraId="68399602"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19DCB1EA" w14:textId="77777777" w:rsidTr="00BD3046">
        <w:trPr>
          <w:trHeight w:val="20"/>
        </w:trPr>
        <w:tc>
          <w:tcPr>
            <w:tcW w:w="1665" w:type="dxa"/>
            <w:vMerge/>
            <w:vAlign w:val="center"/>
          </w:tcPr>
          <w:p w14:paraId="260C1A24"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restart"/>
            <w:vAlign w:val="center"/>
          </w:tcPr>
          <w:p w14:paraId="3953AA79"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D3. </w:t>
            </w:r>
          </w:p>
          <w:p w14:paraId="59BFC42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Político-Institucional</w:t>
            </w:r>
          </w:p>
        </w:tc>
        <w:tc>
          <w:tcPr>
            <w:tcW w:w="2910" w:type="dxa"/>
            <w:vAlign w:val="center"/>
          </w:tcPr>
          <w:p w14:paraId="2CD561C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P53. O Fundo adota mecanismos formais de gestão de riscos?</w:t>
            </w:r>
          </w:p>
        </w:tc>
        <w:tc>
          <w:tcPr>
            <w:tcW w:w="1335" w:type="dxa"/>
            <w:vAlign w:val="center"/>
          </w:tcPr>
          <w:p w14:paraId="111556C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7AADF1D1"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7E22D89B"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733897EB" w14:textId="77777777" w:rsidTr="00BD3046">
        <w:trPr>
          <w:trHeight w:val="20"/>
        </w:trPr>
        <w:tc>
          <w:tcPr>
            <w:tcW w:w="1665" w:type="dxa"/>
            <w:vMerge/>
            <w:vAlign w:val="center"/>
          </w:tcPr>
          <w:p w14:paraId="42A21E5F"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6073FD79"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5CCFF86D"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P54. As principais instâncias executoras estão concentradas nas áreas-fim (Educação, Saúde, Assistência Social)?</w:t>
            </w:r>
          </w:p>
        </w:tc>
        <w:tc>
          <w:tcPr>
            <w:tcW w:w="1335" w:type="dxa"/>
            <w:vAlign w:val="center"/>
          </w:tcPr>
          <w:p w14:paraId="317A55E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3D3E2C66"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153A28B6"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45427A68" w14:textId="77777777" w:rsidTr="00BD3046">
        <w:trPr>
          <w:trHeight w:val="20"/>
        </w:trPr>
        <w:tc>
          <w:tcPr>
            <w:tcW w:w="1665" w:type="dxa"/>
            <w:vMerge/>
            <w:vAlign w:val="center"/>
          </w:tcPr>
          <w:p w14:paraId="5D290F5A"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0B3EC8A4"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02A3DFF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P55. Entidades privadas sem fins lucrativos só recebem recursos mediante critérios técnicos transparentes?</w:t>
            </w:r>
          </w:p>
        </w:tc>
        <w:tc>
          <w:tcPr>
            <w:tcW w:w="1335" w:type="dxa"/>
            <w:vAlign w:val="center"/>
          </w:tcPr>
          <w:p w14:paraId="63D4F7C0"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7C3170D7"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0FC2F520"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7DFEA61A" w14:textId="77777777" w:rsidTr="00BD3046">
        <w:trPr>
          <w:trHeight w:val="20"/>
        </w:trPr>
        <w:tc>
          <w:tcPr>
            <w:tcW w:w="1665" w:type="dxa"/>
            <w:vMerge/>
            <w:vAlign w:val="center"/>
          </w:tcPr>
          <w:p w14:paraId="225EC0F3"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restart"/>
            <w:vAlign w:val="center"/>
          </w:tcPr>
          <w:p w14:paraId="281CE399"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D6.</w:t>
            </w:r>
          </w:p>
          <w:p w14:paraId="77543CB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Avaliativa</w:t>
            </w:r>
          </w:p>
        </w:tc>
        <w:tc>
          <w:tcPr>
            <w:tcW w:w="2910" w:type="dxa"/>
            <w:vAlign w:val="center"/>
          </w:tcPr>
          <w:p w14:paraId="75A969E1" w14:textId="77777777" w:rsidR="00C62CFB" w:rsidRPr="00A04B57" w:rsidRDefault="00C62CFB" w:rsidP="00BD3046">
            <w:pPr>
              <w:spacing w:after="0" w:line="240" w:lineRule="auto"/>
              <w:rPr>
                <w:rFonts w:ascii="Times New Roman" w:eastAsia="Arial" w:hAnsi="Times New Roman" w:cs="Times New Roman"/>
                <w:color w:val="000000"/>
                <w:sz w:val="18"/>
                <w:szCs w:val="18"/>
              </w:rPr>
            </w:pPr>
            <w:sdt>
              <w:sdtPr>
                <w:rPr>
                  <w:rFonts w:ascii="Times New Roman" w:hAnsi="Times New Roman" w:cs="Times New Roman"/>
                </w:rPr>
                <w:tag w:val="goog_rdk_4"/>
                <w:id w:val="1740462678"/>
              </w:sdtPr>
              <w:sdtContent>
                <w:r w:rsidRPr="00A04B57">
                  <w:rPr>
                    <w:rFonts w:ascii="Times New Roman" w:eastAsia="Arial Unicode MS" w:hAnsi="Times New Roman" w:cs="Times New Roman"/>
                    <w:color w:val="000000"/>
                    <w:sz w:val="18"/>
                    <w:szCs w:val="18"/>
                  </w:rPr>
                  <w:t>P56. As ações planejadas foram executadas (totais liquidados por ação) em ≥ 85% do valor autorizado?</w:t>
                </w:r>
              </w:sdtContent>
            </w:sdt>
          </w:p>
        </w:tc>
        <w:tc>
          <w:tcPr>
            <w:tcW w:w="1335" w:type="dxa"/>
            <w:vAlign w:val="center"/>
          </w:tcPr>
          <w:p w14:paraId="7F4FC84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32C27EFE"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IR</w:t>
            </w:r>
          </w:p>
        </w:tc>
        <w:tc>
          <w:tcPr>
            <w:tcW w:w="615" w:type="dxa"/>
            <w:vAlign w:val="center"/>
          </w:tcPr>
          <w:p w14:paraId="6A8EA937"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08BF1610" w14:textId="77777777" w:rsidTr="00BD3046">
        <w:trPr>
          <w:trHeight w:val="20"/>
        </w:trPr>
        <w:tc>
          <w:tcPr>
            <w:tcW w:w="1665" w:type="dxa"/>
            <w:vMerge/>
            <w:vAlign w:val="center"/>
          </w:tcPr>
          <w:p w14:paraId="2D372EB4"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39078196"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70033B4B"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P57. Não há indícios de desvio de finalidade?</w:t>
            </w:r>
          </w:p>
        </w:tc>
        <w:tc>
          <w:tcPr>
            <w:tcW w:w="1335" w:type="dxa"/>
            <w:vAlign w:val="center"/>
          </w:tcPr>
          <w:p w14:paraId="4706AA5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65C20D25"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607F2519"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47973F4F" w14:textId="77777777" w:rsidTr="00BD3046">
        <w:trPr>
          <w:trHeight w:val="20"/>
        </w:trPr>
        <w:tc>
          <w:tcPr>
            <w:tcW w:w="1665" w:type="dxa"/>
            <w:vMerge/>
            <w:vAlign w:val="center"/>
          </w:tcPr>
          <w:p w14:paraId="25BE1F75"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09C99576"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5778E10"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P58. Há avaliação anual dos recursos com divulgação pública dos resultados?</w:t>
            </w:r>
          </w:p>
        </w:tc>
        <w:tc>
          <w:tcPr>
            <w:tcW w:w="1335" w:type="dxa"/>
            <w:vAlign w:val="center"/>
          </w:tcPr>
          <w:p w14:paraId="2691A62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3C9FCB55"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59485950"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468B53A4" w14:textId="77777777" w:rsidTr="00BD3046">
        <w:trPr>
          <w:trHeight w:val="20"/>
        </w:trPr>
        <w:tc>
          <w:tcPr>
            <w:tcW w:w="1665" w:type="dxa"/>
            <w:vMerge/>
            <w:vAlign w:val="center"/>
          </w:tcPr>
          <w:p w14:paraId="10648D19"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7C85B1EC"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3007B3A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P59. Indicadores de resultados vinculados à redução da pobreza são monitorados e demonstrados em relatórios de avaliação orçamentária?</w:t>
            </w:r>
          </w:p>
        </w:tc>
        <w:tc>
          <w:tcPr>
            <w:tcW w:w="1335" w:type="dxa"/>
            <w:vAlign w:val="center"/>
          </w:tcPr>
          <w:p w14:paraId="3282FBE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6607CE7F"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IR</w:t>
            </w:r>
          </w:p>
        </w:tc>
        <w:tc>
          <w:tcPr>
            <w:tcW w:w="615" w:type="dxa"/>
            <w:vAlign w:val="center"/>
          </w:tcPr>
          <w:p w14:paraId="5489D3B3"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3E1369B8" w14:textId="77777777" w:rsidTr="00BD3046">
        <w:trPr>
          <w:trHeight w:val="20"/>
        </w:trPr>
        <w:tc>
          <w:tcPr>
            <w:tcW w:w="1665" w:type="dxa"/>
            <w:vMerge/>
            <w:vAlign w:val="center"/>
          </w:tcPr>
          <w:p w14:paraId="6A149DB5"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33F30E82"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0E805E55"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P60. Há análises de custo-benefício das ações financiadas?</w:t>
            </w:r>
          </w:p>
        </w:tc>
        <w:tc>
          <w:tcPr>
            <w:tcW w:w="1335" w:type="dxa"/>
            <w:vAlign w:val="center"/>
          </w:tcPr>
          <w:p w14:paraId="6DAF92D5"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03A0D8D0"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4CAA5889"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3E57E5AC" w14:textId="77777777" w:rsidTr="00BD3046">
        <w:trPr>
          <w:trHeight w:val="20"/>
        </w:trPr>
        <w:tc>
          <w:tcPr>
            <w:tcW w:w="1665" w:type="dxa"/>
            <w:vMerge/>
            <w:vAlign w:val="center"/>
          </w:tcPr>
          <w:p w14:paraId="09CB8B8B"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60B502D9"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B3B373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P61. Há evidências de impacto positivo em indicadores sociais (pobreza, renda e acesso a serviços)?</w:t>
            </w:r>
          </w:p>
        </w:tc>
        <w:tc>
          <w:tcPr>
            <w:tcW w:w="1335" w:type="dxa"/>
            <w:vAlign w:val="center"/>
          </w:tcPr>
          <w:p w14:paraId="49C31B64"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5CFEAB4F"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IR</w:t>
            </w:r>
          </w:p>
        </w:tc>
        <w:tc>
          <w:tcPr>
            <w:tcW w:w="615" w:type="dxa"/>
            <w:vAlign w:val="center"/>
          </w:tcPr>
          <w:p w14:paraId="30FEE9B1"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14D75CFB" w14:textId="77777777" w:rsidTr="00BD3046">
        <w:trPr>
          <w:trHeight w:val="20"/>
        </w:trPr>
        <w:tc>
          <w:tcPr>
            <w:tcW w:w="1665" w:type="dxa"/>
            <w:vMerge/>
            <w:vAlign w:val="center"/>
          </w:tcPr>
          <w:p w14:paraId="4D12BE11"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restart"/>
            <w:vAlign w:val="center"/>
          </w:tcPr>
          <w:p w14:paraId="6312700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 xml:space="preserve">D4. </w:t>
            </w:r>
          </w:p>
          <w:p w14:paraId="5561E024"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Participativa e de Transparência</w:t>
            </w:r>
          </w:p>
        </w:tc>
        <w:tc>
          <w:tcPr>
            <w:tcW w:w="2910" w:type="dxa"/>
            <w:vAlign w:val="center"/>
          </w:tcPr>
          <w:p w14:paraId="26E0A61D"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P62. Os dados de execução (empenho, liquidação e pagamento) são públicos e atualizados?</w:t>
            </w:r>
          </w:p>
        </w:tc>
        <w:tc>
          <w:tcPr>
            <w:tcW w:w="1335" w:type="dxa"/>
            <w:vAlign w:val="center"/>
          </w:tcPr>
          <w:p w14:paraId="135162A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344187E4"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510701A8"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r w:rsidR="00C62CFB" w:rsidRPr="00A04B57" w14:paraId="344B0AC6" w14:textId="77777777" w:rsidTr="00BD3046">
        <w:trPr>
          <w:trHeight w:val="20"/>
        </w:trPr>
        <w:tc>
          <w:tcPr>
            <w:tcW w:w="1665" w:type="dxa"/>
            <w:vMerge/>
            <w:vAlign w:val="center"/>
          </w:tcPr>
          <w:p w14:paraId="2516BF95"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74C08C05"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19C8944E"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P63. Existe um canal oficial para consulta e acompanhamento do uso dos recursos do Fundo?</w:t>
            </w:r>
          </w:p>
        </w:tc>
        <w:tc>
          <w:tcPr>
            <w:tcW w:w="1335" w:type="dxa"/>
            <w:vAlign w:val="center"/>
          </w:tcPr>
          <w:p w14:paraId="3EEE2AC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51ED230F"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1166EAD1"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2FA4D744" w14:textId="77777777" w:rsidTr="00BD3046">
        <w:trPr>
          <w:trHeight w:val="20"/>
        </w:trPr>
        <w:tc>
          <w:tcPr>
            <w:tcW w:w="1665" w:type="dxa"/>
            <w:vMerge/>
            <w:vAlign w:val="center"/>
          </w:tcPr>
          <w:p w14:paraId="3DE92645"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346E04D3"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7BBBF1BC"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P64. A sociedade tem acesso à legislação do Fundo?</w:t>
            </w:r>
          </w:p>
        </w:tc>
        <w:tc>
          <w:tcPr>
            <w:tcW w:w="1335" w:type="dxa"/>
            <w:vAlign w:val="center"/>
          </w:tcPr>
          <w:p w14:paraId="7435A664"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493D3626"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4C533854"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1284F15A" w14:textId="77777777" w:rsidTr="00BD3046">
        <w:trPr>
          <w:trHeight w:val="20"/>
        </w:trPr>
        <w:tc>
          <w:tcPr>
            <w:tcW w:w="1665" w:type="dxa"/>
            <w:vMerge/>
            <w:vAlign w:val="center"/>
          </w:tcPr>
          <w:p w14:paraId="61E322FE"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61C25B90"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783F95B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P65. A sociedade tem acesso aos Planos de Ação (PA) e de Aplicação Financeira (PAF) do Fundo?</w:t>
            </w:r>
          </w:p>
        </w:tc>
        <w:tc>
          <w:tcPr>
            <w:tcW w:w="1335" w:type="dxa"/>
            <w:vAlign w:val="center"/>
          </w:tcPr>
          <w:p w14:paraId="3A5FE86C"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0C6447C9"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7E22A79B"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6CEBE827" w14:textId="77777777" w:rsidTr="00BD3046">
        <w:trPr>
          <w:trHeight w:val="20"/>
        </w:trPr>
        <w:tc>
          <w:tcPr>
            <w:tcW w:w="1665" w:type="dxa"/>
            <w:vMerge/>
            <w:vAlign w:val="center"/>
          </w:tcPr>
          <w:p w14:paraId="112BCFE8"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58D3B253"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4C6CF91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P66. A sociedade tem acesso às metas e relatórios de execução do Fundo?</w:t>
            </w:r>
          </w:p>
        </w:tc>
        <w:tc>
          <w:tcPr>
            <w:tcW w:w="1335" w:type="dxa"/>
            <w:vAlign w:val="center"/>
          </w:tcPr>
          <w:p w14:paraId="0B9CA02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12B8C5DF"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558BBD59"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68593072" w14:textId="77777777" w:rsidTr="00BD3046">
        <w:trPr>
          <w:trHeight w:val="20"/>
        </w:trPr>
        <w:tc>
          <w:tcPr>
            <w:tcW w:w="1665" w:type="dxa"/>
            <w:vMerge/>
            <w:vAlign w:val="center"/>
          </w:tcPr>
          <w:p w14:paraId="313624CB"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052E46B5"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5B5B41C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P67. Há ouvidoria ou canal para denúncias e reclamações específicas sobre o Fundo de Combate à Pobreza?</w:t>
            </w:r>
          </w:p>
        </w:tc>
        <w:tc>
          <w:tcPr>
            <w:tcW w:w="1335" w:type="dxa"/>
            <w:vAlign w:val="center"/>
          </w:tcPr>
          <w:p w14:paraId="56F6653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Complementar</w:t>
            </w:r>
          </w:p>
        </w:tc>
        <w:tc>
          <w:tcPr>
            <w:tcW w:w="990" w:type="dxa"/>
            <w:vAlign w:val="center"/>
          </w:tcPr>
          <w:p w14:paraId="4595386F"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08A2CB2D"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1</w:t>
            </w:r>
          </w:p>
        </w:tc>
      </w:tr>
      <w:tr w:rsidR="00C62CFB" w:rsidRPr="00A04B57" w14:paraId="50633288" w14:textId="77777777" w:rsidTr="00BD3046">
        <w:trPr>
          <w:trHeight w:val="20"/>
        </w:trPr>
        <w:tc>
          <w:tcPr>
            <w:tcW w:w="1665" w:type="dxa"/>
            <w:vMerge/>
            <w:vAlign w:val="center"/>
          </w:tcPr>
          <w:p w14:paraId="40A480F9"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restart"/>
            <w:vAlign w:val="center"/>
          </w:tcPr>
          <w:p w14:paraId="01F4981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D5.</w:t>
            </w:r>
          </w:p>
          <w:p w14:paraId="1F7B76B6"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Institucional e Organizacional</w:t>
            </w:r>
          </w:p>
        </w:tc>
        <w:tc>
          <w:tcPr>
            <w:tcW w:w="2910" w:type="dxa"/>
            <w:vAlign w:val="center"/>
          </w:tcPr>
          <w:p w14:paraId="5E85DB1E"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P68. Há equipe técnica dedicada à gestão do Fundo?</w:t>
            </w:r>
          </w:p>
        </w:tc>
        <w:tc>
          <w:tcPr>
            <w:tcW w:w="1335" w:type="dxa"/>
            <w:vAlign w:val="center"/>
          </w:tcPr>
          <w:p w14:paraId="5033E4D1"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71DDF45F"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6AF4E788"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527F4944" w14:textId="77777777" w:rsidTr="00BD3046">
        <w:trPr>
          <w:trHeight w:val="20"/>
        </w:trPr>
        <w:tc>
          <w:tcPr>
            <w:tcW w:w="1665" w:type="dxa"/>
            <w:vMerge/>
            <w:vAlign w:val="center"/>
          </w:tcPr>
          <w:p w14:paraId="08967B6E"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1009CD48"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6314FDF9"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P69. Há programa de integridade ou mecanismos anticorrupção aplicáveis à execução dos recursos do Fundo?</w:t>
            </w:r>
          </w:p>
        </w:tc>
        <w:tc>
          <w:tcPr>
            <w:tcW w:w="1335" w:type="dxa"/>
            <w:vAlign w:val="center"/>
          </w:tcPr>
          <w:p w14:paraId="376029DA"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7F32555A"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490150A3"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429C3113" w14:textId="77777777" w:rsidTr="00BD3046">
        <w:trPr>
          <w:trHeight w:val="20"/>
        </w:trPr>
        <w:tc>
          <w:tcPr>
            <w:tcW w:w="1665" w:type="dxa"/>
            <w:vMerge/>
            <w:vAlign w:val="center"/>
          </w:tcPr>
          <w:p w14:paraId="782A9D8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15EB20FD"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785D39A3"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P70. A Controladoria Interna não identificou irregularidades ou riscos no uso do Fundo nos últimos 5 anos?</w:t>
            </w:r>
          </w:p>
        </w:tc>
        <w:tc>
          <w:tcPr>
            <w:tcW w:w="1335" w:type="dxa"/>
            <w:vAlign w:val="center"/>
          </w:tcPr>
          <w:p w14:paraId="2B79171B"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5F782812"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1FA61C66"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0429A172" w14:textId="77777777" w:rsidTr="00BD3046">
        <w:trPr>
          <w:trHeight w:val="20"/>
        </w:trPr>
        <w:tc>
          <w:tcPr>
            <w:tcW w:w="1665" w:type="dxa"/>
            <w:vMerge/>
            <w:vAlign w:val="center"/>
          </w:tcPr>
          <w:p w14:paraId="7D136C55"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6D2FEF30"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62F7FD72"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P71. O Tribunal de Contas não identificou irregularidades ou riscos no uso do Fundo nos últimos 5 anos?</w:t>
            </w:r>
          </w:p>
        </w:tc>
        <w:tc>
          <w:tcPr>
            <w:tcW w:w="1335" w:type="dxa"/>
            <w:vAlign w:val="center"/>
          </w:tcPr>
          <w:p w14:paraId="5EC2E5BD"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75F47001"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3D79C93B"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2506EEF6" w14:textId="77777777" w:rsidTr="00BD3046">
        <w:trPr>
          <w:trHeight w:val="20"/>
        </w:trPr>
        <w:tc>
          <w:tcPr>
            <w:tcW w:w="1665" w:type="dxa"/>
            <w:vMerge/>
            <w:vAlign w:val="center"/>
          </w:tcPr>
          <w:p w14:paraId="4C23510E"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01E95A3C"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70376298"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P72. O Ministério Público (Estadual ou de Contas) não identificou irregularidades ou riscos  no uso do Fundo nos últimos 5 anos?</w:t>
            </w:r>
          </w:p>
        </w:tc>
        <w:tc>
          <w:tcPr>
            <w:tcW w:w="1335" w:type="dxa"/>
            <w:vAlign w:val="center"/>
          </w:tcPr>
          <w:p w14:paraId="17CE6745"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Estratégico</w:t>
            </w:r>
          </w:p>
        </w:tc>
        <w:tc>
          <w:tcPr>
            <w:tcW w:w="990" w:type="dxa"/>
            <w:vAlign w:val="center"/>
          </w:tcPr>
          <w:p w14:paraId="645C8AD2"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4D468270"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2</w:t>
            </w:r>
          </w:p>
        </w:tc>
      </w:tr>
      <w:tr w:rsidR="00C62CFB" w:rsidRPr="00A04B57" w14:paraId="051E18A4" w14:textId="77777777" w:rsidTr="00BD3046">
        <w:trPr>
          <w:trHeight w:val="20"/>
        </w:trPr>
        <w:tc>
          <w:tcPr>
            <w:tcW w:w="1665" w:type="dxa"/>
            <w:vMerge/>
            <w:vAlign w:val="center"/>
          </w:tcPr>
          <w:p w14:paraId="160A18E7"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1635" w:type="dxa"/>
            <w:vMerge/>
            <w:vAlign w:val="center"/>
          </w:tcPr>
          <w:p w14:paraId="1C6A1EFA" w14:textId="77777777" w:rsidR="00C62CFB" w:rsidRPr="00A04B57" w:rsidRDefault="00C62CFB" w:rsidP="00BD3046">
            <w:pPr>
              <w:widowControl w:val="0"/>
              <w:pBdr>
                <w:top w:val="nil"/>
                <w:left w:val="nil"/>
                <w:bottom w:val="nil"/>
                <w:right w:val="nil"/>
                <w:between w:val="nil"/>
              </w:pBdr>
              <w:spacing w:after="0"/>
              <w:rPr>
                <w:rFonts w:ascii="Times New Roman" w:eastAsia="Arial" w:hAnsi="Times New Roman" w:cs="Times New Roman"/>
                <w:color w:val="000000"/>
                <w:sz w:val="18"/>
                <w:szCs w:val="18"/>
              </w:rPr>
            </w:pPr>
          </w:p>
        </w:tc>
        <w:tc>
          <w:tcPr>
            <w:tcW w:w="2910" w:type="dxa"/>
            <w:vAlign w:val="center"/>
          </w:tcPr>
          <w:p w14:paraId="2E33141E"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P73. Não foram identificadas fraudes ou ações judiciais relacionadas ao uso do Fundo?</w:t>
            </w:r>
          </w:p>
        </w:tc>
        <w:tc>
          <w:tcPr>
            <w:tcW w:w="1335" w:type="dxa"/>
            <w:vAlign w:val="center"/>
          </w:tcPr>
          <w:p w14:paraId="78979EAF" w14:textId="77777777" w:rsidR="00C62CFB" w:rsidRPr="00A04B57" w:rsidRDefault="00C62CFB" w:rsidP="00BD3046">
            <w:pPr>
              <w:spacing w:after="0" w:line="240" w:lineRule="auto"/>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Essencial</w:t>
            </w:r>
          </w:p>
        </w:tc>
        <w:tc>
          <w:tcPr>
            <w:tcW w:w="990" w:type="dxa"/>
            <w:vAlign w:val="center"/>
          </w:tcPr>
          <w:p w14:paraId="6BAF8CF8"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IC</w:t>
            </w:r>
          </w:p>
        </w:tc>
        <w:tc>
          <w:tcPr>
            <w:tcW w:w="615" w:type="dxa"/>
            <w:vAlign w:val="center"/>
          </w:tcPr>
          <w:p w14:paraId="48BFE76D" w14:textId="77777777" w:rsidR="00C62CFB" w:rsidRPr="00A04B57" w:rsidRDefault="00C62CFB" w:rsidP="00BD3046">
            <w:pPr>
              <w:spacing w:after="0" w:line="240" w:lineRule="auto"/>
              <w:jc w:val="center"/>
              <w:rPr>
                <w:rFonts w:ascii="Times New Roman" w:eastAsia="Arial" w:hAnsi="Times New Roman" w:cs="Times New Roman"/>
                <w:color w:val="000000"/>
                <w:sz w:val="18"/>
                <w:szCs w:val="18"/>
              </w:rPr>
            </w:pPr>
            <w:r w:rsidRPr="00A04B57">
              <w:rPr>
                <w:rFonts w:ascii="Times New Roman" w:eastAsia="Arial" w:hAnsi="Times New Roman" w:cs="Times New Roman"/>
                <w:color w:val="000000"/>
                <w:sz w:val="18"/>
                <w:szCs w:val="18"/>
              </w:rPr>
              <w:t>3</w:t>
            </w:r>
          </w:p>
        </w:tc>
      </w:tr>
    </w:tbl>
    <w:p w14:paraId="6EA40F76" w14:textId="2EFD819D" w:rsidR="00C62CFB" w:rsidRDefault="00C62CFB" w:rsidP="00C62CFB">
      <w:pPr>
        <w:rPr>
          <w:rFonts w:ascii="Times New Roman" w:eastAsia="Arial" w:hAnsi="Times New Roman" w:cs="Times New Roman"/>
          <w:sz w:val="20"/>
          <w:szCs w:val="20"/>
        </w:rPr>
      </w:pPr>
      <w:r w:rsidRPr="00A04B57">
        <w:rPr>
          <w:rFonts w:ascii="Times New Roman" w:eastAsia="Arial" w:hAnsi="Times New Roman" w:cs="Times New Roman"/>
          <w:sz w:val="20"/>
          <w:szCs w:val="20"/>
        </w:rPr>
        <w:t>Fonte: Elaboração própria.</w:t>
      </w:r>
    </w:p>
    <w:p w14:paraId="4E62406C" w14:textId="2A4E47A7" w:rsidR="001C7E6F" w:rsidRDefault="001C7E6F" w:rsidP="00C62CFB">
      <w:pPr>
        <w:rPr>
          <w:rFonts w:ascii="Times New Roman" w:eastAsia="Arial" w:hAnsi="Times New Roman" w:cs="Times New Roman"/>
          <w:sz w:val="20"/>
          <w:szCs w:val="20"/>
        </w:rPr>
      </w:pPr>
    </w:p>
    <w:p w14:paraId="181F9209" w14:textId="0E3217DF" w:rsidR="001C7E6F" w:rsidRDefault="001C7E6F" w:rsidP="00C62CFB">
      <w:pPr>
        <w:rPr>
          <w:rFonts w:ascii="Times New Roman" w:eastAsia="Arial" w:hAnsi="Times New Roman" w:cs="Times New Roman"/>
          <w:sz w:val="20"/>
          <w:szCs w:val="20"/>
        </w:rPr>
      </w:pPr>
    </w:p>
    <w:p w14:paraId="32CA8D1F" w14:textId="1F94A033" w:rsidR="001C7E6F" w:rsidRDefault="001C7E6F" w:rsidP="00C62CFB">
      <w:pPr>
        <w:rPr>
          <w:rFonts w:ascii="Times New Roman" w:eastAsia="Arial" w:hAnsi="Times New Roman" w:cs="Times New Roman"/>
          <w:sz w:val="20"/>
          <w:szCs w:val="20"/>
        </w:rPr>
      </w:pPr>
    </w:p>
    <w:p w14:paraId="23D29860" w14:textId="612C582A" w:rsidR="001C7E6F" w:rsidRDefault="001C7E6F" w:rsidP="00C62CFB">
      <w:pPr>
        <w:rPr>
          <w:rFonts w:ascii="Times New Roman" w:eastAsia="Arial" w:hAnsi="Times New Roman" w:cs="Times New Roman"/>
          <w:sz w:val="20"/>
          <w:szCs w:val="20"/>
        </w:rPr>
      </w:pPr>
    </w:p>
    <w:p w14:paraId="7D3F336C" w14:textId="7CA4B336" w:rsidR="001C7E6F" w:rsidRDefault="001C7E6F" w:rsidP="00C62CFB">
      <w:pPr>
        <w:rPr>
          <w:rFonts w:ascii="Times New Roman" w:eastAsia="Arial" w:hAnsi="Times New Roman" w:cs="Times New Roman"/>
          <w:sz w:val="20"/>
          <w:szCs w:val="20"/>
        </w:rPr>
      </w:pPr>
    </w:p>
    <w:p w14:paraId="557C1DEB" w14:textId="1594B197" w:rsidR="001C7E6F" w:rsidRDefault="001C7E6F" w:rsidP="00C62CFB">
      <w:pPr>
        <w:rPr>
          <w:rFonts w:ascii="Times New Roman" w:eastAsia="Arial" w:hAnsi="Times New Roman" w:cs="Times New Roman"/>
          <w:sz w:val="20"/>
          <w:szCs w:val="20"/>
        </w:rPr>
      </w:pPr>
    </w:p>
    <w:p w14:paraId="046DB2F1" w14:textId="7F768D28" w:rsidR="001C7E6F" w:rsidRDefault="001C7E6F" w:rsidP="00C62CFB">
      <w:pPr>
        <w:rPr>
          <w:rFonts w:ascii="Times New Roman" w:eastAsia="Arial" w:hAnsi="Times New Roman" w:cs="Times New Roman"/>
          <w:sz w:val="20"/>
          <w:szCs w:val="20"/>
        </w:rPr>
      </w:pPr>
    </w:p>
    <w:p w14:paraId="02122DEC" w14:textId="0E7869EA" w:rsidR="001C7E6F" w:rsidRDefault="001C7E6F" w:rsidP="00C62CFB">
      <w:pPr>
        <w:rPr>
          <w:rFonts w:ascii="Times New Roman" w:eastAsia="Arial" w:hAnsi="Times New Roman" w:cs="Times New Roman"/>
          <w:sz w:val="20"/>
          <w:szCs w:val="20"/>
        </w:rPr>
      </w:pPr>
    </w:p>
    <w:p w14:paraId="3C83EBCF" w14:textId="2BFA3EB7" w:rsidR="001C7E6F" w:rsidRDefault="001C7E6F" w:rsidP="00C62CFB">
      <w:pPr>
        <w:rPr>
          <w:rFonts w:ascii="Times New Roman" w:eastAsia="Arial" w:hAnsi="Times New Roman" w:cs="Times New Roman"/>
          <w:sz w:val="20"/>
          <w:szCs w:val="20"/>
        </w:rPr>
      </w:pPr>
    </w:p>
    <w:p w14:paraId="3A44B624" w14:textId="790C5DBD" w:rsidR="001C7E6F" w:rsidRDefault="001C7E6F" w:rsidP="00C62CFB">
      <w:pPr>
        <w:rPr>
          <w:rFonts w:ascii="Times New Roman" w:eastAsia="Arial" w:hAnsi="Times New Roman" w:cs="Times New Roman"/>
          <w:sz w:val="20"/>
          <w:szCs w:val="20"/>
        </w:rPr>
      </w:pPr>
    </w:p>
    <w:p w14:paraId="6A75139E" w14:textId="287E8D42" w:rsidR="001C7E6F" w:rsidRDefault="001C7E6F" w:rsidP="00C62CFB">
      <w:pPr>
        <w:rPr>
          <w:rFonts w:ascii="Times New Roman" w:eastAsia="Arial" w:hAnsi="Times New Roman" w:cs="Times New Roman"/>
          <w:sz w:val="20"/>
          <w:szCs w:val="20"/>
        </w:rPr>
      </w:pPr>
    </w:p>
    <w:p w14:paraId="64232443" w14:textId="5B376617" w:rsidR="001C7E6F" w:rsidRPr="001C7E6F" w:rsidRDefault="001C7E6F" w:rsidP="001C7E6F">
      <w:pPr>
        <w:keepNext/>
        <w:pBdr>
          <w:top w:val="nil"/>
          <w:left w:val="nil"/>
          <w:bottom w:val="nil"/>
          <w:right w:val="nil"/>
          <w:between w:val="nil"/>
        </w:pBdr>
        <w:spacing w:after="0" w:line="360" w:lineRule="auto"/>
        <w:jc w:val="center"/>
        <w:rPr>
          <w:rFonts w:ascii="Arial" w:eastAsia="Arial" w:hAnsi="Arial" w:cs="Arial"/>
          <w:color w:val="000000"/>
          <w:szCs w:val="20"/>
        </w:rPr>
      </w:pPr>
      <w:r w:rsidRPr="001C7E6F">
        <w:rPr>
          <w:rFonts w:ascii="Arial" w:eastAsia="Arial" w:hAnsi="Arial" w:cs="Arial"/>
          <w:color w:val="000000"/>
          <w:szCs w:val="20"/>
        </w:rPr>
        <w:lastRenderedPageBreak/>
        <w:t>ANEXO – FICHA TÉCNICA DO FUNDO DE COMBATE À POBREZA</w:t>
      </w:r>
      <w:r>
        <w:rPr>
          <w:rFonts w:ascii="Arial" w:eastAsia="Arial" w:hAnsi="Arial" w:cs="Arial"/>
          <w:color w:val="000000"/>
          <w:szCs w:val="20"/>
        </w:rPr>
        <w:t xml:space="preserve"> FECOEP-SP</w:t>
      </w:r>
    </w:p>
    <w:tbl>
      <w:tblPr>
        <w:tblW w:w="906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00" w:firstRow="0" w:lastRow="0" w:firstColumn="0" w:lastColumn="0" w:noHBand="0" w:noVBand="1"/>
      </w:tblPr>
      <w:tblGrid>
        <w:gridCol w:w="1826"/>
        <w:gridCol w:w="7235"/>
      </w:tblGrid>
      <w:tr w:rsidR="001C7E6F" w14:paraId="46FFFC05" w14:textId="77777777" w:rsidTr="00BD3046">
        <w:trPr>
          <w:trHeight w:val="397"/>
        </w:trPr>
        <w:tc>
          <w:tcPr>
            <w:tcW w:w="9061" w:type="dxa"/>
            <w:gridSpan w:val="2"/>
            <w:shd w:val="clear" w:color="auto" w:fill="auto"/>
            <w:vAlign w:val="center"/>
          </w:tcPr>
          <w:p w14:paraId="333302D2" w14:textId="77777777" w:rsidR="001C7E6F" w:rsidRDefault="001C7E6F" w:rsidP="00BD3046">
            <w:pP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Eixo 1 – Responsabilidade Arrecadatória</w:t>
            </w:r>
          </w:p>
        </w:tc>
      </w:tr>
      <w:tr w:rsidR="001C7E6F" w14:paraId="5FC7FE62" w14:textId="77777777" w:rsidTr="00BD3046">
        <w:trPr>
          <w:trHeight w:val="20"/>
        </w:trPr>
        <w:tc>
          <w:tcPr>
            <w:tcW w:w="2263" w:type="dxa"/>
            <w:shd w:val="clear" w:color="auto" w:fill="auto"/>
            <w:vAlign w:val="center"/>
          </w:tcPr>
          <w:p w14:paraId="65741B77"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1.1 Base legal</w:t>
            </w:r>
          </w:p>
        </w:tc>
        <w:tc>
          <w:tcPr>
            <w:tcW w:w="6798" w:type="dxa"/>
            <w:shd w:val="clear" w:color="auto" w:fill="auto"/>
            <w:vAlign w:val="center"/>
          </w:tcPr>
          <w:p w14:paraId="324E814B" w14:textId="77777777" w:rsidR="001C7E6F" w:rsidRPr="002914EF" w:rsidRDefault="001C7E6F" w:rsidP="00BD3046">
            <w:pPr>
              <w:spacing w:after="0" w:line="240" w:lineRule="auto"/>
              <w:rPr>
                <w:rFonts w:ascii="Arial" w:eastAsia="Arial" w:hAnsi="Arial" w:cs="Arial"/>
                <w:i/>
                <w:sz w:val="18"/>
                <w:szCs w:val="18"/>
              </w:rPr>
            </w:pPr>
            <w:r w:rsidRPr="002914EF">
              <w:rPr>
                <w:rFonts w:ascii="Arial" w:eastAsia="Arial" w:hAnsi="Arial" w:cs="Arial"/>
                <w:i/>
                <w:sz w:val="18"/>
                <w:szCs w:val="18"/>
              </w:rPr>
              <w:t>Fundamento jurídico válido, a partir de lei formal de criação, previsão em Constituição Estadual/Lei Orgânica Municipal e regulamentação infralegal (decretos, portarias, resoluções).</w:t>
            </w:r>
          </w:p>
          <w:p w14:paraId="08C2E4A7" w14:textId="77777777" w:rsidR="001C7E6F" w:rsidRDefault="001C7E6F" w:rsidP="00BD3046">
            <w:pPr>
              <w:spacing w:after="0" w:line="240" w:lineRule="auto"/>
              <w:rPr>
                <w:rFonts w:ascii="Arial" w:eastAsia="Arial" w:hAnsi="Arial" w:cs="Arial"/>
                <w:color w:val="000000"/>
                <w:sz w:val="18"/>
                <w:szCs w:val="18"/>
              </w:rPr>
            </w:pPr>
          </w:p>
          <w:p w14:paraId="37CA9C4E" w14:textId="77777777" w:rsidR="001C7E6F" w:rsidRDefault="001C7E6F" w:rsidP="00BD3046">
            <w:pPr>
              <w:spacing w:after="0" w:line="240" w:lineRule="auto"/>
              <w:rPr>
                <w:rFonts w:ascii="Arial" w:eastAsia="Arial" w:hAnsi="Arial" w:cs="Arial"/>
                <w:color w:val="000000"/>
                <w:sz w:val="18"/>
                <w:szCs w:val="18"/>
              </w:rPr>
            </w:pPr>
            <w:r w:rsidRPr="002914EF">
              <w:rPr>
                <w:rFonts w:ascii="Arial" w:eastAsia="Arial" w:hAnsi="Arial" w:cs="Arial"/>
                <w:color w:val="000000"/>
                <w:sz w:val="18"/>
                <w:szCs w:val="18"/>
              </w:rPr>
              <w:t>O FECOEP</w:t>
            </w:r>
            <w:r>
              <w:rPr>
                <w:rFonts w:ascii="Arial" w:eastAsia="Arial" w:hAnsi="Arial" w:cs="Arial"/>
                <w:color w:val="000000"/>
                <w:sz w:val="18"/>
                <w:szCs w:val="18"/>
              </w:rPr>
              <w:t xml:space="preserve">-SP </w:t>
            </w:r>
            <w:r w:rsidRPr="002914EF">
              <w:rPr>
                <w:rFonts w:ascii="Arial" w:eastAsia="Arial" w:hAnsi="Arial" w:cs="Arial"/>
                <w:color w:val="000000"/>
                <w:sz w:val="18"/>
                <w:szCs w:val="18"/>
              </w:rPr>
              <w:t xml:space="preserve">foi instituído pela </w:t>
            </w:r>
            <w:r w:rsidRPr="002914EF">
              <w:rPr>
                <w:rFonts w:ascii="Arial" w:eastAsia="Arial" w:hAnsi="Arial" w:cs="Arial"/>
                <w:b/>
                <w:color w:val="000000"/>
                <w:sz w:val="18"/>
                <w:szCs w:val="18"/>
              </w:rPr>
              <w:t>Lei Nº 16.006/2015</w:t>
            </w:r>
            <w:r>
              <w:rPr>
                <w:rFonts w:ascii="Arial" w:eastAsia="Arial" w:hAnsi="Arial" w:cs="Arial"/>
                <w:color w:val="000000"/>
                <w:sz w:val="18"/>
                <w:szCs w:val="18"/>
              </w:rPr>
              <w:t>.</w:t>
            </w:r>
          </w:p>
          <w:p w14:paraId="72DB3AAB" w14:textId="77777777" w:rsidR="001C7E6F" w:rsidRDefault="001C7E6F" w:rsidP="00BD3046">
            <w:pPr>
              <w:spacing w:after="0" w:line="240" w:lineRule="auto"/>
              <w:rPr>
                <w:rFonts w:ascii="Arial" w:eastAsia="Arial" w:hAnsi="Arial" w:cs="Arial"/>
                <w:color w:val="000000"/>
                <w:sz w:val="18"/>
                <w:szCs w:val="18"/>
              </w:rPr>
            </w:pPr>
            <w:r w:rsidRPr="002914EF">
              <w:rPr>
                <w:rFonts w:ascii="Arial" w:eastAsia="Arial" w:hAnsi="Arial" w:cs="Arial"/>
                <w:color w:val="000000"/>
                <w:sz w:val="18"/>
                <w:szCs w:val="18"/>
              </w:rPr>
              <w:t>O funcionamento do FECOEP</w:t>
            </w:r>
            <w:r>
              <w:rPr>
                <w:rFonts w:ascii="Arial" w:eastAsia="Arial" w:hAnsi="Arial" w:cs="Arial"/>
                <w:color w:val="000000"/>
                <w:sz w:val="18"/>
                <w:szCs w:val="18"/>
              </w:rPr>
              <w:t>-SP</w:t>
            </w:r>
            <w:r w:rsidRPr="002914EF">
              <w:rPr>
                <w:rFonts w:ascii="Arial" w:eastAsia="Arial" w:hAnsi="Arial" w:cs="Arial"/>
                <w:color w:val="000000"/>
                <w:sz w:val="18"/>
                <w:szCs w:val="18"/>
              </w:rPr>
              <w:t xml:space="preserve"> é disciplinado em regulamento, sendo a utilização dos recursos, gestão e prestação de contas temas de decretos como o Decreto nº 62.242/2016 e Decreto nº 64.539/2019</w:t>
            </w:r>
            <w:r>
              <w:rPr>
                <w:rFonts w:ascii="Arial" w:eastAsia="Arial" w:hAnsi="Arial" w:cs="Arial"/>
                <w:color w:val="000000"/>
                <w:sz w:val="18"/>
                <w:szCs w:val="18"/>
              </w:rPr>
              <w:t>.</w:t>
            </w:r>
          </w:p>
          <w:p w14:paraId="5F66A642"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O FECOEP-SP </w:t>
            </w:r>
            <w:r w:rsidRPr="002914EF">
              <w:rPr>
                <w:rFonts w:ascii="Arial" w:eastAsia="Arial" w:hAnsi="Arial" w:cs="Arial"/>
                <w:color w:val="000000"/>
                <w:sz w:val="18"/>
                <w:szCs w:val="18"/>
              </w:rPr>
              <w:t xml:space="preserve">é mencionado no Artigo 61 </w:t>
            </w:r>
            <w:r>
              <w:rPr>
                <w:rFonts w:ascii="Arial" w:eastAsia="Arial" w:hAnsi="Arial" w:cs="Arial"/>
                <w:color w:val="000000"/>
                <w:sz w:val="18"/>
                <w:szCs w:val="18"/>
              </w:rPr>
              <w:t xml:space="preserve">no Ato </w:t>
            </w:r>
            <w:r w:rsidRPr="002914EF">
              <w:rPr>
                <w:rFonts w:ascii="Arial" w:eastAsia="Arial" w:hAnsi="Arial" w:cs="Arial"/>
                <w:color w:val="000000"/>
                <w:sz w:val="18"/>
                <w:szCs w:val="18"/>
              </w:rPr>
              <w:t xml:space="preserve">das Disposições </w:t>
            </w:r>
            <w:r>
              <w:rPr>
                <w:rFonts w:ascii="Arial" w:eastAsia="Arial" w:hAnsi="Arial" w:cs="Arial"/>
                <w:color w:val="000000"/>
                <w:sz w:val="18"/>
                <w:szCs w:val="18"/>
              </w:rPr>
              <w:t xml:space="preserve">Constitucionais </w:t>
            </w:r>
            <w:r w:rsidRPr="002914EF">
              <w:rPr>
                <w:rFonts w:ascii="Arial" w:eastAsia="Arial" w:hAnsi="Arial" w:cs="Arial"/>
                <w:color w:val="000000"/>
                <w:sz w:val="18"/>
                <w:szCs w:val="18"/>
              </w:rPr>
              <w:t>Transitórias da Constituição Estadual de São Paulo</w:t>
            </w:r>
            <w:r>
              <w:rPr>
                <w:rFonts w:ascii="Arial" w:eastAsia="Arial" w:hAnsi="Arial" w:cs="Arial"/>
                <w:color w:val="000000"/>
                <w:sz w:val="18"/>
                <w:szCs w:val="18"/>
              </w:rPr>
              <w:t>.</w:t>
            </w:r>
          </w:p>
          <w:p w14:paraId="000520CD" w14:textId="77777777" w:rsidR="001C7E6F" w:rsidRDefault="001C7E6F" w:rsidP="00BD3046">
            <w:pPr>
              <w:spacing w:after="0" w:line="240" w:lineRule="auto"/>
              <w:rPr>
                <w:rFonts w:ascii="Arial" w:eastAsia="Arial" w:hAnsi="Arial" w:cs="Arial"/>
                <w:color w:val="000000"/>
                <w:sz w:val="18"/>
                <w:szCs w:val="18"/>
              </w:rPr>
            </w:pPr>
          </w:p>
        </w:tc>
      </w:tr>
      <w:tr w:rsidR="001C7E6F" w14:paraId="41BD9349" w14:textId="77777777" w:rsidTr="00BD3046">
        <w:trPr>
          <w:trHeight w:val="20"/>
        </w:trPr>
        <w:tc>
          <w:tcPr>
            <w:tcW w:w="2263" w:type="dxa"/>
            <w:shd w:val="clear" w:color="auto" w:fill="auto"/>
            <w:vAlign w:val="center"/>
          </w:tcPr>
          <w:p w14:paraId="1676F25D"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1.2 Definição normativa</w:t>
            </w:r>
          </w:p>
        </w:tc>
        <w:tc>
          <w:tcPr>
            <w:tcW w:w="6798" w:type="dxa"/>
            <w:shd w:val="clear" w:color="auto" w:fill="auto"/>
            <w:vAlign w:val="center"/>
          </w:tcPr>
          <w:p w14:paraId="6C3C8551" w14:textId="77777777" w:rsidR="001C7E6F" w:rsidRPr="002914EF" w:rsidRDefault="001C7E6F" w:rsidP="00BD3046">
            <w:pPr>
              <w:spacing w:after="0" w:line="240" w:lineRule="auto"/>
              <w:rPr>
                <w:rFonts w:ascii="Arial" w:eastAsia="Arial" w:hAnsi="Arial" w:cs="Arial"/>
                <w:i/>
                <w:color w:val="000000"/>
                <w:sz w:val="18"/>
                <w:szCs w:val="18"/>
              </w:rPr>
            </w:pPr>
            <w:r w:rsidRPr="002914EF">
              <w:rPr>
                <w:rFonts w:ascii="Arial" w:eastAsia="Arial" w:hAnsi="Arial" w:cs="Arial"/>
                <w:i/>
                <w:color w:val="000000"/>
                <w:sz w:val="18"/>
                <w:szCs w:val="18"/>
              </w:rPr>
              <w:t>Garanti</w:t>
            </w:r>
            <w:r w:rsidRPr="002914EF">
              <w:rPr>
                <w:rFonts w:ascii="Arial" w:eastAsia="Arial" w:hAnsi="Arial" w:cs="Arial"/>
                <w:i/>
                <w:sz w:val="18"/>
                <w:szCs w:val="18"/>
              </w:rPr>
              <w:t>a de</w:t>
            </w:r>
            <w:r w:rsidRPr="002914EF">
              <w:rPr>
                <w:rFonts w:ascii="Arial" w:eastAsia="Arial" w:hAnsi="Arial" w:cs="Arial"/>
                <w:i/>
                <w:color w:val="000000"/>
                <w:sz w:val="18"/>
                <w:szCs w:val="18"/>
              </w:rPr>
              <w:t xml:space="preserve"> clareza dos objetivos, das fontes de recursos e origens da receita e suas destinações, evitando fungibilidade e desvio de finalidade.</w:t>
            </w:r>
          </w:p>
          <w:p w14:paraId="68D362B8" w14:textId="77777777" w:rsidR="001C7E6F" w:rsidRDefault="001C7E6F" w:rsidP="00BD3046">
            <w:pPr>
              <w:spacing w:after="0" w:line="240" w:lineRule="auto"/>
              <w:rPr>
                <w:rFonts w:ascii="Arial" w:eastAsia="Arial" w:hAnsi="Arial" w:cs="Arial"/>
                <w:color w:val="000000"/>
                <w:sz w:val="18"/>
                <w:szCs w:val="18"/>
              </w:rPr>
            </w:pPr>
          </w:p>
          <w:p w14:paraId="107F1512" w14:textId="77777777" w:rsidR="001C7E6F" w:rsidRDefault="001C7E6F" w:rsidP="00BD3046">
            <w:pPr>
              <w:spacing w:after="0" w:line="240" w:lineRule="auto"/>
              <w:rPr>
                <w:rFonts w:ascii="Arial" w:eastAsia="Arial" w:hAnsi="Arial" w:cs="Arial"/>
                <w:color w:val="000000"/>
                <w:sz w:val="18"/>
                <w:szCs w:val="18"/>
              </w:rPr>
            </w:pPr>
            <w:r w:rsidRPr="002914EF">
              <w:rPr>
                <w:rFonts w:ascii="Arial" w:eastAsia="Arial" w:hAnsi="Arial" w:cs="Arial"/>
                <w:color w:val="000000"/>
                <w:sz w:val="18"/>
                <w:szCs w:val="18"/>
              </w:rPr>
              <w:t xml:space="preserve">Artigo 1º - Fica instituído, no âmbito do Poder Executivo, o Fundo Estadual de Combate e Erradicação da Pobreza - FECOEP, </w:t>
            </w:r>
            <w:r w:rsidRPr="00C9798D">
              <w:rPr>
                <w:rFonts w:ascii="Arial" w:eastAsia="Arial" w:hAnsi="Arial" w:cs="Arial"/>
                <w:b/>
                <w:color w:val="000000"/>
                <w:sz w:val="18"/>
                <w:szCs w:val="18"/>
              </w:rPr>
              <w:t>com o objetivo de viabilizar para a população do Estado o acesso a níveis dignos de subsistência</w:t>
            </w:r>
            <w:r w:rsidRPr="002914EF">
              <w:rPr>
                <w:rFonts w:ascii="Arial" w:eastAsia="Arial" w:hAnsi="Arial" w:cs="Arial"/>
                <w:color w:val="000000"/>
                <w:sz w:val="18"/>
                <w:szCs w:val="18"/>
              </w:rPr>
              <w:t>. § 1° - Os recursos do FECOEP devem ser aplicados única e exclusivamente em programas e ações de nutrição, habitação, educação, saúde e outras ações de relevante interesse social, dirigidas para melhoria da qualidade de vida, incluindo ações de proteção à criança e ao adolescente e ações de incentivo à agricultura familiar. § 2º - Uma das principais fontes de recursos do FECOEP deve ser constituída pela arrecadação do Imposto sobre Operações Relativas à Circulação de Mercadorias e sobre Prestações de Serviços de Transporte Interestadual e Intermunicipal e de Comunicação (ICMS) resultante da adição de 2 (dois) pontos percentuais às alíquotas incidentes em operações e prestações com produtos e serviços de que trata o artigo 2° desta lei. § 3º - O FECOEP vigorará enquanto subsistir a necessidade social da aplicação dos recursos de que trata o § 1º deste artigo. § 4º - A disciplina sobre vinculação, fontes de recursos, aplicação e movimentação de recursos, gestão, funcionamento, prestação de contas e outros procedimentos necessários ao FECOEP será estabelecida em regulamento. § 5º - Ao adicional de que trata este artigo, não se aplica: 1 - o disposto nos artigos 158, IV, e 167, IV, da Constituição Federal, bem como qualquer desvinculação orçamentária, conforme previsto no § 1º do artigo 82, combinado com o § 1º do artigo 80, ambos do Ato das Disposições Constitucionais Transitórias (ADCT) da Constituição Federal; 2 - qualquer benefício ou incentivo fiscal, financeiro fiscal ou financeiro.</w:t>
            </w:r>
          </w:p>
          <w:p w14:paraId="7658206A" w14:textId="77777777" w:rsidR="001C7E6F" w:rsidRDefault="001C7E6F" w:rsidP="00BD3046">
            <w:pPr>
              <w:spacing w:after="0" w:line="240" w:lineRule="auto"/>
              <w:rPr>
                <w:rFonts w:ascii="Arial" w:eastAsia="Arial" w:hAnsi="Arial" w:cs="Arial"/>
                <w:color w:val="000000"/>
                <w:sz w:val="18"/>
                <w:szCs w:val="18"/>
              </w:rPr>
            </w:pPr>
          </w:p>
          <w:p w14:paraId="2DE06A49" w14:textId="77777777" w:rsidR="001C7E6F" w:rsidRDefault="001C7E6F" w:rsidP="00BD3046">
            <w:pPr>
              <w:spacing w:after="0" w:line="240" w:lineRule="auto"/>
              <w:rPr>
                <w:rFonts w:ascii="Arial" w:eastAsia="Arial" w:hAnsi="Arial" w:cs="Arial"/>
                <w:color w:val="000000"/>
                <w:sz w:val="18"/>
                <w:szCs w:val="18"/>
              </w:rPr>
            </w:pPr>
            <w:r w:rsidRPr="002914EF">
              <w:rPr>
                <w:rFonts w:ascii="Arial" w:eastAsia="Arial" w:hAnsi="Arial" w:cs="Arial"/>
                <w:color w:val="000000"/>
                <w:sz w:val="18"/>
                <w:szCs w:val="18"/>
              </w:rPr>
              <w:t xml:space="preserve">Artigo 2º - </w:t>
            </w:r>
            <w:r w:rsidRPr="00C9798D">
              <w:rPr>
                <w:rFonts w:ascii="Arial" w:eastAsia="Arial" w:hAnsi="Arial" w:cs="Arial"/>
                <w:b/>
                <w:color w:val="000000"/>
                <w:sz w:val="18"/>
                <w:szCs w:val="18"/>
              </w:rPr>
              <w:t>Constituem receitas do FECOEP</w:t>
            </w:r>
            <w:r w:rsidRPr="002914EF">
              <w:rPr>
                <w:rFonts w:ascii="Arial" w:eastAsia="Arial" w:hAnsi="Arial" w:cs="Arial"/>
                <w:color w:val="000000"/>
                <w:sz w:val="18"/>
                <w:szCs w:val="18"/>
              </w:rPr>
              <w:t>: I - a parcela do produto da arrecadação correspondente ao adicional de 2% (dois por cento) na alíquota do ICMS, ou do imposto que vier a substituí-lo, incidente sobre as seguintes mercadorias: a) bebidas alcoólicas classificadas na posição 22.03; b) fumo e seus sucedâneos manufaturados, classificados no capítulo 24; II - doações, auxílios, subvenções e legados, de qualquer natureza, de pessoas físicas ou jurídicas do País ou do exterior; III - receitas decorrentes da aplicação dos seus recursos; IV - outras receitas que venham a ser destinadas ao Fundo. § 1º - Os recursos do FECOEP não poderão ser utilizados em finalidade diversa da prevista nesta lei, nem serão objeto de remanejamento, transposição ou transferência. § 2º - É vedada a utilização dos recursos do FECOEP para remuneração de pessoal e encargos sociais. § 3º - O adicional do ICMS somente poderá recair nas operações destinadas ao consumo final, sujeitas ou não ao regime de substituição tributária. § 4º - O recolhimento do adicional do ICMS de 2% (dois por cento) será efetuado conforme disciplina estabelecida pelo Poder Executivo.</w:t>
            </w:r>
          </w:p>
          <w:p w14:paraId="155A3C07" w14:textId="77777777" w:rsidR="001C7E6F" w:rsidRDefault="001C7E6F" w:rsidP="00BD3046">
            <w:pPr>
              <w:spacing w:after="0" w:line="240" w:lineRule="auto"/>
              <w:rPr>
                <w:rFonts w:ascii="Arial" w:eastAsia="Arial" w:hAnsi="Arial" w:cs="Arial"/>
                <w:color w:val="000000"/>
                <w:sz w:val="18"/>
                <w:szCs w:val="18"/>
              </w:rPr>
            </w:pPr>
          </w:p>
        </w:tc>
      </w:tr>
      <w:tr w:rsidR="001C7E6F" w14:paraId="499C99DC" w14:textId="77777777" w:rsidTr="00BD3046">
        <w:trPr>
          <w:trHeight w:val="20"/>
        </w:trPr>
        <w:tc>
          <w:tcPr>
            <w:tcW w:w="2263" w:type="dxa"/>
            <w:shd w:val="clear" w:color="auto" w:fill="auto"/>
            <w:vAlign w:val="center"/>
          </w:tcPr>
          <w:p w14:paraId="20C840F2"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1.3 Governança arrecadatória</w:t>
            </w:r>
          </w:p>
        </w:tc>
        <w:tc>
          <w:tcPr>
            <w:tcW w:w="6798" w:type="dxa"/>
            <w:shd w:val="clear" w:color="auto" w:fill="auto"/>
            <w:vAlign w:val="center"/>
          </w:tcPr>
          <w:p w14:paraId="3D704D32" w14:textId="77777777" w:rsidR="001C7E6F" w:rsidRPr="00C9798D" w:rsidRDefault="001C7E6F" w:rsidP="00BD3046">
            <w:pPr>
              <w:spacing w:after="0" w:line="240" w:lineRule="auto"/>
              <w:rPr>
                <w:rFonts w:ascii="Arial" w:eastAsia="Arial" w:hAnsi="Arial" w:cs="Arial"/>
                <w:i/>
                <w:color w:val="000000"/>
                <w:sz w:val="18"/>
                <w:szCs w:val="18"/>
              </w:rPr>
            </w:pPr>
            <w:r w:rsidRPr="00C9798D">
              <w:rPr>
                <w:rFonts w:ascii="Arial" w:eastAsia="Arial" w:hAnsi="Arial" w:cs="Arial"/>
                <w:i/>
                <w:color w:val="000000"/>
                <w:sz w:val="18"/>
                <w:szCs w:val="18"/>
              </w:rPr>
              <w:t>Previsão de mecanismos de gestão (Órgão Gestor, Conselho Gestor, prestação de contas), assegurando controles e responsabilidades.</w:t>
            </w:r>
          </w:p>
          <w:p w14:paraId="184E435E" w14:textId="77777777" w:rsidR="001C7E6F" w:rsidRDefault="001C7E6F" w:rsidP="00BD3046">
            <w:pPr>
              <w:spacing w:after="0" w:line="240" w:lineRule="auto"/>
              <w:rPr>
                <w:rFonts w:ascii="Arial" w:eastAsia="Arial" w:hAnsi="Arial" w:cs="Arial"/>
                <w:color w:val="000000"/>
                <w:sz w:val="18"/>
                <w:szCs w:val="18"/>
              </w:rPr>
            </w:pPr>
          </w:p>
          <w:p w14:paraId="0D7B3C93"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 xml:space="preserve">Artigo 6º - Fica criado o </w:t>
            </w:r>
            <w:r w:rsidRPr="00C9798D">
              <w:rPr>
                <w:rFonts w:ascii="Arial" w:eastAsia="Arial" w:hAnsi="Arial" w:cs="Arial"/>
                <w:b/>
                <w:color w:val="000000"/>
                <w:sz w:val="18"/>
                <w:szCs w:val="18"/>
              </w:rPr>
              <w:t>Conselho de Orientação e Acompanhamento – COA</w:t>
            </w:r>
            <w:r w:rsidRPr="00C9798D">
              <w:rPr>
                <w:rFonts w:ascii="Arial" w:eastAsia="Arial" w:hAnsi="Arial" w:cs="Arial"/>
                <w:color w:val="000000"/>
                <w:sz w:val="18"/>
                <w:szCs w:val="18"/>
              </w:rPr>
              <w:t>, do FECOEP, integrado pelos seguintes membros: (Redação dada ao artigo pelo Decreto 69.323, de 22-01-2025, DOE 23-01-2025)</w:t>
            </w:r>
          </w:p>
          <w:p w14:paraId="4BCF9B8F"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I - o Secretário da Fazenda e Planejamento, que será seu Presidente;</w:t>
            </w:r>
          </w:p>
          <w:p w14:paraId="768F93B7"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II - o Secretário-Chefe da Casa Civil;</w:t>
            </w:r>
          </w:p>
          <w:p w14:paraId="7D22BA5B"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III - o Secretário de Desenvolvimento Social;</w:t>
            </w:r>
          </w:p>
          <w:p w14:paraId="38541E09"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IV - 1 (um) representante da sociedade civil.</w:t>
            </w:r>
          </w:p>
          <w:p w14:paraId="0E11052E" w14:textId="77777777" w:rsidR="001C7E6F"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lastRenderedPageBreak/>
              <w:t>§ 1º - Os membros do COA referidos nos incisos I a III deste artigo terão como suplentes os respectivos Secretários Executivos, podendo, nas ausências e impedimentos destes, designar substitutos que exercerão as mesmas funções, responsabilidades e prerrogativas nas deliberações do Conselho e nos demais atos que praticarem.</w:t>
            </w:r>
          </w:p>
          <w:p w14:paraId="3E007B3F" w14:textId="77777777" w:rsidR="001C7E6F" w:rsidRDefault="001C7E6F" w:rsidP="00BD3046">
            <w:pPr>
              <w:spacing w:after="0" w:line="240" w:lineRule="auto"/>
              <w:rPr>
                <w:rFonts w:ascii="Arial" w:eastAsia="Arial" w:hAnsi="Arial" w:cs="Arial"/>
                <w:color w:val="000000"/>
                <w:sz w:val="18"/>
                <w:szCs w:val="18"/>
              </w:rPr>
            </w:pPr>
          </w:p>
          <w:p w14:paraId="3384E8F1"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Artigo 8º -</w:t>
            </w:r>
            <w:r>
              <w:rPr>
                <w:rFonts w:ascii="Arial" w:eastAsia="Arial" w:hAnsi="Arial" w:cs="Arial"/>
                <w:color w:val="000000"/>
                <w:sz w:val="18"/>
                <w:szCs w:val="18"/>
              </w:rPr>
              <w:t xml:space="preserve"> </w:t>
            </w:r>
            <w:r w:rsidRPr="00C9798D">
              <w:rPr>
                <w:rFonts w:ascii="Arial" w:eastAsia="Arial" w:hAnsi="Arial" w:cs="Arial"/>
                <w:color w:val="000000"/>
                <w:sz w:val="18"/>
                <w:szCs w:val="18"/>
              </w:rPr>
              <w:t>Compete ao COA:</w:t>
            </w:r>
          </w:p>
          <w:p w14:paraId="0CE94337"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I - coordenar a formulação das políticas e diretrizes gerais, programas e ações governamentais que orientarão as aplicações do</w:t>
            </w:r>
            <w:r>
              <w:rPr>
                <w:rFonts w:ascii="Arial" w:eastAsia="Arial" w:hAnsi="Arial" w:cs="Arial"/>
                <w:color w:val="000000"/>
                <w:sz w:val="18"/>
                <w:szCs w:val="18"/>
              </w:rPr>
              <w:t xml:space="preserve"> Fundo</w:t>
            </w:r>
          </w:p>
          <w:p w14:paraId="6BC44A67"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II – selecionar programas e ações a serem executados com recursos do Fundo;</w:t>
            </w:r>
          </w:p>
          <w:p w14:paraId="64673ED0"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III - coordenar, em articulação com os órgãos e entidades responsáveis pela execução e acompanhamento dos programas e ações</w:t>
            </w:r>
            <w:r>
              <w:rPr>
                <w:rFonts w:ascii="Arial" w:eastAsia="Arial" w:hAnsi="Arial" w:cs="Arial"/>
                <w:color w:val="000000"/>
                <w:sz w:val="18"/>
                <w:szCs w:val="18"/>
              </w:rPr>
              <w:t xml:space="preserve"> </w:t>
            </w:r>
            <w:r w:rsidRPr="00C9798D">
              <w:rPr>
                <w:rFonts w:ascii="Arial" w:eastAsia="Arial" w:hAnsi="Arial" w:cs="Arial"/>
                <w:color w:val="000000"/>
                <w:sz w:val="18"/>
                <w:szCs w:val="18"/>
              </w:rPr>
              <w:t>aos quais forem destinados recursos do Fundo, a elaboração de propostas orçamentárias, para inclusão no projeto de lei</w:t>
            </w:r>
            <w:r>
              <w:rPr>
                <w:rFonts w:ascii="Arial" w:eastAsia="Arial" w:hAnsi="Arial" w:cs="Arial"/>
                <w:color w:val="000000"/>
                <w:sz w:val="18"/>
                <w:szCs w:val="18"/>
              </w:rPr>
              <w:t xml:space="preserve"> </w:t>
            </w:r>
            <w:r w:rsidRPr="00C9798D">
              <w:rPr>
                <w:rFonts w:ascii="Arial" w:eastAsia="Arial" w:hAnsi="Arial" w:cs="Arial"/>
                <w:color w:val="000000"/>
                <w:sz w:val="18"/>
                <w:szCs w:val="18"/>
              </w:rPr>
              <w:t>orçamentária anual, bem como em suas alterações?</w:t>
            </w:r>
          </w:p>
          <w:p w14:paraId="67E192E4"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IV - acompanhar, com periodicidade a ser definida pelo próprio Conselho, a aplicação dos recursos do Fundo?</w:t>
            </w:r>
          </w:p>
          <w:p w14:paraId="53CD3328"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V - monitorar, sem prejuízo das competências dos órgãos de controle interno e externo, a execução dos programas e ações</w:t>
            </w:r>
            <w:r>
              <w:rPr>
                <w:rFonts w:ascii="Arial" w:eastAsia="Arial" w:hAnsi="Arial" w:cs="Arial"/>
                <w:color w:val="000000"/>
                <w:sz w:val="18"/>
                <w:szCs w:val="18"/>
              </w:rPr>
              <w:t xml:space="preserve"> </w:t>
            </w:r>
            <w:r w:rsidRPr="00C9798D">
              <w:rPr>
                <w:rFonts w:ascii="Arial" w:eastAsia="Arial" w:hAnsi="Arial" w:cs="Arial"/>
                <w:color w:val="000000"/>
                <w:sz w:val="18"/>
                <w:szCs w:val="18"/>
              </w:rPr>
              <w:t>realizados com recursos do Fundo em cada um dos órgãos e entidades responsáveis pela execução;</w:t>
            </w:r>
          </w:p>
          <w:p w14:paraId="023068D1"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VI - expedir normas e instruções complementares, com vistas a disciplinar a aplicação dos recursos;</w:t>
            </w:r>
          </w:p>
          <w:p w14:paraId="1631C0E4" w14:textId="77777777" w:rsidR="001C7E6F"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VII – exercer as demais atribuições indispensáveis à gestão do Fundo e deliberar sobre casos omissos.</w:t>
            </w:r>
          </w:p>
          <w:p w14:paraId="0DC1AFB1" w14:textId="77777777" w:rsidR="001C7E6F" w:rsidRDefault="001C7E6F" w:rsidP="00BD3046">
            <w:pPr>
              <w:spacing w:after="0" w:line="240" w:lineRule="auto"/>
              <w:rPr>
                <w:rFonts w:ascii="Arial" w:eastAsia="Arial" w:hAnsi="Arial" w:cs="Arial"/>
                <w:color w:val="000000"/>
                <w:sz w:val="18"/>
                <w:szCs w:val="18"/>
              </w:rPr>
            </w:pPr>
          </w:p>
          <w:p w14:paraId="5A7DE102"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Artigo 10</w:t>
            </w:r>
            <w:r>
              <w:rPr>
                <w:rFonts w:ascii="Arial" w:eastAsia="Arial" w:hAnsi="Arial" w:cs="Arial"/>
                <w:color w:val="000000"/>
                <w:sz w:val="18"/>
                <w:szCs w:val="18"/>
              </w:rPr>
              <w:t xml:space="preserve"> </w:t>
            </w:r>
            <w:r w:rsidRPr="00C9798D">
              <w:rPr>
                <w:rFonts w:ascii="Arial" w:eastAsia="Arial" w:hAnsi="Arial" w:cs="Arial"/>
                <w:color w:val="000000"/>
                <w:sz w:val="18"/>
                <w:szCs w:val="18"/>
              </w:rPr>
              <w:t>- A programação de alocação de recursos do FECOEP será encaminhada, após deliberação do COA, para a Secretaria da</w:t>
            </w:r>
            <w:r>
              <w:rPr>
                <w:rFonts w:ascii="Arial" w:eastAsia="Arial" w:hAnsi="Arial" w:cs="Arial"/>
                <w:color w:val="000000"/>
                <w:sz w:val="18"/>
                <w:szCs w:val="18"/>
              </w:rPr>
              <w:t xml:space="preserve"> </w:t>
            </w:r>
            <w:r w:rsidRPr="00C9798D">
              <w:rPr>
                <w:rFonts w:ascii="Arial" w:eastAsia="Arial" w:hAnsi="Arial" w:cs="Arial"/>
                <w:color w:val="000000"/>
                <w:sz w:val="18"/>
                <w:szCs w:val="18"/>
              </w:rPr>
              <w:t>Fazenda e Planejamento até o último dia útil do mês de agosto de cada ano, visando à inserção na proposta orçamentária para o</w:t>
            </w:r>
            <w:r>
              <w:rPr>
                <w:rFonts w:ascii="Arial" w:eastAsia="Arial" w:hAnsi="Arial" w:cs="Arial"/>
                <w:color w:val="000000"/>
                <w:sz w:val="18"/>
                <w:szCs w:val="18"/>
              </w:rPr>
              <w:t xml:space="preserve"> </w:t>
            </w:r>
            <w:r w:rsidRPr="00C9798D">
              <w:rPr>
                <w:rFonts w:ascii="Arial" w:eastAsia="Arial" w:hAnsi="Arial" w:cs="Arial"/>
                <w:color w:val="000000"/>
                <w:sz w:val="18"/>
                <w:szCs w:val="18"/>
              </w:rPr>
              <w:t>exercício seguinte.</w:t>
            </w:r>
            <w:r>
              <w:rPr>
                <w:rFonts w:ascii="Arial" w:eastAsia="Arial" w:hAnsi="Arial" w:cs="Arial"/>
                <w:color w:val="000000"/>
                <w:sz w:val="18"/>
                <w:szCs w:val="18"/>
              </w:rPr>
              <w:t xml:space="preserve"> </w:t>
            </w:r>
            <w:r w:rsidRPr="00C9798D">
              <w:rPr>
                <w:rFonts w:ascii="Arial" w:eastAsia="Arial" w:hAnsi="Arial" w:cs="Arial"/>
                <w:color w:val="000000"/>
                <w:sz w:val="18"/>
                <w:szCs w:val="18"/>
              </w:rPr>
              <w:t>(Redação dada</w:t>
            </w:r>
          </w:p>
          <w:p w14:paraId="2A2DDD0C" w14:textId="77777777" w:rsidR="001C7E6F"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ao artigo pelo Decreto</w:t>
            </w:r>
            <w:r>
              <w:rPr>
                <w:rFonts w:ascii="Arial" w:eastAsia="Arial" w:hAnsi="Arial" w:cs="Arial"/>
                <w:color w:val="000000"/>
                <w:sz w:val="18"/>
                <w:szCs w:val="18"/>
              </w:rPr>
              <w:t xml:space="preserve"> </w:t>
            </w:r>
            <w:r w:rsidRPr="00C9798D">
              <w:rPr>
                <w:rFonts w:ascii="Arial" w:eastAsia="Arial" w:hAnsi="Arial" w:cs="Arial"/>
                <w:color w:val="000000"/>
                <w:sz w:val="18"/>
                <w:szCs w:val="18"/>
              </w:rPr>
              <w:t>69.323,</w:t>
            </w:r>
            <w:r>
              <w:rPr>
                <w:rFonts w:ascii="Arial" w:eastAsia="Arial" w:hAnsi="Arial" w:cs="Arial"/>
                <w:color w:val="000000"/>
                <w:sz w:val="18"/>
                <w:szCs w:val="18"/>
              </w:rPr>
              <w:t xml:space="preserve"> </w:t>
            </w:r>
            <w:r w:rsidRPr="00C9798D">
              <w:rPr>
                <w:rFonts w:ascii="Arial" w:eastAsia="Arial" w:hAnsi="Arial" w:cs="Arial"/>
                <w:color w:val="000000"/>
                <w:sz w:val="18"/>
                <w:szCs w:val="18"/>
              </w:rPr>
              <w:t>de 22-01-2025, DOE 23-01-2025)</w:t>
            </w:r>
          </w:p>
          <w:p w14:paraId="3C85EE99" w14:textId="77777777" w:rsidR="001C7E6F" w:rsidRDefault="001C7E6F" w:rsidP="00BD3046">
            <w:pPr>
              <w:spacing w:after="0" w:line="240" w:lineRule="auto"/>
              <w:rPr>
                <w:rFonts w:ascii="Arial" w:eastAsia="Arial" w:hAnsi="Arial" w:cs="Arial"/>
                <w:color w:val="000000"/>
                <w:sz w:val="18"/>
                <w:szCs w:val="18"/>
              </w:rPr>
            </w:pPr>
          </w:p>
          <w:p w14:paraId="791F4A3B" w14:textId="77777777" w:rsidR="001C7E6F"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Artigo 11 -</w:t>
            </w:r>
            <w:r>
              <w:rPr>
                <w:rFonts w:ascii="Arial" w:eastAsia="Arial" w:hAnsi="Arial" w:cs="Arial"/>
                <w:color w:val="000000"/>
                <w:sz w:val="18"/>
                <w:szCs w:val="18"/>
              </w:rPr>
              <w:t xml:space="preserve"> </w:t>
            </w:r>
            <w:r w:rsidRPr="00C9798D">
              <w:rPr>
                <w:rFonts w:ascii="Arial" w:eastAsia="Arial" w:hAnsi="Arial" w:cs="Arial"/>
                <w:color w:val="000000"/>
                <w:sz w:val="18"/>
                <w:szCs w:val="18"/>
              </w:rPr>
              <w:t>A liberação das cotas orçamentárias relativas aos recursos que integram o FECOEP somente poderá ser processada</w:t>
            </w:r>
            <w:r>
              <w:rPr>
                <w:rFonts w:ascii="Arial" w:eastAsia="Arial" w:hAnsi="Arial" w:cs="Arial"/>
                <w:color w:val="000000"/>
                <w:sz w:val="18"/>
                <w:szCs w:val="18"/>
              </w:rPr>
              <w:t xml:space="preserve"> </w:t>
            </w:r>
            <w:r w:rsidRPr="00C9798D">
              <w:rPr>
                <w:rFonts w:ascii="Arial" w:eastAsia="Arial" w:hAnsi="Arial" w:cs="Arial"/>
                <w:color w:val="000000"/>
                <w:sz w:val="18"/>
                <w:szCs w:val="18"/>
              </w:rPr>
              <w:t>após o efetivo ingresso dos recursos financeiros, devidamente atestado pela Secretaria da Fazenda e Planejamento</w:t>
            </w:r>
            <w:r>
              <w:rPr>
                <w:rFonts w:ascii="Arial" w:eastAsia="Arial" w:hAnsi="Arial" w:cs="Arial"/>
                <w:color w:val="000000"/>
                <w:sz w:val="18"/>
                <w:szCs w:val="18"/>
              </w:rPr>
              <w:t xml:space="preserve"> </w:t>
            </w:r>
            <w:r w:rsidRPr="00C9798D">
              <w:rPr>
                <w:rFonts w:ascii="Arial" w:eastAsia="Arial" w:hAnsi="Arial" w:cs="Arial"/>
                <w:color w:val="000000"/>
                <w:sz w:val="18"/>
                <w:szCs w:val="18"/>
              </w:rPr>
              <w:t>(Redação</w:t>
            </w:r>
            <w:r>
              <w:rPr>
                <w:rFonts w:ascii="Arial" w:eastAsia="Arial" w:hAnsi="Arial" w:cs="Arial"/>
                <w:color w:val="000000"/>
                <w:sz w:val="18"/>
                <w:szCs w:val="18"/>
              </w:rPr>
              <w:t xml:space="preserve"> </w:t>
            </w:r>
            <w:r w:rsidRPr="00C9798D">
              <w:rPr>
                <w:rFonts w:ascii="Arial" w:eastAsia="Arial" w:hAnsi="Arial" w:cs="Arial"/>
                <w:color w:val="000000"/>
                <w:sz w:val="18"/>
                <w:szCs w:val="18"/>
              </w:rPr>
              <w:t>dada</w:t>
            </w:r>
            <w:r>
              <w:rPr>
                <w:rFonts w:ascii="Arial" w:eastAsia="Arial" w:hAnsi="Arial" w:cs="Arial"/>
                <w:color w:val="000000"/>
                <w:sz w:val="18"/>
                <w:szCs w:val="18"/>
              </w:rPr>
              <w:t xml:space="preserve"> </w:t>
            </w:r>
            <w:r w:rsidRPr="00C9798D">
              <w:rPr>
                <w:rFonts w:ascii="Arial" w:eastAsia="Arial" w:hAnsi="Arial" w:cs="Arial"/>
                <w:color w:val="000000"/>
                <w:sz w:val="18"/>
                <w:szCs w:val="18"/>
              </w:rPr>
              <w:t>ao artigo pelo Decreto</w:t>
            </w:r>
            <w:r>
              <w:rPr>
                <w:rFonts w:ascii="Arial" w:eastAsia="Arial" w:hAnsi="Arial" w:cs="Arial"/>
                <w:color w:val="000000"/>
                <w:sz w:val="18"/>
                <w:szCs w:val="18"/>
              </w:rPr>
              <w:t xml:space="preserve"> </w:t>
            </w:r>
            <w:r w:rsidRPr="00C9798D">
              <w:rPr>
                <w:rFonts w:ascii="Arial" w:eastAsia="Arial" w:hAnsi="Arial" w:cs="Arial"/>
                <w:color w:val="000000"/>
                <w:sz w:val="18"/>
                <w:szCs w:val="18"/>
              </w:rPr>
              <w:t>64.539,</w:t>
            </w:r>
            <w:r>
              <w:rPr>
                <w:rFonts w:ascii="Arial" w:eastAsia="Arial" w:hAnsi="Arial" w:cs="Arial"/>
                <w:color w:val="000000"/>
                <w:sz w:val="18"/>
                <w:szCs w:val="18"/>
              </w:rPr>
              <w:t xml:space="preserve"> </w:t>
            </w:r>
            <w:r w:rsidRPr="00C9798D">
              <w:rPr>
                <w:rFonts w:ascii="Arial" w:eastAsia="Arial" w:hAnsi="Arial" w:cs="Arial"/>
                <w:color w:val="000000"/>
                <w:sz w:val="18"/>
                <w:szCs w:val="18"/>
              </w:rPr>
              <w:t>de 22-10-2019, DOE 23-10-2019)</w:t>
            </w:r>
          </w:p>
          <w:p w14:paraId="406FB3CB" w14:textId="77777777" w:rsidR="001C7E6F" w:rsidRDefault="001C7E6F" w:rsidP="00BD3046">
            <w:pPr>
              <w:spacing w:after="0" w:line="240" w:lineRule="auto"/>
              <w:rPr>
                <w:rFonts w:ascii="Arial" w:eastAsia="Arial" w:hAnsi="Arial" w:cs="Arial"/>
                <w:color w:val="000000"/>
                <w:sz w:val="18"/>
                <w:szCs w:val="18"/>
              </w:rPr>
            </w:pPr>
          </w:p>
          <w:p w14:paraId="18513E0D" w14:textId="77777777" w:rsidR="001C7E6F"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Artigo 12 -</w:t>
            </w:r>
            <w:r>
              <w:rPr>
                <w:rFonts w:ascii="Arial" w:eastAsia="Arial" w:hAnsi="Arial" w:cs="Arial"/>
                <w:color w:val="000000"/>
                <w:sz w:val="18"/>
                <w:szCs w:val="18"/>
              </w:rPr>
              <w:t xml:space="preserve"> </w:t>
            </w:r>
            <w:r w:rsidRPr="00C9798D">
              <w:rPr>
                <w:rFonts w:ascii="Arial" w:eastAsia="Arial" w:hAnsi="Arial" w:cs="Arial"/>
                <w:color w:val="000000"/>
                <w:sz w:val="18"/>
                <w:szCs w:val="18"/>
              </w:rPr>
              <w:t>Incumbe aos órgãos e entidades para os quais forem destinados recursos do FECOEP a prestação de contas da sua</w:t>
            </w:r>
            <w:r>
              <w:rPr>
                <w:rFonts w:ascii="Arial" w:eastAsia="Arial" w:hAnsi="Arial" w:cs="Arial"/>
                <w:color w:val="000000"/>
                <w:sz w:val="18"/>
                <w:szCs w:val="18"/>
              </w:rPr>
              <w:t xml:space="preserve"> </w:t>
            </w:r>
            <w:r w:rsidRPr="00C9798D">
              <w:rPr>
                <w:rFonts w:ascii="Arial" w:eastAsia="Arial" w:hAnsi="Arial" w:cs="Arial"/>
                <w:color w:val="000000"/>
                <w:sz w:val="18"/>
                <w:szCs w:val="18"/>
              </w:rPr>
              <w:t>utilização, sem prejuízo das prestações de contas exigidas pela legislação em vigor e pelos atos normativos aplicáveis.</w:t>
            </w:r>
          </w:p>
          <w:p w14:paraId="7FC64140" w14:textId="77777777" w:rsidR="001C7E6F" w:rsidRPr="00C9798D" w:rsidRDefault="001C7E6F" w:rsidP="00BD3046">
            <w:pPr>
              <w:spacing w:after="0" w:line="240" w:lineRule="auto"/>
              <w:rPr>
                <w:rFonts w:ascii="Arial" w:eastAsia="Arial" w:hAnsi="Arial" w:cs="Arial"/>
                <w:color w:val="000000"/>
                <w:sz w:val="18"/>
                <w:szCs w:val="18"/>
              </w:rPr>
            </w:pPr>
          </w:p>
          <w:p w14:paraId="73C22DDB" w14:textId="77777777" w:rsidR="001C7E6F" w:rsidRPr="00C9798D"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Artigo 13 -</w:t>
            </w:r>
            <w:r>
              <w:rPr>
                <w:rFonts w:ascii="Arial" w:eastAsia="Arial" w:hAnsi="Arial" w:cs="Arial"/>
                <w:color w:val="000000"/>
                <w:sz w:val="18"/>
                <w:szCs w:val="18"/>
              </w:rPr>
              <w:t xml:space="preserve"> </w:t>
            </w:r>
            <w:r w:rsidRPr="00C9798D">
              <w:rPr>
                <w:rFonts w:ascii="Arial" w:eastAsia="Arial" w:hAnsi="Arial" w:cs="Arial"/>
                <w:color w:val="000000"/>
                <w:sz w:val="18"/>
                <w:szCs w:val="18"/>
              </w:rPr>
              <w:t>A Secretaria da Fazenda e Planejamento adotará as providências de natureza orçamentária e financeira necessárias ao</w:t>
            </w:r>
            <w:r>
              <w:rPr>
                <w:rFonts w:ascii="Arial" w:eastAsia="Arial" w:hAnsi="Arial" w:cs="Arial"/>
                <w:color w:val="000000"/>
                <w:sz w:val="18"/>
                <w:szCs w:val="18"/>
              </w:rPr>
              <w:t xml:space="preserve"> </w:t>
            </w:r>
            <w:r w:rsidRPr="00C9798D">
              <w:rPr>
                <w:rFonts w:ascii="Arial" w:eastAsia="Arial" w:hAnsi="Arial" w:cs="Arial"/>
                <w:color w:val="000000"/>
                <w:sz w:val="18"/>
                <w:szCs w:val="18"/>
              </w:rPr>
              <w:t>cumprimento deste decreto.</w:t>
            </w:r>
          </w:p>
          <w:p w14:paraId="7B662344" w14:textId="77777777" w:rsidR="001C7E6F"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(Redação dada</w:t>
            </w:r>
            <w:r>
              <w:rPr>
                <w:rFonts w:ascii="Arial" w:eastAsia="Arial" w:hAnsi="Arial" w:cs="Arial"/>
                <w:color w:val="000000"/>
                <w:sz w:val="18"/>
                <w:szCs w:val="18"/>
              </w:rPr>
              <w:t xml:space="preserve"> </w:t>
            </w:r>
            <w:r w:rsidRPr="00C9798D">
              <w:rPr>
                <w:rFonts w:ascii="Arial" w:eastAsia="Arial" w:hAnsi="Arial" w:cs="Arial"/>
                <w:color w:val="000000"/>
                <w:sz w:val="18"/>
                <w:szCs w:val="18"/>
              </w:rPr>
              <w:t>ao artigo pelo Decreto</w:t>
            </w:r>
            <w:r>
              <w:rPr>
                <w:rFonts w:ascii="Arial" w:eastAsia="Arial" w:hAnsi="Arial" w:cs="Arial"/>
                <w:color w:val="000000"/>
                <w:sz w:val="18"/>
                <w:szCs w:val="18"/>
              </w:rPr>
              <w:t xml:space="preserve"> </w:t>
            </w:r>
            <w:r w:rsidRPr="00C9798D">
              <w:rPr>
                <w:rFonts w:ascii="Arial" w:eastAsia="Arial" w:hAnsi="Arial" w:cs="Arial"/>
                <w:color w:val="000000"/>
                <w:sz w:val="18"/>
                <w:szCs w:val="18"/>
              </w:rPr>
              <w:t>64.539,</w:t>
            </w:r>
            <w:r>
              <w:rPr>
                <w:rFonts w:ascii="Arial" w:eastAsia="Arial" w:hAnsi="Arial" w:cs="Arial"/>
                <w:color w:val="000000"/>
                <w:sz w:val="18"/>
                <w:szCs w:val="18"/>
              </w:rPr>
              <w:t xml:space="preserve"> </w:t>
            </w:r>
            <w:r w:rsidRPr="00C9798D">
              <w:rPr>
                <w:rFonts w:ascii="Arial" w:eastAsia="Arial" w:hAnsi="Arial" w:cs="Arial"/>
                <w:color w:val="000000"/>
                <w:sz w:val="18"/>
                <w:szCs w:val="18"/>
              </w:rPr>
              <w:t>de 22-10-2019, DOE 23-10-2019)</w:t>
            </w:r>
          </w:p>
          <w:p w14:paraId="1863D986" w14:textId="77777777" w:rsidR="001C7E6F" w:rsidRDefault="001C7E6F" w:rsidP="00BD3046">
            <w:pPr>
              <w:spacing w:after="0" w:line="240" w:lineRule="auto"/>
              <w:rPr>
                <w:rFonts w:ascii="Arial" w:eastAsia="Arial" w:hAnsi="Arial" w:cs="Arial"/>
                <w:color w:val="000000"/>
                <w:sz w:val="18"/>
                <w:szCs w:val="18"/>
              </w:rPr>
            </w:pPr>
          </w:p>
        </w:tc>
      </w:tr>
      <w:tr w:rsidR="001C7E6F" w14:paraId="7A08BA39" w14:textId="77777777" w:rsidTr="00BD3046">
        <w:trPr>
          <w:trHeight w:val="20"/>
        </w:trPr>
        <w:tc>
          <w:tcPr>
            <w:tcW w:w="2263" w:type="dxa"/>
            <w:shd w:val="clear" w:color="auto" w:fill="auto"/>
            <w:vAlign w:val="center"/>
          </w:tcPr>
          <w:p w14:paraId="17C75EE5"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1.4 Previsibilidade arrecadatória</w:t>
            </w:r>
          </w:p>
        </w:tc>
        <w:tc>
          <w:tcPr>
            <w:tcW w:w="6798" w:type="dxa"/>
            <w:shd w:val="clear" w:color="auto" w:fill="auto"/>
            <w:vAlign w:val="center"/>
          </w:tcPr>
          <w:p w14:paraId="56904617" w14:textId="77777777" w:rsidR="001C7E6F" w:rsidRPr="00C9798D" w:rsidRDefault="001C7E6F" w:rsidP="00BD3046">
            <w:pPr>
              <w:spacing w:after="0" w:line="240" w:lineRule="auto"/>
              <w:rPr>
                <w:rFonts w:ascii="Arial" w:eastAsia="Arial" w:hAnsi="Arial" w:cs="Arial"/>
                <w:i/>
                <w:color w:val="000000"/>
                <w:sz w:val="18"/>
                <w:szCs w:val="18"/>
              </w:rPr>
            </w:pPr>
            <w:r w:rsidRPr="00C9798D">
              <w:rPr>
                <w:rFonts w:ascii="Arial" w:eastAsia="Arial" w:hAnsi="Arial" w:cs="Arial"/>
                <w:i/>
                <w:color w:val="000000"/>
                <w:sz w:val="18"/>
                <w:szCs w:val="18"/>
              </w:rPr>
              <w:t>Regularidade da arrecadação ao longo do exercício, ausência de atrasos ou perdas nos repasses. Acurácia da receita, a partir do planejamento (PA e PAF).</w:t>
            </w:r>
          </w:p>
          <w:p w14:paraId="77DDC475" w14:textId="77777777" w:rsidR="001C7E6F" w:rsidRDefault="001C7E6F" w:rsidP="00BD3046">
            <w:pPr>
              <w:spacing w:after="0" w:line="240" w:lineRule="auto"/>
              <w:rPr>
                <w:rFonts w:ascii="Arial" w:eastAsia="Arial" w:hAnsi="Arial" w:cs="Arial"/>
                <w:color w:val="000000"/>
                <w:sz w:val="18"/>
                <w:szCs w:val="18"/>
              </w:rPr>
            </w:pPr>
          </w:p>
          <w:p w14:paraId="11C6B01F"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Não foram localizados Planos de Ação e de Aplicação Financeira do FECOEP-SP.</w:t>
            </w:r>
          </w:p>
          <w:p w14:paraId="0E5F533B" w14:textId="77777777" w:rsidR="001C7E6F" w:rsidRDefault="001C7E6F" w:rsidP="00BD3046">
            <w:pPr>
              <w:spacing w:after="0" w:line="240" w:lineRule="auto"/>
              <w:rPr>
                <w:rFonts w:ascii="Arial" w:eastAsia="Arial" w:hAnsi="Arial" w:cs="Arial"/>
                <w:color w:val="000000"/>
                <w:sz w:val="18"/>
                <w:szCs w:val="18"/>
              </w:rPr>
            </w:pPr>
          </w:p>
        </w:tc>
      </w:tr>
      <w:tr w:rsidR="001C7E6F" w14:paraId="37111888" w14:textId="77777777" w:rsidTr="00BD3046">
        <w:trPr>
          <w:trHeight w:val="20"/>
        </w:trPr>
        <w:tc>
          <w:tcPr>
            <w:tcW w:w="2263" w:type="dxa"/>
            <w:shd w:val="clear" w:color="auto" w:fill="auto"/>
            <w:vAlign w:val="center"/>
          </w:tcPr>
          <w:p w14:paraId="3BDD1AF6"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1.5 Complementaridade</w:t>
            </w:r>
          </w:p>
        </w:tc>
        <w:tc>
          <w:tcPr>
            <w:tcW w:w="6798" w:type="dxa"/>
            <w:shd w:val="clear" w:color="auto" w:fill="auto"/>
            <w:vAlign w:val="center"/>
          </w:tcPr>
          <w:p w14:paraId="2C602BC1" w14:textId="77777777" w:rsidR="001C7E6F" w:rsidRPr="00C9798D" w:rsidRDefault="001C7E6F" w:rsidP="00BD3046">
            <w:pPr>
              <w:spacing w:after="0" w:line="240" w:lineRule="auto"/>
              <w:rPr>
                <w:rFonts w:ascii="Arial" w:eastAsia="Arial" w:hAnsi="Arial" w:cs="Arial"/>
                <w:i/>
                <w:color w:val="000000"/>
                <w:sz w:val="18"/>
                <w:szCs w:val="18"/>
              </w:rPr>
            </w:pPr>
            <w:r w:rsidRPr="00C9798D">
              <w:rPr>
                <w:rFonts w:ascii="Arial" w:eastAsia="Arial" w:hAnsi="Arial" w:cs="Arial"/>
                <w:i/>
                <w:color w:val="000000"/>
                <w:sz w:val="18"/>
                <w:szCs w:val="18"/>
              </w:rPr>
              <w:t>Garant</w:t>
            </w:r>
            <w:r w:rsidRPr="00C9798D">
              <w:rPr>
                <w:rFonts w:ascii="Arial" w:eastAsia="Arial" w:hAnsi="Arial" w:cs="Arial"/>
                <w:i/>
                <w:sz w:val="18"/>
                <w:szCs w:val="18"/>
              </w:rPr>
              <w:t>ia de</w:t>
            </w:r>
            <w:r w:rsidRPr="00C9798D">
              <w:rPr>
                <w:rFonts w:ascii="Arial" w:eastAsia="Arial" w:hAnsi="Arial" w:cs="Arial"/>
                <w:i/>
                <w:color w:val="000000"/>
                <w:sz w:val="18"/>
                <w:szCs w:val="18"/>
              </w:rPr>
              <w:t xml:space="preserve"> que a receita do Fundo </w:t>
            </w:r>
            <w:r w:rsidRPr="00C9798D">
              <w:rPr>
                <w:rFonts w:ascii="Arial" w:eastAsia="Arial" w:hAnsi="Arial" w:cs="Arial"/>
                <w:i/>
                <w:sz w:val="18"/>
                <w:szCs w:val="18"/>
              </w:rPr>
              <w:t>incremente</w:t>
            </w:r>
            <w:r w:rsidRPr="00C9798D">
              <w:rPr>
                <w:rFonts w:ascii="Arial" w:eastAsia="Arial" w:hAnsi="Arial" w:cs="Arial"/>
                <w:i/>
                <w:color w:val="000000"/>
                <w:sz w:val="18"/>
                <w:szCs w:val="18"/>
              </w:rPr>
              <w:t xml:space="preserve"> ao financiamento das políticas de combate à pobreza e redução das desigualdades (efeito adicional), sem substituir o gasto ordinário. </w:t>
            </w:r>
          </w:p>
          <w:p w14:paraId="007B6388" w14:textId="77777777" w:rsidR="001C7E6F" w:rsidRDefault="001C7E6F" w:rsidP="00BD3046">
            <w:pPr>
              <w:spacing w:after="0" w:line="240" w:lineRule="auto"/>
              <w:rPr>
                <w:rFonts w:ascii="Arial" w:eastAsia="Arial" w:hAnsi="Arial" w:cs="Arial"/>
                <w:color w:val="000000"/>
                <w:sz w:val="18"/>
                <w:szCs w:val="18"/>
              </w:rPr>
            </w:pPr>
          </w:p>
          <w:p w14:paraId="18A618C6"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As</w:t>
            </w:r>
            <w:r w:rsidRPr="005311CD">
              <w:rPr>
                <w:rFonts w:ascii="Arial" w:eastAsia="Arial" w:hAnsi="Arial" w:cs="Arial"/>
                <w:color w:val="000000"/>
                <w:sz w:val="18"/>
                <w:szCs w:val="18"/>
              </w:rPr>
              <w:t xml:space="preserve"> Unidades Orçamentárias (UOs) que recebem recursos programados do FECOEP</w:t>
            </w:r>
            <w:r>
              <w:rPr>
                <w:rFonts w:ascii="Arial" w:eastAsia="Arial" w:hAnsi="Arial" w:cs="Arial"/>
                <w:color w:val="000000"/>
                <w:sz w:val="18"/>
                <w:szCs w:val="18"/>
              </w:rPr>
              <w:t>-SP (</w:t>
            </w:r>
            <w:r w:rsidRPr="005311CD">
              <w:rPr>
                <w:rFonts w:ascii="Arial" w:eastAsia="Arial" w:hAnsi="Arial" w:cs="Arial"/>
                <w:color w:val="000000"/>
                <w:sz w:val="18"/>
                <w:szCs w:val="18"/>
              </w:rPr>
              <w:t xml:space="preserve">Fonte 1.761.10) também recebem e utilizam </w:t>
            </w:r>
            <w:r>
              <w:rPr>
                <w:rFonts w:ascii="Arial" w:eastAsia="Arial" w:hAnsi="Arial" w:cs="Arial"/>
                <w:color w:val="000000"/>
                <w:sz w:val="18"/>
                <w:szCs w:val="18"/>
              </w:rPr>
              <w:t xml:space="preserve">autorização de </w:t>
            </w:r>
            <w:r w:rsidRPr="005311CD">
              <w:rPr>
                <w:rFonts w:ascii="Arial" w:eastAsia="Arial" w:hAnsi="Arial" w:cs="Arial"/>
                <w:color w:val="000000"/>
                <w:sz w:val="18"/>
                <w:szCs w:val="18"/>
              </w:rPr>
              <w:t>outras Fontes de Recursos (FRs) nas Leis Orçamentárias Anuais (LOAs) dos exercícios analisados (2023, 2024 e 2025).</w:t>
            </w:r>
          </w:p>
        </w:tc>
      </w:tr>
      <w:tr w:rsidR="001C7E6F" w14:paraId="3C981DD9" w14:textId="77777777" w:rsidTr="00BD3046">
        <w:trPr>
          <w:trHeight w:val="20"/>
        </w:trPr>
        <w:tc>
          <w:tcPr>
            <w:tcW w:w="2263" w:type="dxa"/>
            <w:shd w:val="clear" w:color="auto" w:fill="auto"/>
            <w:vAlign w:val="center"/>
          </w:tcPr>
          <w:p w14:paraId="25E6EC04"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1.6 Concentração de execução</w:t>
            </w:r>
          </w:p>
        </w:tc>
        <w:tc>
          <w:tcPr>
            <w:tcW w:w="6798" w:type="dxa"/>
            <w:shd w:val="clear" w:color="auto" w:fill="auto"/>
            <w:vAlign w:val="center"/>
          </w:tcPr>
          <w:p w14:paraId="26F92614" w14:textId="77777777" w:rsidR="001C7E6F" w:rsidRPr="00C9798D" w:rsidRDefault="001C7E6F" w:rsidP="00BD3046">
            <w:pPr>
              <w:spacing w:after="0" w:line="240" w:lineRule="auto"/>
              <w:rPr>
                <w:rFonts w:ascii="Arial" w:eastAsia="Arial" w:hAnsi="Arial" w:cs="Arial"/>
                <w:i/>
                <w:color w:val="000000"/>
                <w:sz w:val="18"/>
                <w:szCs w:val="18"/>
              </w:rPr>
            </w:pPr>
            <w:r w:rsidRPr="00C9798D">
              <w:rPr>
                <w:rFonts w:ascii="Arial" w:eastAsia="Arial" w:hAnsi="Arial" w:cs="Arial"/>
                <w:i/>
                <w:color w:val="000000"/>
                <w:sz w:val="18"/>
                <w:szCs w:val="18"/>
              </w:rPr>
              <w:t xml:space="preserve">Identificação do risco de captura quando a aplicação fica excessivamente concentrada em poucos atores, afetando a pluralidade dos objetivos e a accountability. </w:t>
            </w:r>
          </w:p>
          <w:p w14:paraId="3F3691D3" w14:textId="77777777" w:rsidR="001C7E6F" w:rsidRDefault="001C7E6F" w:rsidP="00BD3046">
            <w:pPr>
              <w:spacing w:after="0" w:line="240" w:lineRule="auto"/>
              <w:rPr>
                <w:rFonts w:ascii="Arial" w:eastAsia="Arial" w:hAnsi="Arial" w:cs="Arial"/>
                <w:color w:val="000000"/>
                <w:sz w:val="18"/>
                <w:szCs w:val="18"/>
              </w:rPr>
            </w:pPr>
          </w:p>
          <w:p w14:paraId="2B852D36" w14:textId="77777777" w:rsidR="001C7E6F" w:rsidRDefault="001C7E6F" w:rsidP="00BD3046">
            <w:pPr>
              <w:spacing w:after="0" w:line="240" w:lineRule="auto"/>
              <w:rPr>
                <w:rFonts w:ascii="Arial" w:eastAsia="Arial" w:hAnsi="Arial" w:cs="Arial"/>
                <w:color w:val="000000"/>
                <w:sz w:val="18"/>
                <w:szCs w:val="18"/>
              </w:rPr>
            </w:pPr>
            <w:r w:rsidRPr="005311CD">
              <w:rPr>
                <w:rFonts w:ascii="Arial" w:eastAsia="Arial" w:hAnsi="Arial" w:cs="Arial"/>
                <w:color w:val="000000"/>
                <w:sz w:val="18"/>
                <w:szCs w:val="18"/>
              </w:rPr>
              <w:t>A falta de planejamento e a consequente aplicação não estratégica dos recursos (sintoma ou causa da concentração ineficiente) foram apontadas como falhas na gestão de recursos destinados ao combate à pobreza, afetando a plurali</w:t>
            </w:r>
            <w:r>
              <w:rPr>
                <w:rFonts w:ascii="Arial" w:eastAsia="Arial" w:hAnsi="Arial" w:cs="Arial"/>
                <w:color w:val="000000"/>
                <w:sz w:val="18"/>
                <w:szCs w:val="18"/>
              </w:rPr>
              <w:t>dade e a eficácia das políticas.</w:t>
            </w:r>
          </w:p>
          <w:p w14:paraId="2F243720" w14:textId="77777777" w:rsidR="001C7E6F" w:rsidRDefault="001C7E6F" w:rsidP="00BD3046">
            <w:pPr>
              <w:spacing w:after="0" w:line="240" w:lineRule="auto"/>
              <w:rPr>
                <w:rFonts w:ascii="Arial" w:eastAsia="Arial" w:hAnsi="Arial" w:cs="Arial"/>
                <w:color w:val="000000"/>
                <w:sz w:val="18"/>
                <w:szCs w:val="18"/>
              </w:rPr>
            </w:pPr>
          </w:p>
          <w:p w14:paraId="1B639D8B" w14:textId="77777777" w:rsidR="001C7E6F" w:rsidRDefault="001C7E6F" w:rsidP="00BD3046">
            <w:pPr>
              <w:spacing w:after="0" w:line="240" w:lineRule="auto"/>
              <w:rPr>
                <w:rFonts w:ascii="Arial" w:eastAsia="Arial" w:hAnsi="Arial" w:cs="Arial"/>
                <w:color w:val="000000"/>
                <w:sz w:val="18"/>
                <w:szCs w:val="18"/>
              </w:rPr>
            </w:pPr>
            <w:r w:rsidRPr="005311CD">
              <w:rPr>
                <w:rFonts w:ascii="Arial" w:eastAsia="Arial" w:hAnsi="Arial" w:cs="Arial"/>
                <w:color w:val="000000"/>
                <w:sz w:val="18"/>
                <w:szCs w:val="18"/>
              </w:rPr>
              <w:t xml:space="preserve">Na gestão do </w:t>
            </w:r>
            <w:r>
              <w:rPr>
                <w:rFonts w:ascii="Arial" w:eastAsia="Arial" w:hAnsi="Arial" w:cs="Arial"/>
                <w:color w:val="000000"/>
                <w:sz w:val="18"/>
                <w:szCs w:val="18"/>
              </w:rPr>
              <w:t>FECOEP-SP</w:t>
            </w:r>
            <w:r w:rsidRPr="005311CD">
              <w:rPr>
                <w:rFonts w:ascii="Arial" w:eastAsia="Arial" w:hAnsi="Arial" w:cs="Arial"/>
                <w:color w:val="000000"/>
                <w:sz w:val="18"/>
                <w:szCs w:val="18"/>
              </w:rPr>
              <w:t>, auditado pelo TCE-SP, o Ministério Público de Contas (MPC-SP) revelou diversas ocorrências que atentam contra a eficiência e a efetividade no uso dos recursos.</w:t>
            </w:r>
            <w:r>
              <w:rPr>
                <w:rFonts w:ascii="Arial" w:eastAsia="Arial" w:hAnsi="Arial" w:cs="Arial"/>
                <w:color w:val="000000"/>
                <w:sz w:val="18"/>
                <w:szCs w:val="18"/>
              </w:rPr>
              <w:t xml:space="preserve"> </w:t>
            </w:r>
            <w:r w:rsidRPr="005311CD">
              <w:rPr>
                <w:rFonts w:ascii="Arial" w:eastAsia="Arial" w:hAnsi="Arial" w:cs="Arial"/>
                <w:color w:val="000000"/>
                <w:sz w:val="18"/>
                <w:szCs w:val="18"/>
              </w:rPr>
              <w:t xml:space="preserve">Entre as falhas, destacam-se a "ausência de critérios para </w:t>
            </w:r>
            <w:r w:rsidRPr="005311CD">
              <w:rPr>
                <w:rFonts w:ascii="Arial" w:eastAsia="Arial" w:hAnsi="Arial" w:cs="Arial"/>
                <w:color w:val="000000"/>
                <w:sz w:val="18"/>
                <w:szCs w:val="18"/>
              </w:rPr>
              <w:lastRenderedPageBreak/>
              <w:t>seleção de programas e ações beneficiadas com os recursos do Fundo". A falta de critérios objetivos impede uma distribuição plural e estratégica dos recursos, favorecendo a alocação discricionária.</w:t>
            </w:r>
            <w:r>
              <w:rPr>
                <w:rFonts w:ascii="Arial" w:eastAsia="Arial" w:hAnsi="Arial" w:cs="Arial"/>
                <w:color w:val="000000"/>
                <w:sz w:val="18"/>
                <w:szCs w:val="18"/>
              </w:rPr>
              <w:t xml:space="preserve"> </w:t>
            </w:r>
            <w:r w:rsidRPr="005311CD">
              <w:rPr>
                <w:rFonts w:ascii="Arial" w:eastAsia="Arial" w:hAnsi="Arial" w:cs="Arial"/>
                <w:color w:val="000000"/>
                <w:sz w:val="18"/>
                <w:szCs w:val="18"/>
              </w:rPr>
              <w:t xml:space="preserve">Houve também "uso de verbas em atividades que não beneficiavam diretamente as comunidades vulneráveis" e "diminuição de dotação de ações", o que demonstra que </w:t>
            </w:r>
            <w:r>
              <w:rPr>
                <w:rFonts w:ascii="Arial" w:eastAsia="Arial" w:hAnsi="Arial" w:cs="Arial"/>
                <w:color w:val="000000"/>
                <w:sz w:val="18"/>
                <w:szCs w:val="18"/>
              </w:rPr>
              <w:t xml:space="preserve">os objetivos centrais do Fundo </w:t>
            </w:r>
            <w:r w:rsidRPr="005311CD">
              <w:rPr>
                <w:rFonts w:ascii="Arial" w:eastAsia="Arial" w:hAnsi="Arial" w:cs="Arial"/>
                <w:color w:val="000000"/>
                <w:sz w:val="18"/>
                <w:szCs w:val="18"/>
              </w:rPr>
              <w:t>não estavam sendo alcançados de forma eficiente.</w:t>
            </w:r>
          </w:p>
          <w:p w14:paraId="579FABF2" w14:textId="77777777" w:rsidR="001C7E6F" w:rsidRDefault="001C7E6F" w:rsidP="00BD3046">
            <w:pPr>
              <w:spacing w:after="0" w:line="240" w:lineRule="auto"/>
              <w:rPr>
                <w:rFonts w:ascii="Arial" w:eastAsia="Arial" w:hAnsi="Arial" w:cs="Arial"/>
                <w:color w:val="000000"/>
                <w:sz w:val="18"/>
                <w:szCs w:val="18"/>
              </w:rPr>
            </w:pPr>
          </w:p>
          <w:p w14:paraId="23944393" w14:textId="77777777" w:rsidR="001C7E6F" w:rsidRDefault="001C7E6F" w:rsidP="00BD3046">
            <w:pPr>
              <w:spacing w:after="0" w:line="240" w:lineRule="auto"/>
              <w:rPr>
                <w:rFonts w:ascii="Arial" w:eastAsia="Arial" w:hAnsi="Arial" w:cs="Arial"/>
                <w:color w:val="000000"/>
                <w:sz w:val="18"/>
                <w:szCs w:val="18"/>
              </w:rPr>
            </w:pPr>
            <w:r w:rsidRPr="005311CD">
              <w:rPr>
                <w:rFonts w:ascii="Arial" w:eastAsia="Arial" w:hAnsi="Arial" w:cs="Arial"/>
                <w:color w:val="000000"/>
                <w:sz w:val="18"/>
                <w:szCs w:val="18"/>
              </w:rPr>
              <w:t>Diante disso, o TCE-SP recomendou ao Conselho de Orientação e Acompanhamento (COA) do FECOEP</w:t>
            </w:r>
            <w:r>
              <w:rPr>
                <w:rFonts w:ascii="Arial" w:eastAsia="Arial" w:hAnsi="Arial" w:cs="Arial"/>
                <w:color w:val="000000"/>
                <w:sz w:val="18"/>
                <w:szCs w:val="18"/>
              </w:rPr>
              <w:t>-SP</w:t>
            </w:r>
            <w:r w:rsidRPr="005311CD">
              <w:rPr>
                <w:rFonts w:ascii="Arial" w:eastAsia="Arial" w:hAnsi="Arial" w:cs="Arial"/>
                <w:color w:val="000000"/>
                <w:sz w:val="18"/>
                <w:szCs w:val="18"/>
              </w:rPr>
              <w:t xml:space="preserve"> que reavalie seu papel e utilize sua "formação transversal" para "se tornar um dos principais instrumentos do Estado para o combate à pobreza, atuando de forma estratégica e coordenada entre as secretarias, formulando políticas públicas". Isso reforça a necessidade de combater a concentração da aplicação, exigindo uma visão plural e intersecretarial.</w:t>
            </w:r>
          </w:p>
          <w:p w14:paraId="09F11E05" w14:textId="77777777" w:rsidR="001C7E6F" w:rsidRDefault="001C7E6F" w:rsidP="00BD3046">
            <w:pPr>
              <w:spacing w:after="0" w:line="240" w:lineRule="auto"/>
              <w:rPr>
                <w:rFonts w:ascii="Arial" w:eastAsia="Arial" w:hAnsi="Arial" w:cs="Arial"/>
                <w:color w:val="000000"/>
                <w:sz w:val="18"/>
                <w:szCs w:val="18"/>
              </w:rPr>
            </w:pPr>
          </w:p>
          <w:p w14:paraId="02196177" w14:textId="77777777" w:rsidR="001C7E6F" w:rsidRDefault="001C7E6F" w:rsidP="00BD3046">
            <w:pPr>
              <w:spacing w:after="0" w:line="240" w:lineRule="auto"/>
              <w:rPr>
                <w:rFonts w:ascii="Arial" w:eastAsia="Arial" w:hAnsi="Arial" w:cs="Arial"/>
                <w:color w:val="000000"/>
                <w:sz w:val="18"/>
                <w:szCs w:val="18"/>
              </w:rPr>
            </w:pPr>
            <w:r w:rsidRPr="005311CD">
              <w:rPr>
                <w:rFonts w:ascii="Arial" w:eastAsia="Arial" w:hAnsi="Arial" w:cs="Arial"/>
                <w:color w:val="000000"/>
                <w:sz w:val="18"/>
                <w:szCs w:val="18"/>
              </w:rPr>
              <w:t>O TCESP ainda recomendou que o COA "desenvolva critérios para seleção de programas e ações" e "destine os recursos da arrecadação adicional aos programas que apresentam maior efetividade no combate à pobreza"</w:t>
            </w:r>
            <w:r>
              <w:rPr>
                <w:rFonts w:ascii="Arial" w:eastAsia="Arial" w:hAnsi="Arial" w:cs="Arial"/>
                <w:color w:val="000000"/>
                <w:sz w:val="18"/>
                <w:szCs w:val="18"/>
              </w:rPr>
              <w:t>.</w:t>
            </w:r>
          </w:p>
          <w:p w14:paraId="22BCB5D3" w14:textId="77777777" w:rsidR="001C7E6F" w:rsidRDefault="001C7E6F" w:rsidP="00BD3046">
            <w:pPr>
              <w:spacing w:after="0" w:line="240" w:lineRule="auto"/>
              <w:rPr>
                <w:rFonts w:ascii="Arial" w:eastAsia="Arial" w:hAnsi="Arial" w:cs="Arial"/>
                <w:color w:val="000000"/>
                <w:sz w:val="18"/>
                <w:szCs w:val="18"/>
              </w:rPr>
            </w:pPr>
          </w:p>
        </w:tc>
      </w:tr>
      <w:tr w:rsidR="001C7E6F" w14:paraId="1A796334" w14:textId="77777777" w:rsidTr="00BD3046">
        <w:trPr>
          <w:trHeight w:val="435"/>
        </w:trPr>
        <w:tc>
          <w:tcPr>
            <w:tcW w:w="2263" w:type="dxa"/>
            <w:shd w:val="clear" w:color="auto" w:fill="auto"/>
            <w:vAlign w:val="center"/>
          </w:tcPr>
          <w:p w14:paraId="32BDCF2C"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1.7 Transparência da arrecadação</w:t>
            </w:r>
          </w:p>
        </w:tc>
        <w:tc>
          <w:tcPr>
            <w:tcW w:w="6798" w:type="dxa"/>
            <w:shd w:val="clear" w:color="auto" w:fill="auto"/>
            <w:vAlign w:val="center"/>
          </w:tcPr>
          <w:p w14:paraId="36C18D72" w14:textId="77777777" w:rsidR="001C7E6F" w:rsidRPr="00C9798D" w:rsidRDefault="001C7E6F" w:rsidP="00BD3046">
            <w:pPr>
              <w:spacing w:after="0" w:line="240" w:lineRule="auto"/>
              <w:rPr>
                <w:rFonts w:ascii="Arial" w:eastAsia="Arial" w:hAnsi="Arial" w:cs="Arial"/>
                <w:i/>
                <w:color w:val="000000"/>
                <w:sz w:val="18"/>
                <w:szCs w:val="18"/>
              </w:rPr>
            </w:pPr>
            <w:r>
              <w:rPr>
                <w:rFonts w:ascii="Arial" w:eastAsia="Arial" w:hAnsi="Arial" w:cs="Arial"/>
                <w:i/>
                <w:color w:val="000000"/>
                <w:sz w:val="18"/>
                <w:szCs w:val="18"/>
              </w:rPr>
              <w:t>Salvaguarda</w:t>
            </w:r>
            <w:r w:rsidRPr="00C9798D">
              <w:rPr>
                <w:rFonts w:ascii="Arial" w:eastAsia="Arial" w:hAnsi="Arial" w:cs="Arial"/>
                <w:i/>
                <w:sz w:val="18"/>
                <w:szCs w:val="18"/>
              </w:rPr>
              <w:t xml:space="preserve"> d</w:t>
            </w:r>
            <w:r>
              <w:rPr>
                <w:rFonts w:ascii="Arial" w:eastAsia="Arial" w:hAnsi="Arial" w:cs="Arial"/>
                <w:i/>
                <w:sz w:val="18"/>
                <w:szCs w:val="18"/>
              </w:rPr>
              <w:t>os critérios de</w:t>
            </w:r>
            <w:r w:rsidRPr="00C9798D">
              <w:rPr>
                <w:rFonts w:ascii="Arial" w:eastAsia="Arial" w:hAnsi="Arial" w:cs="Arial"/>
                <w:i/>
                <w:color w:val="000000"/>
                <w:sz w:val="18"/>
                <w:szCs w:val="18"/>
              </w:rPr>
              <w:t xml:space="preserve"> rastreabilidade e controle social sobre a receita (o que foi previsto, quanto entrou e quando). Existência de portal de transparência ou painel de arrecadação, com periodicidade de atualização definida (tempo real ou mensal).</w:t>
            </w:r>
          </w:p>
          <w:p w14:paraId="3A5C2CAD" w14:textId="77777777" w:rsidR="001C7E6F" w:rsidRDefault="001C7E6F" w:rsidP="00BD3046">
            <w:pPr>
              <w:spacing w:after="0" w:line="240" w:lineRule="auto"/>
              <w:rPr>
                <w:rFonts w:ascii="Arial" w:eastAsia="Arial" w:hAnsi="Arial" w:cs="Arial"/>
                <w:color w:val="000000"/>
                <w:sz w:val="18"/>
                <w:szCs w:val="18"/>
              </w:rPr>
            </w:pPr>
          </w:p>
          <w:p w14:paraId="7D2AAFA7"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 Lei Orçamentária Anual não detalha a previsão de todas as classificações da receita pública do FECOEP-SP.</w:t>
            </w:r>
          </w:p>
          <w:p w14:paraId="69A18C75" w14:textId="77777777" w:rsidR="001C7E6F" w:rsidRDefault="001C7E6F" w:rsidP="00BD3046">
            <w:pPr>
              <w:spacing w:after="0" w:line="240" w:lineRule="auto"/>
              <w:rPr>
                <w:rFonts w:ascii="Arial" w:eastAsia="Arial" w:hAnsi="Arial" w:cs="Arial"/>
                <w:color w:val="000000"/>
                <w:sz w:val="18"/>
                <w:szCs w:val="18"/>
              </w:rPr>
            </w:pPr>
          </w:p>
          <w:p w14:paraId="759648D4"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As informações de arrecadação regular da receita do FECOEP-SP foram extraídas dos Relatórios </w:t>
            </w:r>
            <w:r w:rsidRPr="005311CD">
              <w:rPr>
                <w:rFonts w:ascii="Arial" w:eastAsia="Arial" w:hAnsi="Arial" w:cs="Arial"/>
                <w:color w:val="000000"/>
                <w:sz w:val="18"/>
                <w:szCs w:val="18"/>
              </w:rPr>
              <w:t>da Receita Tr</w:t>
            </w:r>
            <w:r>
              <w:rPr>
                <w:rFonts w:ascii="Arial" w:eastAsia="Arial" w:hAnsi="Arial" w:cs="Arial"/>
                <w:color w:val="000000"/>
                <w:sz w:val="18"/>
                <w:szCs w:val="18"/>
              </w:rPr>
              <w:t>ibutária do Estado de São Paulo.</w:t>
            </w:r>
          </w:p>
          <w:p w14:paraId="2174F58A" w14:textId="77777777" w:rsidR="001C7E6F" w:rsidRDefault="001C7E6F" w:rsidP="00BD3046">
            <w:pPr>
              <w:spacing w:after="0" w:line="240" w:lineRule="auto"/>
              <w:rPr>
                <w:rFonts w:ascii="Arial" w:eastAsia="Arial" w:hAnsi="Arial" w:cs="Arial"/>
                <w:color w:val="000000"/>
                <w:sz w:val="18"/>
                <w:szCs w:val="18"/>
              </w:rPr>
            </w:pPr>
          </w:p>
          <w:p w14:paraId="1EFC60D0" w14:textId="77777777" w:rsidR="001C7E6F" w:rsidRDefault="001C7E6F" w:rsidP="00BD3046">
            <w:pPr>
              <w:spacing w:after="0" w:line="240" w:lineRule="auto"/>
              <w:rPr>
                <w:rFonts w:ascii="Arial" w:eastAsia="Arial" w:hAnsi="Arial" w:cs="Arial"/>
                <w:color w:val="000000"/>
                <w:sz w:val="18"/>
                <w:szCs w:val="18"/>
              </w:rPr>
            </w:pPr>
            <w:r w:rsidRPr="005311CD">
              <w:rPr>
                <w:rFonts w:ascii="Arial" w:eastAsia="Arial" w:hAnsi="Arial" w:cs="Arial"/>
                <w:color w:val="000000"/>
                <w:sz w:val="18"/>
                <w:szCs w:val="18"/>
              </w:rPr>
              <w:t>O Estado de São Paulo utiliza diferentes instrumentos e canais para promover a tr</w:t>
            </w:r>
            <w:r>
              <w:rPr>
                <w:rFonts w:ascii="Arial" w:eastAsia="Arial" w:hAnsi="Arial" w:cs="Arial"/>
                <w:color w:val="000000"/>
                <w:sz w:val="18"/>
                <w:szCs w:val="18"/>
              </w:rPr>
              <w:t>ansparência e o controle social, mas não foi localizado um Portal de Transparência com informações específicas do FECOEP-SP e das deliberações e ações do COA.</w:t>
            </w:r>
          </w:p>
          <w:p w14:paraId="531ACF72" w14:textId="77777777" w:rsidR="001C7E6F" w:rsidRDefault="001C7E6F" w:rsidP="00BD3046">
            <w:pPr>
              <w:spacing w:after="0" w:line="240" w:lineRule="auto"/>
              <w:rPr>
                <w:rFonts w:ascii="Arial" w:eastAsia="Arial" w:hAnsi="Arial" w:cs="Arial"/>
                <w:color w:val="000000"/>
                <w:sz w:val="18"/>
                <w:szCs w:val="18"/>
              </w:rPr>
            </w:pPr>
          </w:p>
          <w:p w14:paraId="469537FB"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O endereço </w:t>
            </w:r>
            <w:hyperlink r:id="rId15" w:history="1">
              <w:r w:rsidRPr="008C7148">
                <w:rPr>
                  <w:rStyle w:val="Hyperlink"/>
                  <w:rFonts w:ascii="Arial" w:eastAsia="Arial" w:hAnsi="Arial" w:cs="Arial"/>
                  <w:sz w:val="18"/>
                  <w:szCs w:val="18"/>
                </w:rPr>
                <w:t>http://www.fazenda.sp.gov.br/fecoep/</w:t>
              </w:r>
            </w:hyperlink>
            <w:r>
              <w:rPr>
                <w:rFonts w:ascii="Arial" w:eastAsia="Arial" w:hAnsi="Arial" w:cs="Arial"/>
                <w:color w:val="000000"/>
                <w:sz w:val="18"/>
                <w:szCs w:val="18"/>
              </w:rPr>
              <w:t xml:space="preserve"> encontra-se fora do ar, apresentando o erro “404 – </w:t>
            </w:r>
            <w:r w:rsidRPr="000E0943">
              <w:rPr>
                <w:rFonts w:ascii="Arial" w:eastAsia="Arial" w:hAnsi="Arial" w:cs="Arial"/>
                <w:i/>
                <w:color w:val="000000"/>
                <w:sz w:val="18"/>
                <w:szCs w:val="18"/>
              </w:rPr>
              <w:t>file or diretory not found</w:t>
            </w:r>
            <w:r>
              <w:rPr>
                <w:rFonts w:ascii="Arial" w:eastAsia="Arial" w:hAnsi="Arial" w:cs="Arial"/>
                <w:i/>
                <w:color w:val="000000"/>
                <w:sz w:val="18"/>
                <w:szCs w:val="18"/>
              </w:rPr>
              <w:t>”</w:t>
            </w:r>
            <w:r>
              <w:rPr>
                <w:rFonts w:ascii="Arial" w:eastAsia="Arial" w:hAnsi="Arial" w:cs="Arial"/>
                <w:color w:val="000000"/>
                <w:sz w:val="18"/>
                <w:szCs w:val="18"/>
              </w:rPr>
              <w:t>, em 10/09/2025.</w:t>
            </w:r>
          </w:p>
          <w:p w14:paraId="659183C7" w14:textId="77777777" w:rsidR="001C7E6F" w:rsidRDefault="001C7E6F" w:rsidP="00BD3046">
            <w:pPr>
              <w:spacing w:after="0" w:line="240" w:lineRule="auto"/>
              <w:rPr>
                <w:rFonts w:ascii="Arial" w:eastAsia="Arial" w:hAnsi="Arial" w:cs="Arial"/>
                <w:color w:val="000000"/>
                <w:sz w:val="18"/>
                <w:szCs w:val="18"/>
              </w:rPr>
            </w:pPr>
          </w:p>
        </w:tc>
      </w:tr>
      <w:tr w:rsidR="001C7E6F" w14:paraId="43B165C6" w14:textId="77777777" w:rsidTr="00BD3046">
        <w:trPr>
          <w:trHeight w:val="397"/>
        </w:trPr>
        <w:tc>
          <w:tcPr>
            <w:tcW w:w="9061" w:type="dxa"/>
            <w:gridSpan w:val="2"/>
            <w:shd w:val="clear" w:color="auto" w:fill="auto"/>
            <w:vAlign w:val="center"/>
          </w:tcPr>
          <w:p w14:paraId="3DDF89AC" w14:textId="77777777" w:rsidR="001C7E6F" w:rsidRDefault="001C7E6F" w:rsidP="00BD3046">
            <w:pP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Eixo 2 – Planejamento Orçamentário</w:t>
            </w:r>
          </w:p>
        </w:tc>
      </w:tr>
      <w:tr w:rsidR="001C7E6F" w14:paraId="1514DE48" w14:textId="77777777" w:rsidTr="00BD3046">
        <w:trPr>
          <w:trHeight w:val="20"/>
        </w:trPr>
        <w:tc>
          <w:tcPr>
            <w:tcW w:w="2263" w:type="dxa"/>
            <w:shd w:val="clear" w:color="auto" w:fill="auto"/>
            <w:vAlign w:val="center"/>
          </w:tcPr>
          <w:p w14:paraId="079A320D"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2.1 Destinação legal</w:t>
            </w:r>
          </w:p>
        </w:tc>
        <w:tc>
          <w:tcPr>
            <w:tcW w:w="6798" w:type="dxa"/>
            <w:shd w:val="clear" w:color="auto" w:fill="auto"/>
            <w:vAlign w:val="center"/>
          </w:tcPr>
          <w:p w14:paraId="417EDD63" w14:textId="77777777" w:rsidR="001C7E6F" w:rsidRPr="000E0943" w:rsidRDefault="001C7E6F" w:rsidP="00BD3046">
            <w:pPr>
              <w:spacing w:after="0" w:line="240" w:lineRule="auto"/>
              <w:rPr>
                <w:rFonts w:ascii="Arial" w:eastAsia="Arial" w:hAnsi="Arial" w:cs="Arial"/>
                <w:i/>
                <w:color w:val="000000"/>
                <w:sz w:val="18"/>
                <w:szCs w:val="18"/>
              </w:rPr>
            </w:pPr>
            <w:r w:rsidRPr="000E0943">
              <w:rPr>
                <w:rFonts w:ascii="Arial" w:eastAsia="Arial" w:hAnsi="Arial" w:cs="Arial"/>
                <w:i/>
                <w:color w:val="000000"/>
                <w:sz w:val="18"/>
                <w:szCs w:val="18"/>
              </w:rPr>
              <w:t>Vinculação expressa dos recursos a políticas de combate à pobreza.</w:t>
            </w:r>
          </w:p>
          <w:p w14:paraId="3AFFEF70" w14:textId="77777777" w:rsidR="001C7E6F" w:rsidRDefault="001C7E6F" w:rsidP="00BD3046">
            <w:pPr>
              <w:spacing w:after="0" w:line="240" w:lineRule="auto"/>
              <w:rPr>
                <w:rFonts w:ascii="Arial" w:eastAsia="Arial" w:hAnsi="Arial" w:cs="Arial"/>
                <w:color w:val="000000"/>
                <w:sz w:val="18"/>
                <w:szCs w:val="18"/>
              </w:rPr>
            </w:pPr>
          </w:p>
          <w:p w14:paraId="079178AD" w14:textId="77777777" w:rsidR="001C7E6F" w:rsidRDefault="001C7E6F" w:rsidP="00BD3046">
            <w:pPr>
              <w:spacing w:after="0" w:line="240" w:lineRule="auto"/>
              <w:rPr>
                <w:rFonts w:ascii="Arial" w:eastAsia="Arial" w:hAnsi="Arial" w:cs="Arial"/>
                <w:color w:val="000000"/>
                <w:sz w:val="18"/>
                <w:szCs w:val="18"/>
              </w:rPr>
            </w:pPr>
            <w:r w:rsidRPr="000E0943">
              <w:rPr>
                <w:rFonts w:ascii="Arial" w:eastAsia="Arial" w:hAnsi="Arial" w:cs="Arial"/>
                <w:color w:val="000000"/>
                <w:sz w:val="18"/>
                <w:szCs w:val="18"/>
              </w:rPr>
              <w:t>O § 1º do Artigo 1º da Lei n.º 16.006/2015 estabelece que os recursos do FECOEP devem ser aplicados única e exclusivamente em programas e ações de nutrição, habitação, educação, saúde e outras ações de relevante interesse social, dirigidas para melhoria da qualidade de vida, incluindo ações de proteção à criança e ao adolescente e ações de incentivo à agricultura familiar</w:t>
            </w:r>
            <w:r>
              <w:rPr>
                <w:rFonts w:ascii="Arial" w:eastAsia="Arial" w:hAnsi="Arial" w:cs="Arial"/>
                <w:color w:val="000000"/>
                <w:sz w:val="18"/>
                <w:szCs w:val="18"/>
              </w:rPr>
              <w:t>.</w:t>
            </w:r>
          </w:p>
          <w:p w14:paraId="72CF4848" w14:textId="77777777" w:rsidR="001C7E6F" w:rsidRDefault="001C7E6F" w:rsidP="00BD3046">
            <w:pPr>
              <w:spacing w:after="0" w:line="240" w:lineRule="auto"/>
              <w:rPr>
                <w:rFonts w:ascii="Arial" w:eastAsia="Arial" w:hAnsi="Arial" w:cs="Arial"/>
                <w:color w:val="000000"/>
                <w:sz w:val="18"/>
                <w:szCs w:val="18"/>
              </w:rPr>
            </w:pPr>
          </w:p>
        </w:tc>
      </w:tr>
      <w:tr w:rsidR="001C7E6F" w14:paraId="31C431DC" w14:textId="77777777" w:rsidTr="00BD3046">
        <w:trPr>
          <w:trHeight w:val="20"/>
        </w:trPr>
        <w:tc>
          <w:tcPr>
            <w:tcW w:w="2263" w:type="dxa"/>
            <w:shd w:val="clear" w:color="auto" w:fill="auto"/>
            <w:vAlign w:val="center"/>
          </w:tcPr>
          <w:p w14:paraId="5CA027D4"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2.2 Instrumentos de planejamento</w:t>
            </w:r>
          </w:p>
        </w:tc>
        <w:tc>
          <w:tcPr>
            <w:tcW w:w="6798" w:type="dxa"/>
            <w:shd w:val="clear" w:color="auto" w:fill="auto"/>
            <w:vAlign w:val="center"/>
          </w:tcPr>
          <w:p w14:paraId="0724C849" w14:textId="77777777" w:rsidR="001C7E6F" w:rsidRPr="00105D48" w:rsidRDefault="001C7E6F" w:rsidP="00BD3046">
            <w:pPr>
              <w:spacing w:after="0" w:line="240" w:lineRule="auto"/>
              <w:rPr>
                <w:rFonts w:ascii="Arial" w:eastAsia="Arial" w:hAnsi="Arial" w:cs="Arial"/>
                <w:i/>
                <w:color w:val="000000"/>
                <w:sz w:val="18"/>
                <w:szCs w:val="18"/>
              </w:rPr>
            </w:pPr>
            <w:r w:rsidRPr="00105D48">
              <w:rPr>
                <w:rFonts w:ascii="Arial" w:eastAsia="Arial" w:hAnsi="Arial" w:cs="Arial"/>
                <w:i/>
                <w:color w:val="000000"/>
                <w:sz w:val="18"/>
                <w:szCs w:val="18"/>
              </w:rPr>
              <w:t>Obrigatoriedade e existência de Plano de Ação (PA) e Plano de Aplicação Financeira (PAF), aprovados pelo Conselho Gestor, além da adequação e compatibilidade da LOA com o PPA e a LDO.</w:t>
            </w:r>
          </w:p>
          <w:p w14:paraId="29244AF3" w14:textId="77777777" w:rsidR="001C7E6F" w:rsidRDefault="001C7E6F" w:rsidP="00BD3046">
            <w:pPr>
              <w:spacing w:after="0" w:line="240" w:lineRule="auto"/>
              <w:rPr>
                <w:rFonts w:ascii="Arial" w:eastAsia="Arial" w:hAnsi="Arial" w:cs="Arial"/>
                <w:color w:val="000000"/>
                <w:sz w:val="18"/>
                <w:szCs w:val="18"/>
              </w:rPr>
            </w:pPr>
          </w:p>
          <w:p w14:paraId="705C091E" w14:textId="77777777" w:rsidR="001C7E6F" w:rsidRDefault="001C7E6F" w:rsidP="00BD3046">
            <w:pPr>
              <w:spacing w:after="0" w:line="240" w:lineRule="auto"/>
              <w:rPr>
                <w:rFonts w:ascii="Arial" w:eastAsia="Arial" w:hAnsi="Arial" w:cs="Arial"/>
                <w:color w:val="000000"/>
                <w:sz w:val="18"/>
                <w:szCs w:val="18"/>
              </w:rPr>
            </w:pPr>
            <w:r w:rsidRPr="00CF50DF">
              <w:rPr>
                <w:rFonts w:ascii="Arial" w:eastAsia="Arial" w:hAnsi="Arial" w:cs="Arial"/>
                <w:color w:val="000000"/>
                <w:sz w:val="18"/>
                <w:szCs w:val="18"/>
              </w:rPr>
              <w:t>Artigo 4º -</w:t>
            </w:r>
            <w:r>
              <w:rPr>
                <w:rFonts w:ascii="Arial" w:eastAsia="Arial" w:hAnsi="Arial" w:cs="Arial"/>
                <w:color w:val="000000"/>
                <w:sz w:val="18"/>
                <w:szCs w:val="18"/>
              </w:rPr>
              <w:t xml:space="preserve"> </w:t>
            </w:r>
            <w:r w:rsidRPr="00CF50DF">
              <w:rPr>
                <w:rFonts w:ascii="Arial" w:eastAsia="Arial" w:hAnsi="Arial" w:cs="Arial"/>
                <w:color w:val="000000"/>
                <w:sz w:val="18"/>
                <w:szCs w:val="18"/>
              </w:rPr>
              <w:t>Com o propósito de atingir o objetivo estabelecido pelo artigo 1º da Lei nº</w:t>
            </w:r>
            <w:r>
              <w:rPr>
                <w:rFonts w:ascii="Arial" w:eastAsia="Arial" w:hAnsi="Arial" w:cs="Arial"/>
                <w:color w:val="000000"/>
                <w:sz w:val="18"/>
                <w:szCs w:val="18"/>
              </w:rPr>
              <w:t xml:space="preserve"> </w:t>
            </w:r>
            <w:r w:rsidRPr="00CF50DF">
              <w:rPr>
                <w:rFonts w:ascii="Arial" w:eastAsia="Arial" w:hAnsi="Arial" w:cs="Arial"/>
                <w:color w:val="000000"/>
                <w:sz w:val="18"/>
                <w:szCs w:val="18"/>
              </w:rPr>
              <w:t>16.006, de 24 de novembro de 2015, os</w:t>
            </w:r>
            <w:r>
              <w:rPr>
                <w:rFonts w:ascii="Arial" w:eastAsia="Arial" w:hAnsi="Arial" w:cs="Arial"/>
                <w:color w:val="000000"/>
                <w:sz w:val="18"/>
                <w:szCs w:val="18"/>
              </w:rPr>
              <w:t xml:space="preserve"> </w:t>
            </w:r>
            <w:r w:rsidRPr="00CF50DF">
              <w:rPr>
                <w:rFonts w:ascii="Arial" w:eastAsia="Arial" w:hAnsi="Arial" w:cs="Arial"/>
                <w:color w:val="000000"/>
                <w:sz w:val="18"/>
                <w:szCs w:val="18"/>
              </w:rPr>
              <w:t>recursos do FECOEP poderão ser destinados aos órgãos estaduais da Administração Direta e Indireta, mediante a descentralização</w:t>
            </w:r>
            <w:r>
              <w:rPr>
                <w:rFonts w:ascii="Arial" w:eastAsia="Arial" w:hAnsi="Arial" w:cs="Arial"/>
                <w:color w:val="000000"/>
                <w:sz w:val="18"/>
                <w:szCs w:val="18"/>
              </w:rPr>
              <w:t xml:space="preserve"> </w:t>
            </w:r>
            <w:r w:rsidRPr="00CF50DF">
              <w:rPr>
                <w:rFonts w:ascii="Arial" w:eastAsia="Arial" w:hAnsi="Arial" w:cs="Arial"/>
                <w:color w:val="000000"/>
                <w:sz w:val="18"/>
                <w:szCs w:val="18"/>
              </w:rPr>
              <w:t>da execução dos programas e ações previamente selecionados pelo seu Conselho de Orientação e Acompanhamento, nos termos do</w:t>
            </w:r>
            <w:r>
              <w:rPr>
                <w:rFonts w:ascii="Arial" w:eastAsia="Arial" w:hAnsi="Arial" w:cs="Arial"/>
                <w:color w:val="000000"/>
                <w:sz w:val="18"/>
                <w:szCs w:val="18"/>
              </w:rPr>
              <w:t xml:space="preserve"> </w:t>
            </w:r>
            <w:r w:rsidRPr="00CF50DF">
              <w:rPr>
                <w:rFonts w:ascii="Arial" w:eastAsia="Arial" w:hAnsi="Arial" w:cs="Arial"/>
                <w:color w:val="000000"/>
                <w:sz w:val="18"/>
                <w:szCs w:val="18"/>
              </w:rPr>
              <w:t>disposto no inciso II do artigo 8º deste decreto</w:t>
            </w:r>
            <w:r>
              <w:rPr>
                <w:rFonts w:ascii="Arial" w:eastAsia="Arial" w:hAnsi="Arial" w:cs="Arial"/>
                <w:color w:val="000000"/>
                <w:sz w:val="18"/>
                <w:szCs w:val="18"/>
              </w:rPr>
              <w:t xml:space="preserve"> (Decreto n° </w:t>
            </w:r>
            <w:r w:rsidRPr="00105D48">
              <w:rPr>
                <w:rFonts w:ascii="Arial" w:eastAsia="Arial" w:hAnsi="Arial" w:cs="Arial"/>
                <w:color w:val="000000"/>
                <w:sz w:val="18"/>
                <w:szCs w:val="18"/>
              </w:rPr>
              <w:t>62.242</w:t>
            </w:r>
            <w:r>
              <w:rPr>
                <w:rFonts w:ascii="Arial" w:eastAsia="Arial" w:hAnsi="Arial" w:cs="Arial"/>
                <w:color w:val="000000"/>
                <w:sz w:val="18"/>
                <w:szCs w:val="18"/>
              </w:rPr>
              <w:t>/2016).</w:t>
            </w:r>
          </w:p>
          <w:p w14:paraId="15D6B09F" w14:textId="77777777" w:rsidR="001C7E6F" w:rsidRPr="00CF50DF" w:rsidRDefault="001C7E6F" w:rsidP="00BD3046">
            <w:pPr>
              <w:spacing w:after="0" w:line="240" w:lineRule="auto"/>
              <w:rPr>
                <w:rFonts w:ascii="Arial" w:eastAsia="Arial" w:hAnsi="Arial" w:cs="Arial"/>
                <w:color w:val="000000"/>
                <w:sz w:val="18"/>
                <w:szCs w:val="18"/>
              </w:rPr>
            </w:pPr>
          </w:p>
          <w:p w14:paraId="68428CD1" w14:textId="77777777" w:rsidR="001C7E6F" w:rsidRDefault="001C7E6F" w:rsidP="00BD3046">
            <w:pPr>
              <w:spacing w:after="0" w:line="240" w:lineRule="auto"/>
              <w:rPr>
                <w:rFonts w:ascii="Arial" w:eastAsia="Arial" w:hAnsi="Arial" w:cs="Arial"/>
                <w:color w:val="000000"/>
                <w:sz w:val="18"/>
                <w:szCs w:val="18"/>
              </w:rPr>
            </w:pPr>
            <w:r w:rsidRPr="00CF50DF">
              <w:rPr>
                <w:rFonts w:ascii="Arial" w:eastAsia="Arial" w:hAnsi="Arial" w:cs="Arial"/>
                <w:color w:val="000000"/>
                <w:sz w:val="18"/>
                <w:szCs w:val="18"/>
              </w:rPr>
              <w:t>Artigo 5º -</w:t>
            </w:r>
            <w:r>
              <w:rPr>
                <w:rFonts w:ascii="Arial" w:eastAsia="Arial" w:hAnsi="Arial" w:cs="Arial"/>
                <w:color w:val="000000"/>
                <w:sz w:val="18"/>
                <w:szCs w:val="18"/>
              </w:rPr>
              <w:t xml:space="preserve"> </w:t>
            </w:r>
            <w:r w:rsidRPr="00CF50DF">
              <w:rPr>
                <w:rFonts w:ascii="Arial" w:eastAsia="Arial" w:hAnsi="Arial" w:cs="Arial"/>
                <w:color w:val="000000"/>
                <w:sz w:val="18"/>
                <w:szCs w:val="18"/>
              </w:rPr>
              <w:t>As despesas financiadas com recursos do FECOEP serão identificadas na forma estabelecida pela Lei de Diretrizes</w:t>
            </w:r>
            <w:r>
              <w:rPr>
                <w:rFonts w:ascii="Arial" w:eastAsia="Arial" w:hAnsi="Arial" w:cs="Arial"/>
                <w:color w:val="000000"/>
                <w:sz w:val="18"/>
                <w:szCs w:val="18"/>
              </w:rPr>
              <w:t xml:space="preserve"> Orçamentárias (Decreto n° </w:t>
            </w:r>
            <w:r w:rsidRPr="00105D48">
              <w:rPr>
                <w:rFonts w:ascii="Arial" w:eastAsia="Arial" w:hAnsi="Arial" w:cs="Arial"/>
                <w:color w:val="000000"/>
                <w:sz w:val="18"/>
                <w:szCs w:val="18"/>
              </w:rPr>
              <w:t>62.242</w:t>
            </w:r>
            <w:r>
              <w:rPr>
                <w:rFonts w:ascii="Arial" w:eastAsia="Arial" w:hAnsi="Arial" w:cs="Arial"/>
                <w:color w:val="000000"/>
                <w:sz w:val="18"/>
                <w:szCs w:val="18"/>
              </w:rPr>
              <w:t>/2016).</w:t>
            </w:r>
          </w:p>
          <w:p w14:paraId="5C210B96" w14:textId="77777777" w:rsidR="001C7E6F" w:rsidRDefault="001C7E6F" w:rsidP="00BD3046">
            <w:pPr>
              <w:spacing w:after="0" w:line="240" w:lineRule="auto"/>
              <w:rPr>
                <w:rFonts w:ascii="Arial" w:eastAsia="Arial" w:hAnsi="Arial" w:cs="Arial"/>
                <w:color w:val="000000"/>
                <w:sz w:val="18"/>
                <w:szCs w:val="18"/>
              </w:rPr>
            </w:pPr>
          </w:p>
          <w:p w14:paraId="7AC65547"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Foram avaliados os seguintes instrumentos orçamentários:</w:t>
            </w:r>
            <w:r>
              <w:rPr>
                <w:rFonts w:ascii="Arial" w:eastAsia="Arial" w:hAnsi="Arial" w:cs="Arial"/>
                <w:color w:val="000000"/>
                <w:sz w:val="18"/>
                <w:szCs w:val="18"/>
              </w:rPr>
              <w:br/>
            </w:r>
            <w:r w:rsidRPr="00105D48">
              <w:rPr>
                <w:rFonts w:ascii="Arial" w:eastAsia="Arial" w:hAnsi="Arial" w:cs="Arial"/>
                <w:color w:val="000000"/>
                <w:sz w:val="18"/>
                <w:szCs w:val="18"/>
              </w:rPr>
              <w:t>PPA</w:t>
            </w:r>
            <w:r>
              <w:rPr>
                <w:rFonts w:ascii="Arial" w:eastAsia="Arial" w:hAnsi="Arial" w:cs="Arial"/>
                <w:color w:val="000000"/>
                <w:sz w:val="18"/>
                <w:szCs w:val="18"/>
              </w:rPr>
              <w:t xml:space="preserve"> (2024-2027) -</w:t>
            </w:r>
            <w:r w:rsidRPr="00105D48">
              <w:rPr>
                <w:rFonts w:ascii="Arial" w:eastAsia="Arial" w:hAnsi="Arial" w:cs="Arial"/>
                <w:color w:val="000000"/>
                <w:sz w:val="18"/>
                <w:szCs w:val="18"/>
              </w:rPr>
              <w:t xml:space="preserve"> Lei n.º 17.898, de 09 de abril de 2024</w:t>
            </w:r>
            <w:r>
              <w:rPr>
                <w:rFonts w:ascii="Arial" w:eastAsia="Arial" w:hAnsi="Arial" w:cs="Arial"/>
                <w:color w:val="000000"/>
                <w:sz w:val="18"/>
                <w:szCs w:val="18"/>
              </w:rPr>
              <w:t>.</w:t>
            </w:r>
          </w:p>
          <w:p w14:paraId="25C27231"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LDO 2023: </w:t>
            </w:r>
            <w:r w:rsidRPr="00105D48">
              <w:rPr>
                <w:rFonts w:ascii="Arial" w:eastAsia="Arial" w:hAnsi="Arial" w:cs="Arial"/>
                <w:color w:val="000000"/>
                <w:sz w:val="18"/>
                <w:szCs w:val="18"/>
              </w:rPr>
              <w:t xml:space="preserve">Lei n.º </w:t>
            </w:r>
            <w:r>
              <w:rPr>
                <w:rFonts w:ascii="Arial" w:eastAsia="Arial" w:hAnsi="Arial" w:cs="Arial"/>
                <w:color w:val="000000"/>
                <w:sz w:val="18"/>
                <w:szCs w:val="18"/>
              </w:rPr>
              <w:t>17.555</w:t>
            </w:r>
            <w:r w:rsidRPr="00105D48">
              <w:rPr>
                <w:rFonts w:ascii="Arial" w:eastAsia="Arial" w:hAnsi="Arial" w:cs="Arial"/>
                <w:color w:val="000000"/>
                <w:sz w:val="18"/>
                <w:szCs w:val="18"/>
              </w:rPr>
              <w:t xml:space="preserve">, de </w:t>
            </w:r>
            <w:r>
              <w:rPr>
                <w:rFonts w:ascii="Arial" w:eastAsia="Arial" w:hAnsi="Arial" w:cs="Arial"/>
                <w:color w:val="000000"/>
                <w:sz w:val="18"/>
                <w:szCs w:val="18"/>
              </w:rPr>
              <w:t>20</w:t>
            </w:r>
            <w:r w:rsidRPr="00105D48">
              <w:rPr>
                <w:rFonts w:ascii="Arial" w:eastAsia="Arial" w:hAnsi="Arial" w:cs="Arial"/>
                <w:color w:val="000000"/>
                <w:sz w:val="18"/>
                <w:szCs w:val="18"/>
              </w:rPr>
              <w:t xml:space="preserve"> de </w:t>
            </w:r>
            <w:r>
              <w:rPr>
                <w:rFonts w:ascii="Arial" w:eastAsia="Arial" w:hAnsi="Arial" w:cs="Arial"/>
                <w:color w:val="000000"/>
                <w:sz w:val="18"/>
                <w:szCs w:val="18"/>
              </w:rPr>
              <w:t>julho de 2022.</w:t>
            </w:r>
          </w:p>
          <w:p w14:paraId="2FA37CC5"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LDO 2024: </w:t>
            </w:r>
            <w:r w:rsidRPr="00105D48">
              <w:rPr>
                <w:rFonts w:ascii="Arial" w:eastAsia="Arial" w:hAnsi="Arial" w:cs="Arial"/>
                <w:color w:val="000000"/>
                <w:sz w:val="18"/>
                <w:szCs w:val="18"/>
              </w:rPr>
              <w:t xml:space="preserve">Lei n.º </w:t>
            </w:r>
            <w:r>
              <w:rPr>
                <w:rFonts w:ascii="Arial" w:eastAsia="Arial" w:hAnsi="Arial" w:cs="Arial"/>
                <w:color w:val="000000"/>
                <w:sz w:val="18"/>
                <w:szCs w:val="18"/>
              </w:rPr>
              <w:t>17.725</w:t>
            </w:r>
            <w:r w:rsidRPr="00105D48">
              <w:rPr>
                <w:rFonts w:ascii="Arial" w:eastAsia="Arial" w:hAnsi="Arial" w:cs="Arial"/>
                <w:color w:val="000000"/>
                <w:sz w:val="18"/>
                <w:szCs w:val="18"/>
              </w:rPr>
              <w:t xml:space="preserve">, de </w:t>
            </w:r>
            <w:r>
              <w:rPr>
                <w:rFonts w:ascii="Arial" w:eastAsia="Arial" w:hAnsi="Arial" w:cs="Arial"/>
                <w:color w:val="000000"/>
                <w:sz w:val="18"/>
                <w:szCs w:val="18"/>
              </w:rPr>
              <w:t>19</w:t>
            </w:r>
            <w:r w:rsidRPr="00105D48">
              <w:rPr>
                <w:rFonts w:ascii="Arial" w:eastAsia="Arial" w:hAnsi="Arial" w:cs="Arial"/>
                <w:color w:val="000000"/>
                <w:sz w:val="18"/>
                <w:szCs w:val="18"/>
              </w:rPr>
              <w:t xml:space="preserve"> de </w:t>
            </w:r>
            <w:r>
              <w:rPr>
                <w:rFonts w:ascii="Arial" w:eastAsia="Arial" w:hAnsi="Arial" w:cs="Arial"/>
                <w:color w:val="000000"/>
                <w:sz w:val="18"/>
                <w:szCs w:val="18"/>
              </w:rPr>
              <w:t>julho de 2023.</w:t>
            </w:r>
          </w:p>
          <w:p w14:paraId="2DF66989"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LDO 2025: </w:t>
            </w:r>
            <w:r w:rsidRPr="00105D48">
              <w:rPr>
                <w:rFonts w:ascii="Arial" w:eastAsia="Arial" w:hAnsi="Arial" w:cs="Arial"/>
                <w:color w:val="000000"/>
                <w:sz w:val="18"/>
                <w:szCs w:val="18"/>
              </w:rPr>
              <w:t xml:space="preserve">Lei n.º </w:t>
            </w:r>
            <w:r>
              <w:rPr>
                <w:rFonts w:ascii="Arial" w:eastAsia="Arial" w:hAnsi="Arial" w:cs="Arial"/>
                <w:color w:val="000000"/>
                <w:sz w:val="18"/>
                <w:szCs w:val="18"/>
              </w:rPr>
              <w:t>17.990</w:t>
            </w:r>
            <w:r w:rsidRPr="00105D48">
              <w:rPr>
                <w:rFonts w:ascii="Arial" w:eastAsia="Arial" w:hAnsi="Arial" w:cs="Arial"/>
                <w:color w:val="000000"/>
                <w:sz w:val="18"/>
                <w:szCs w:val="18"/>
              </w:rPr>
              <w:t>, de 2</w:t>
            </w:r>
            <w:r>
              <w:rPr>
                <w:rFonts w:ascii="Arial" w:eastAsia="Arial" w:hAnsi="Arial" w:cs="Arial"/>
                <w:color w:val="000000"/>
                <w:sz w:val="18"/>
                <w:szCs w:val="18"/>
              </w:rPr>
              <w:t>3</w:t>
            </w:r>
            <w:r w:rsidRPr="00105D48">
              <w:rPr>
                <w:rFonts w:ascii="Arial" w:eastAsia="Arial" w:hAnsi="Arial" w:cs="Arial"/>
                <w:color w:val="000000"/>
                <w:sz w:val="18"/>
                <w:szCs w:val="18"/>
              </w:rPr>
              <w:t xml:space="preserve"> de </w:t>
            </w:r>
            <w:r>
              <w:rPr>
                <w:rFonts w:ascii="Arial" w:eastAsia="Arial" w:hAnsi="Arial" w:cs="Arial"/>
                <w:color w:val="000000"/>
                <w:sz w:val="18"/>
                <w:szCs w:val="18"/>
              </w:rPr>
              <w:t>julho de 2024.</w:t>
            </w:r>
          </w:p>
          <w:p w14:paraId="613B69AF" w14:textId="77777777" w:rsidR="001C7E6F" w:rsidRDefault="001C7E6F" w:rsidP="00BD3046">
            <w:pPr>
              <w:spacing w:after="0" w:line="240" w:lineRule="auto"/>
              <w:rPr>
                <w:rFonts w:ascii="Arial" w:eastAsia="Arial" w:hAnsi="Arial" w:cs="Arial"/>
                <w:color w:val="000000"/>
                <w:sz w:val="18"/>
                <w:szCs w:val="18"/>
              </w:rPr>
            </w:pPr>
            <w:r w:rsidRPr="00105D48">
              <w:rPr>
                <w:rFonts w:ascii="Arial" w:eastAsia="Arial" w:hAnsi="Arial" w:cs="Arial"/>
                <w:color w:val="000000"/>
                <w:sz w:val="18"/>
                <w:szCs w:val="18"/>
              </w:rPr>
              <w:t>LOA 2023: Lei n.º 17.614, de 26 de dezembro de 2022.</w:t>
            </w:r>
          </w:p>
          <w:p w14:paraId="3F525244" w14:textId="77777777" w:rsidR="001C7E6F" w:rsidRDefault="001C7E6F" w:rsidP="00BD3046">
            <w:pPr>
              <w:spacing w:after="0" w:line="240" w:lineRule="auto"/>
              <w:rPr>
                <w:rFonts w:ascii="Arial" w:eastAsia="Arial" w:hAnsi="Arial" w:cs="Arial"/>
                <w:color w:val="000000"/>
                <w:sz w:val="18"/>
                <w:szCs w:val="18"/>
              </w:rPr>
            </w:pPr>
            <w:r w:rsidRPr="00105D48">
              <w:rPr>
                <w:rFonts w:ascii="Arial" w:eastAsia="Arial" w:hAnsi="Arial" w:cs="Arial"/>
                <w:color w:val="000000"/>
                <w:sz w:val="18"/>
                <w:szCs w:val="18"/>
              </w:rPr>
              <w:t>LOA 2024: Lei n.º 17.863, de 22 de dezembro de 2023.</w:t>
            </w:r>
          </w:p>
          <w:p w14:paraId="542ABF90" w14:textId="77777777" w:rsidR="001C7E6F" w:rsidRDefault="001C7E6F" w:rsidP="00BD3046">
            <w:pPr>
              <w:spacing w:after="0" w:line="240" w:lineRule="auto"/>
              <w:rPr>
                <w:rFonts w:ascii="Arial" w:eastAsia="Arial" w:hAnsi="Arial" w:cs="Arial"/>
                <w:color w:val="000000"/>
                <w:sz w:val="18"/>
                <w:szCs w:val="18"/>
              </w:rPr>
            </w:pPr>
            <w:r w:rsidRPr="00105D48">
              <w:rPr>
                <w:rFonts w:ascii="Arial" w:eastAsia="Arial" w:hAnsi="Arial" w:cs="Arial"/>
                <w:color w:val="000000"/>
                <w:sz w:val="18"/>
                <w:szCs w:val="18"/>
              </w:rPr>
              <w:t>LOA 2025: Lei n.º 18.078, de 03 de janeiro de 2025.</w:t>
            </w:r>
          </w:p>
          <w:p w14:paraId="0703CE62" w14:textId="77777777" w:rsidR="001C7E6F" w:rsidRDefault="001C7E6F" w:rsidP="00BD3046">
            <w:pPr>
              <w:spacing w:after="0" w:line="240" w:lineRule="auto"/>
              <w:rPr>
                <w:rFonts w:ascii="Arial" w:eastAsia="Arial" w:hAnsi="Arial" w:cs="Arial"/>
                <w:color w:val="000000"/>
                <w:sz w:val="18"/>
                <w:szCs w:val="18"/>
              </w:rPr>
            </w:pPr>
          </w:p>
          <w:p w14:paraId="38113BA0"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Não foram localizados Planos de Ação e de Aplicação Financeira do FECOEP-SP.</w:t>
            </w:r>
          </w:p>
          <w:p w14:paraId="0829418B" w14:textId="77777777" w:rsidR="001C7E6F" w:rsidRDefault="001C7E6F" w:rsidP="00BD3046">
            <w:pPr>
              <w:spacing w:after="0" w:line="240" w:lineRule="auto"/>
              <w:rPr>
                <w:rFonts w:ascii="Arial" w:eastAsia="Arial" w:hAnsi="Arial" w:cs="Arial"/>
                <w:color w:val="000000"/>
                <w:sz w:val="18"/>
                <w:szCs w:val="18"/>
              </w:rPr>
            </w:pPr>
          </w:p>
        </w:tc>
      </w:tr>
      <w:tr w:rsidR="001C7E6F" w14:paraId="5C22D533" w14:textId="77777777" w:rsidTr="00BD3046">
        <w:trPr>
          <w:trHeight w:val="20"/>
        </w:trPr>
        <w:tc>
          <w:tcPr>
            <w:tcW w:w="2263" w:type="dxa"/>
            <w:shd w:val="clear" w:color="auto" w:fill="auto"/>
            <w:vAlign w:val="center"/>
          </w:tcPr>
          <w:p w14:paraId="4EB99FE2"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2.3 Qualidade do planejamento</w:t>
            </w:r>
          </w:p>
        </w:tc>
        <w:tc>
          <w:tcPr>
            <w:tcW w:w="6798" w:type="dxa"/>
            <w:shd w:val="clear" w:color="auto" w:fill="auto"/>
            <w:vAlign w:val="center"/>
          </w:tcPr>
          <w:p w14:paraId="42378E92"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Verificaç</w:t>
            </w:r>
            <w:r w:rsidRPr="007953EF">
              <w:rPr>
                <w:rFonts w:ascii="Arial" w:eastAsia="Arial" w:hAnsi="Arial" w:cs="Arial"/>
                <w:i/>
                <w:sz w:val="18"/>
                <w:szCs w:val="18"/>
              </w:rPr>
              <w:t>ão sobre estarem as</w:t>
            </w:r>
            <w:r w:rsidRPr="007953EF">
              <w:rPr>
                <w:rFonts w:ascii="Arial" w:eastAsia="Arial" w:hAnsi="Arial" w:cs="Arial"/>
                <w:i/>
                <w:color w:val="000000"/>
                <w:sz w:val="18"/>
                <w:szCs w:val="18"/>
              </w:rPr>
              <w:t xml:space="preserve"> metas, objetivos, custos, cronograma e indicadores do Fundo claros.</w:t>
            </w:r>
          </w:p>
          <w:p w14:paraId="68655F56" w14:textId="77777777" w:rsidR="001C7E6F" w:rsidRDefault="001C7E6F" w:rsidP="00BD3046">
            <w:pPr>
              <w:spacing w:after="0" w:line="240" w:lineRule="auto"/>
              <w:rPr>
                <w:rFonts w:ascii="Arial" w:eastAsia="Arial" w:hAnsi="Arial" w:cs="Arial"/>
                <w:color w:val="000000"/>
                <w:sz w:val="18"/>
                <w:szCs w:val="18"/>
              </w:rPr>
            </w:pPr>
          </w:p>
          <w:p w14:paraId="14076074" w14:textId="77777777" w:rsidR="001C7E6F" w:rsidRPr="007953EF" w:rsidRDefault="001C7E6F" w:rsidP="00BD3046">
            <w:pPr>
              <w:spacing w:after="0" w:line="240" w:lineRule="auto"/>
              <w:rPr>
                <w:rFonts w:ascii="Arial" w:eastAsia="Arial" w:hAnsi="Arial" w:cs="Arial"/>
                <w:color w:val="000000"/>
                <w:sz w:val="18"/>
                <w:szCs w:val="18"/>
              </w:rPr>
            </w:pPr>
            <w:r w:rsidRPr="007953EF">
              <w:rPr>
                <w:rFonts w:ascii="Arial" w:eastAsia="Arial" w:hAnsi="Arial" w:cs="Arial"/>
                <w:color w:val="000000"/>
                <w:sz w:val="18"/>
                <w:szCs w:val="18"/>
              </w:rPr>
              <w:t>As metas, objetivos, custos, cronograma e indicadores do FECOEP</w:t>
            </w:r>
            <w:r>
              <w:rPr>
                <w:rFonts w:ascii="Arial" w:eastAsia="Arial" w:hAnsi="Arial" w:cs="Arial"/>
                <w:color w:val="000000"/>
                <w:sz w:val="18"/>
                <w:szCs w:val="18"/>
              </w:rPr>
              <w:t>-SP</w:t>
            </w:r>
            <w:r w:rsidRPr="007953EF">
              <w:rPr>
                <w:rFonts w:ascii="Arial" w:eastAsia="Arial" w:hAnsi="Arial" w:cs="Arial"/>
                <w:color w:val="000000"/>
                <w:sz w:val="18"/>
                <w:szCs w:val="18"/>
              </w:rPr>
              <w:t xml:space="preserve"> são definidos em termos gerais pela legislação e pela metodologia orçamentária (PPA/LOA), mas as análises e recomendações dos órgãos de controle apontaram falhas significativas na clareza e na estratégia de sua aplicação e mensuração.</w:t>
            </w:r>
          </w:p>
          <w:p w14:paraId="7A0BFF6E" w14:textId="77777777" w:rsidR="001C7E6F" w:rsidRDefault="001C7E6F" w:rsidP="00BD3046">
            <w:pPr>
              <w:spacing w:after="0" w:line="240" w:lineRule="auto"/>
              <w:rPr>
                <w:rFonts w:ascii="Arial" w:eastAsia="Arial" w:hAnsi="Arial" w:cs="Arial"/>
                <w:color w:val="000000"/>
                <w:sz w:val="18"/>
                <w:szCs w:val="18"/>
              </w:rPr>
            </w:pPr>
            <w:r w:rsidRPr="007953EF">
              <w:rPr>
                <w:rFonts w:ascii="Arial" w:eastAsia="Arial" w:hAnsi="Arial" w:cs="Arial"/>
                <w:color w:val="000000"/>
                <w:sz w:val="18"/>
                <w:szCs w:val="18"/>
              </w:rPr>
              <w:t xml:space="preserve">Embora o arcabouço orçamentário exija clareza, a gestão específica do Fundo foi criticada por deficiências que comprometem a plena rastreabilidade e </w:t>
            </w:r>
            <w:r w:rsidRPr="007953EF">
              <w:rPr>
                <w:rFonts w:ascii="Arial" w:eastAsia="Arial" w:hAnsi="Arial" w:cs="Arial"/>
                <w:i/>
                <w:color w:val="000000"/>
                <w:sz w:val="18"/>
                <w:szCs w:val="18"/>
              </w:rPr>
              <w:t>accountability</w:t>
            </w:r>
            <w:r w:rsidRPr="007953EF">
              <w:rPr>
                <w:rFonts w:ascii="Arial" w:eastAsia="Arial" w:hAnsi="Arial" w:cs="Arial"/>
                <w:color w:val="000000"/>
                <w:sz w:val="18"/>
                <w:szCs w:val="18"/>
              </w:rPr>
              <w:t>.</w:t>
            </w:r>
          </w:p>
          <w:p w14:paraId="39530F21" w14:textId="77777777" w:rsidR="001C7E6F" w:rsidRDefault="001C7E6F" w:rsidP="00BD3046">
            <w:pPr>
              <w:spacing w:after="0" w:line="240" w:lineRule="auto"/>
              <w:rPr>
                <w:rFonts w:ascii="Arial" w:eastAsia="Arial" w:hAnsi="Arial" w:cs="Arial"/>
                <w:color w:val="000000"/>
                <w:sz w:val="18"/>
                <w:szCs w:val="18"/>
              </w:rPr>
            </w:pPr>
            <w:r w:rsidRPr="007953EF">
              <w:rPr>
                <w:rFonts w:ascii="Arial" w:eastAsia="Arial" w:hAnsi="Arial" w:cs="Arial"/>
                <w:color w:val="000000"/>
                <w:sz w:val="18"/>
                <w:szCs w:val="18"/>
              </w:rPr>
              <w:t xml:space="preserve">A lei e o regulamento (Decreto nº 62.242/2016) explicitam que é vedada a utilização dos recursos do </w:t>
            </w:r>
            <w:r>
              <w:rPr>
                <w:rFonts w:ascii="Arial" w:eastAsia="Arial" w:hAnsi="Arial" w:cs="Arial"/>
                <w:color w:val="000000"/>
                <w:sz w:val="18"/>
                <w:szCs w:val="18"/>
              </w:rPr>
              <w:t xml:space="preserve">Fundo </w:t>
            </w:r>
            <w:r w:rsidRPr="007953EF">
              <w:rPr>
                <w:rFonts w:ascii="Arial" w:eastAsia="Arial" w:hAnsi="Arial" w:cs="Arial"/>
                <w:color w:val="000000"/>
                <w:sz w:val="18"/>
                <w:szCs w:val="18"/>
              </w:rPr>
              <w:t xml:space="preserve">para remuneração de pessoal e encargos sociais. Contudo, a fiscalização </w:t>
            </w:r>
            <w:r>
              <w:rPr>
                <w:rFonts w:ascii="Arial" w:eastAsia="Arial" w:hAnsi="Arial" w:cs="Arial"/>
                <w:color w:val="000000"/>
                <w:sz w:val="18"/>
                <w:szCs w:val="18"/>
              </w:rPr>
              <w:t xml:space="preserve">do TCE-SP </w:t>
            </w:r>
            <w:r w:rsidRPr="007953EF">
              <w:rPr>
                <w:rFonts w:ascii="Arial" w:eastAsia="Arial" w:hAnsi="Arial" w:cs="Arial"/>
                <w:color w:val="000000"/>
                <w:sz w:val="18"/>
                <w:szCs w:val="18"/>
              </w:rPr>
              <w:t>encontrou repasses realizados com verbas do FECOEP</w:t>
            </w:r>
            <w:r>
              <w:rPr>
                <w:rFonts w:ascii="Arial" w:eastAsia="Arial" w:hAnsi="Arial" w:cs="Arial"/>
                <w:color w:val="000000"/>
                <w:sz w:val="18"/>
                <w:szCs w:val="18"/>
              </w:rPr>
              <w:t>-SP</w:t>
            </w:r>
            <w:r w:rsidRPr="007953EF">
              <w:rPr>
                <w:rFonts w:ascii="Arial" w:eastAsia="Arial" w:hAnsi="Arial" w:cs="Arial"/>
                <w:color w:val="000000"/>
                <w:sz w:val="18"/>
                <w:szCs w:val="18"/>
              </w:rPr>
              <w:t>, contrariando ve</w:t>
            </w:r>
            <w:r>
              <w:rPr>
                <w:rFonts w:ascii="Arial" w:eastAsia="Arial" w:hAnsi="Arial" w:cs="Arial"/>
                <w:color w:val="000000"/>
                <w:sz w:val="18"/>
                <w:szCs w:val="18"/>
              </w:rPr>
              <w:t>dação expressa à sua utilização.</w:t>
            </w:r>
          </w:p>
          <w:p w14:paraId="42783BAE" w14:textId="77777777" w:rsidR="001C7E6F" w:rsidRPr="007953EF" w:rsidRDefault="001C7E6F" w:rsidP="00BD3046">
            <w:pPr>
              <w:spacing w:after="0" w:line="240" w:lineRule="auto"/>
              <w:rPr>
                <w:rFonts w:ascii="Arial" w:eastAsia="Arial" w:hAnsi="Arial" w:cs="Arial"/>
                <w:color w:val="000000"/>
                <w:sz w:val="18"/>
                <w:szCs w:val="18"/>
              </w:rPr>
            </w:pPr>
            <w:r w:rsidRPr="007953EF">
              <w:rPr>
                <w:rFonts w:ascii="Arial" w:eastAsia="Arial" w:hAnsi="Arial" w:cs="Arial"/>
                <w:color w:val="000000"/>
                <w:sz w:val="18"/>
                <w:szCs w:val="18"/>
              </w:rPr>
              <w:t xml:space="preserve">A Fiscalização do </w:t>
            </w:r>
            <w:r>
              <w:rPr>
                <w:rFonts w:ascii="Arial" w:eastAsia="Arial" w:hAnsi="Arial" w:cs="Arial"/>
                <w:color w:val="000000"/>
                <w:sz w:val="18"/>
                <w:szCs w:val="18"/>
              </w:rPr>
              <w:t>TCE-SP</w:t>
            </w:r>
            <w:r w:rsidRPr="007953EF">
              <w:rPr>
                <w:rFonts w:ascii="Arial" w:eastAsia="Arial" w:hAnsi="Arial" w:cs="Arial"/>
                <w:color w:val="000000"/>
                <w:sz w:val="18"/>
                <w:szCs w:val="18"/>
              </w:rPr>
              <w:t>, em análise das Contas do Governador de 2020, revelou a ausência de critérios para seleção de programas e ações beneficiadas com os recursos do Fundo.</w:t>
            </w:r>
          </w:p>
          <w:p w14:paraId="1996621F" w14:textId="77777777" w:rsidR="001C7E6F" w:rsidRPr="007953EF" w:rsidRDefault="001C7E6F" w:rsidP="00BD3046">
            <w:pPr>
              <w:spacing w:after="0" w:line="240" w:lineRule="auto"/>
              <w:rPr>
                <w:rFonts w:ascii="Arial" w:eastAsia="Arial" w:hAnsi="Arial" w:cs="Arial"/>
                <w:color w:val="000000"/>
                <w:sz w:val="18"/>
                <w:szCs w:val="18"/>
              </w:rPr>
            </w:pPr>
            <w:r w:rsidRPr="007953EF">
              <w:rPr>
                <w:rFonts w:ascii="Arial" w:eastAsia="Arial" w:hAnsi="Arial" w:cs="Arial"/>
                <w:color w:val="000000"/>
                <w:sz w:val="18"/>
                <w:szCs w:val="18"/>
              </w:rPr>
              <w:t>O Ministério Público de Contas (MPC-SP) apontou a insuficiente coordenação relativa à formulação dos programas do COA.</w:t>
            </w:r>
          </w:p>
          <w:p w14:paraId="393F05EB" w14:textId="77777777" w:rsidR="001C7E6F" w:rsidRDefault="001C7E6F" w:rsidP="00BD3046">
            <w:pPr>
              <w:spacing w:after="0" w:line="240" w:lineRule="auto"/>
              <w:rPr>
                <w:rFonts w:ascii="Arial" w:eastAsia="Arial" w:hAnsi="Arial" w:cs="Arial"/>
                <w:color w:val="000000"/>
                <w:sz w:val="18"/>
                <w:szCs w:val="18"/>
              </w:rPr>
            </w:pPr>
            <w:r w:rsidRPr="007953EF">
              <w:rPr>
                <w:rFonts w:ascii="Arial" w:eastAsia="Arial" w:hAnsi="Arial" w:cs="Arial"/>
                <w:color w:val="000000"/>
                <w:sz w:val="18"/>
                <w:szCs w:val="18"/>
              </w:rPr>
              <w:t>O TCE-SP determinou que o COA reavali</w:t>
            </w:r>
            <w:r>
              <w:rPr>
                <w:rFonts w:ascii="Arial" w:eastAsia="Arial" w:hAnsi="Arial" w:cs="Arial"/>
                <w:color w:val="000000"/>
                <w:sz w:val="18"/>
                <w:szCs w:val="18"/>
              </w:rPr>
              <w:t xml:space="preserve">e </w:t>
            </w:r>
            <w:r w:rsidRPr="007953EF">
              <w:rPr>
                <w:rFonts w:ascii="Arial" w:eastAsia="Arial" w:hAnsi="Arial" w:cs="Arial"/>
                <w:color w:val="000000"/>
                <w:sz w:val="18"/>
                <w:szCs w:val="18"/>
              </w:rPr>
              <w:t>o seu papel e desenvolv</w:t>
            </w:r>
            <w:r>
              <w:rPr>
                <w:rFonts w:ascii="Arial" w:eastAsia="Arial" w:hAnsi="Arial" w:cs="Arial"/>
                <w:color w:val="000000"/>
                <w:sz w:val="18"/>
                <w:szCs w:val="18"/>
              </w:rPr>
              <w:t>a</w:t>
            </w:r>
            <w:r w:rsidRPr="007953EF">
              <w:rPr>
                <w:rFonts w:ascii="Arial" w:eastAsia="Arial" w:hAnsi="Arial" w:cs="Arial"/>
                <w:color w:val="000000"/>
                <w:sz w:val="18"/>
                <w:szCs w:val="18"/>
              </w:rPr>
              <w:t xml:space="preserve"> critérios para seleção de programas e ações</w:t>
            </w:r>
            <w:r>
              <w:rPr>
                <w:rFonts w:ascii="Arial" w:eastAsia="Arial" w:hAnsi="Arial" w:cs="Arial"/>
                <w:color w:val="000000"/>
                <w:sz w:val="18"/>
                <w:szCs w:val="18"/>
              </w:rPr>
              <w:t>,</w:t>
            </w:r>
            <w:r w:rsidRPr="007953EF">
              <w:rPr>
                <w:rFonts w:ascii="Arial" w:eastAsia="Arial" w:hAnsi="Arial" w:cs="Arial"/>
                <w:color w:val="000000"/>
                <w:sz w:val="18"/>
                <w:szCs w:val="18"/>
              </w:rPr>
              <w:t xml:space="preserve"> a fim de atender de forma mais eficiente o previsto em decreto, alocando os recursos de forma estratégica e coordenada e nos programas que apresentem maior efetividade no combate à pobreza</w:t>
            </w:r>
            <w:r>
              <w:rPr>
                <w:rFonts w:ascii="Arial" w:eastAsia="Arial" w:hAnsi="Arial" w:cs="Arial"/>
                <w:color w:val="000000"/>
                <w:sz w:val="18"/>
                <w:szCs w:val="18"/>
              </w:rPr>
              <w:t>.</w:t>
            </w:r>
          </w:p>
          <w:p w14:paraId="41D2ED3A"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Assim, apesar d</w:t>
            </w:r>
            <w:r w:rsidRPr="007953EF">
              <w:rPr>
                <w:rFonts w:ascii="Arial" w:eastAsia="Arial" w:hAnsi="Arial" w:cs="Arial"/>
                <w:color w:val="000000"/>
                <w:sz w:val="18"/>
                <w:szCs w:val="18"/>
              </w:rPr>
              <w:t>as peças orçamentárias (PPA e LOAs) fornece</w:t>
            </w:r>
            <w:r>
              <w:rPr>
                <w:rFonts w:ascii="Arial" w:eastAsia="Arial" w:hAnsi="Arial" w:cs="Arial"/>
                <w:color w:val="000000"/>
                <w:sz w:val="18"/>
                <w:szCs w:val="18"/>
              </w:rPr>
              <w:t>re</w:t>
            </w:r>
            <w:r w:rsidRPr="007953EF">
              <w:rPr>
                <w:rFonts w:ascii="Arial" w:eastAsia="Arial" w:hAnsi="Arial" w:cs="Arial"/>
                <w:color w:val="000000"/>
                <w:sz w:val="18"/>
                <w:szCs w:val="18"/>
              </w:rPr>
              <w:t xml:space="preserve">m o </w:t>
            </w:r>
            <w:r>
              <w:rPr>
                <w:rFonts w:ascii="Arial" w:eastAsia="Arial" w:hAnsi="Arial" w:cs="Arial"/>
                <w:color w:val="000000"/>
                <w:sz w:val="18"/>
                <w:szCs w:val="18"/>
              </w:rPr>
              <w:t>valor</w:t>
            </w:r>
            <w:r w:rsidRPr="007953EF">
              <w:rPr>
                <w:rFonts w:ascii="Arial" w:eastAsia="Arial" w:hAnsi="Arial" w:cs="Arial"/>
                <w:color w:val="000000"/>
                <w:sz w:val="18"/>
                <w:szCs w:val="18"/>
              </w:rPr>
              <w:t xml:space="preserve"> </w:t>
            </w:r>
            <w:r>
              <w:rPr>
                <w:rFonts w:ascii="Arial" w:eastAsia="Arial" w:hAnsi="Arial" w:cs="Arial"/>
                <w:color w:val="000000"/>
                <w:sz w:val="18"/>
                <w:szCs w:val="18"/>
              </w:rPr>
              <w:t>autorizado</w:t>
            </w:r>
            <w:r w:rsidRPr="007953EF">
              <w:rPr>
                <w:rFonts w:ascii="Arial" w:eastAsia="Arial" w:hAnsi="Arial" w:cs="Arial"/>
                <w:color w:val="000000"/>
                <w:sz w:val="18"/>
                <w:szCs w:val="18"/>
              </w:rPr>
              <w:t xml:space="preserve"> e os programas beneficiários do Fu</w:t>
            </w:r>
            <w:r>
              <w:rPr>
                <w:rFonts w:ascii="Arial" w:eastAsia="Arial" w:hAnsi="Arial" w:cs="Arial"/>
                <w:color w:val="000000"/>
                <w:sz w:val="18"/>
                <w:szCs w:val="18"/>
              </w:rPr>
              <w:t>ndo (como Vivaleite e Bom Prato</w:t>
            </w:r>
            <w:r w:rsidRPr="007953EF">
              <w:rPr>
                <w:rFonts w:ascii="Arial" w:eastAsia="Arial" w:hAnsi="Arial" w:cs="Arial"/>
                <w:color w:val="000000"/>
                <w:sz w:val="18"/>
                <w:szCs w:val="18"/>
              </w:rPr>
              <w:t>), o TCE-SP e o MPC-SP indicaram que os objetivos, metas, critérios de seleção e indicadores do Fundo, em seu nível de gestão, não eram suficientemente claros e fidedignos para garantir a eficiência e a finalidade legal de combate à pobreza</w:t>
            </w:r>
            <w:r>
              <w:rPr>
                <w:rFonts w:ascii="Arial" w:eastAsia="Arial" w:hAnsi="Arial" w:cs="Arial"/>
                <w:color w:val="000000"/>
                <w:sz w:val="18"/>
                <w:szCs w:val="18"/>
              </w:rPr>
              <w:t>.</w:t>
            </w:r>
          </w:p>
          <w:p w14:paraId="53E39047" w14:textId="77777777" w:rsidR="001C7E6F" w:rsidRDefault="001C7E6F" w:rsidP="00BD3046">
            <w:pPr>
              <w:spacing w:after="0" w:line="240" w:lineRule="auto"/>
              <w:rPr>
                <w:rFonts w:ascii="Arial" w:eastAsia="Arial" w:hAnsi="Arial" w:cs="Arial"/>
                <w:color w:val="000000"/>
                <w:sz w:val="18"/>
                <w:szCs w:val="18"/>
              </w:rPr>
            </w:pPr>
          </w:p>
        </w:tc>
      </w:tr>
      <w:tr w:rsidR="001C7E6F" w14:paraId="0FA107F9" w14:textId="77777777" w:rsidTr="00BD3046">
        <w:trPr>
          <w:trHeight w:val="20"/>
        </w:trPr>
        <w:tc>
          <w:tcPr>
            <w:tcW w:w="2263" w:type="dxa"/>
            <w:shd w:val="clear" w:color="auto" w:fill="auto"/>
            <w:vAlign w:val="center"/>
          </w:tcPr>
          <w:p w14:paraId="3F59E476"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2.4 Governança institucional</w:t>
            </w:r>
          </w:p>
        </w:tc>
        <w:tc>
          <w:tcPr>
            <w:tcW w:w="6798" w:type="dxa"/>
            <w:shd w:val="clear" w:color="auto" w:fill="auto"/>
            <w:vAlign w:val="center"/>
          </w:tcPr>
          <w:p w14:paraId="769E6206"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Defin</w:t>
            </w:r>
            <w:r w:rsidRPr="007953EF">
              <w:rPr>
                <w:rFonts w:ascii="Arial" w:eastAsia="Arial" w:hAnsi="Arial" w:cs="Arial"/>
                <w:i/>
                <w:sz w:val="18"/>
                <w:szCs w:val="18"/>
              </w:rPr>
              <w:t>ição de</w:t>
            </w:r>
            <w:r w:rsidRPr="007953EF">
              <w:rPr>
                <w:rFonts w:ascii="Arial" w:eastAsia="Arial" w:hAnsi="Arial" w:cs="Arial"/>
                <w:i/>
                <w:color w:val="000000"/>
                <w:sz w:val="18"/>
                <w:szCs w:val="18"/>
              </w:rPr>
              <w:t xml:space="preserve"> quem decide, aprova e revisa os planos e como ocorre o contrapeso democrático. Formalização e composição do Conselho Gestor, paridade governo x sociedade civil, autonomia, poder deliberativo e capacitações periódicas dos conselheiros.</w:t>
            </w:r>
          </w:p>
          <w:p w14:paraId="3523743F" w14:textId="77777777" w:rsidR="001C7E6F" w:rsidRDefault="001C7E6F" w:rsidP="00BD3046">
            <w:pPr>
              <w:spacing w:after="0" w:line="240" w:lineRule="auto"/>
              <w:rPr>
                <w:rFonts w:ascii="Arial" w:eastAsia="Arial" w:hAnsi="Arial" w:cs="Arial"/>
                <w:color w:val="000000"/>
                <w:sz w:val="18"/>
                <w:szCs w:val="18"/>
              </w:rPr>
            </w:pPr>
          </w:p>
          <w:p w14:paraId="2C2F564D" w14:textId="77777777" w:rsidR="001C7E6F" w:rsidRDefault="001C7E6F" w:rsidP="00BD3046">
            <w:pPr>
              <w:spacing w:after="0" w:line="240" w:lineRule="auto"/>
              <w:rPr>
                <w:rFonts w:ascii="Arial" w:eastAsia="Arial" w:hAnsi="Arial" w:cs="Arial"/>
                <w:color w:val="000000"/>
                <w:sz w:val="18"/>
                <w:szCs w:val="18"/>
              </w:rPr>
            </w:pPr>
            <w:r w:rsidRPr="007953EF">
              <w:rPr>
                <w:rFonts w:ascii="Arial" w:eastAsia="Arial" w:hAnsi="Arial" w:cs="Arial"/>
                <w:color w:val="000000"/>
                <w:sz w:val="18"/>
                <w:szCs w:val="18"/>
              </w:rPr>
              <w:t>O Conselho de Orientação e Acompanhamento (COA) do FECOEP</w:t>
            </w:r>
            <w:r>
              <w:rPr>
                <w:rFonts w:ascii="Arial" w:eastAsia="Arial" w:hAnsi="Arial" w:cs="Arial"/>
                <w:color w:val="000000"/>
                <w:sz w:val="18"/>
                <w:szCs w:val="18"/>
              </w:rPr>
              <w:t>-SP</w:t>
            </w:r>
            <w:r w:rsidRPr="007953EF">
              <w:rPr>
                <w:rFonts w:ascii="Arial" w:eastAsia="Arial" w:hAnsi="Arial" w:cs="Arial"/>
                <w:color w:val="000000"/>
                <w:sz w:val="18"/>
                <w:szCs w:val="18"/>
              </w:rPr>
              <w:t xml:space="preserve"> é </w:t>
            </w:r>
            <w:r>
              <w:rPr>
                <w:rFonts w:ascii="Arial" w:eastAsia="Arial" w:hAnsi="Arial" w:cs="Arial"/>
                <w:color w:val="000000"/>
                <w:sz w:val="18"/>
                <w:szCs w:val="18"/>
              </w:rPr>
              <w:t xml:space="preserve">o </w:t>
            </w:r>
            <w:r w:rsidRPr="007953EF">
              <w:rPr>
                <w:rFonts w:ascii="Arial" w:eastAsia="Arial" w:hAnsi="Arial" w:cs="Arial"/>
                <w:color w:val="000000"/>
                <w:sz w:val="18"/>
                <w:szCs w:val="18"/>
              </w:rPr>
              <w:t xml:space="preserve">órgão colegiado criado para gerir </w:t>
            </w:r>
            <w:r>
              <w:rPr>
                <w:rFonts w:ascii="Arial" w:eastAsia="Arial" w:hAnsi="Arial" w:cs="Arial"/>
                <w:color w:val="000000"/>
                <w:sz w:val="18"/>
                <w:szCs w:val="18"/>
              </w:rPr>
              <w:t xml:space="preserve">os </w:t>
            </w:r>
            <w:r w:rsidRPr="007953EF">
              <w:rPr>
                <w:rFonts w:ascii="Arial" w:eastAsia="Arial" w:hAnsi="Arial" w:cs="Arial"/>
                <w:color w:val="000000"/>
                <w:sz w:val="18"/>
                <w:szCs w:val="18"/>
              </w:rPr>
              <w:t>recursos vinculados, cuja composição e poder deliberativo são definidos em decreto.</w:t>
            </w:r>
            <w:r>
              <w:rPr>
                <w:rFonts w:ascii="Arial" w:eastAsia="Arial" w:hAnsi="Arial" w:cs="Arial"/>
                <w:color w:val="000000"/>
                <w:sz w:val="18"/>
                <w:szCs w:val="18"/>
              </w:rPr>
              <w:t xml:space="preserve"> </w:t>
            </w:r>
          </w:p>
          <w:p w14:paraId="2F0E9167" w14:textId="77777777" w:rsidR="001C7E6F" w:rsidRDefault="001C7E6F" w:rsidP="00BD3046">
            <w:pPr>
              <w:spacing w:after="0" w:line="240" w:lineRule="auto"/>
              <w:rPr>
                <w:rFonts w:ascii="Arial" w:eastAsia="Arial" w:hAnsi="Arial" w:cs="Arial"/>
                <w:color w:val="000000"/>
                <w:sz w:val="18"/>
                <w:szCs w:val="18"/>
              </w:rPr>
            </w:pPr>
            <w:r w:rsidRPr="007953EF">
              <w:rPr>
                <w:rFonts w:ascii="Arial" w:eastAsia="Arial" w:hAnsi="Arial" w:cs="Arial"/>
                <w:color w:val="000000"/>
                <w:sz w:val="18"/>
                <w:szCs w:val="18"/>
              </w:rPr>
              <w:t>É integrado pelo</w:t>
            </w:r>
            <w:r>
              <w:rPr>
                <w:rFonts w:ascii="Arial" w:eastAsia="Arial" w:hAnsi="Arial" w:cs="Arial"/>
                <w:color w:val="000000"/>
                <w:sz w:val="18"/>
                <w:szCs w:val="18"/>
              </w:rPr>
              <w:t>s seguintes membros:</w:t>
            </w:r>
          </w:p>
          <w:p w14:paraId="5CECF68E"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 </w:t>
            </w:r>
            <w:r w:rsidRPr="007953EF">
              <w:rPr>
                <w:rFonts w:ascii="Arial" w:eastAsia="Arial" w:hAnsi="Arial" w:cs="Arial"/>
                <w:color w:val="000000"/>
                <w:sz w:val="18"/>
                <w:szCs w:val="18"/>
              </w:rPr>
              <w:t>Secretário da Fazenda e Planejamento, que é seu Presidente.</w:t>
            </w:r>
          </w:p>
          <w:p w14:paraId="09BB9322"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Secretário-Chefe da Casa Civil.</w:t>
            </w:r>
          </w:p>
          <w:p w14:paraId="7C084841"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S</w:t>
            </w:r>
            <w:r w:rsidRPr="007953EF">
              <w:rPr>
                <w:rFonts w:ascii="Arial" w:eastAsia="Arial" w:hAnsi="Arial" w:cs="Arial"/>
                <w:color w:val="000000"/>
                <w:sz w:val="18"/>
                <w:szCs w:val="18"/>
              </w:rPr>
              <w:t>ecretário de Desenvolvimento Social.</w:t>
            </w:r>
          </w:p>
          <w:p w14:paraId="64C8DBB3" w14:textId="77777777" w:rsidR="001C7E6F" w:rsidRPr="007953E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 </w:t>
            </w:r>
            <w:r w:rsidRPr="007953EF">
              <w:rPr>
                <w:rFonts w:ascii="Arial" w:eastAsia="Arial" w:hAnsi="Arial" w:cs="Arial"/>
                <w:color w:val="000000"/>
                <w:sz w:val="18"/>
                <w:szCs w:val="18"/>
              </w:rPr>
              <w:t>1 (um) representante da sociedade civil.</w:t>
            </w:r>
          </w:p>
          <w:p w14:paraId="08A1460F" w14:textId="77777777" w:rsidR="001C7E6F" w:rsidRPr="007953EF" w:rsidRDefault="001C7E6F" w:rsidP="00BD3046">
            <w:pPr>
              <w:spacing w:after="0" w:line="240" w:lineRule="auto"/>
              <w:rPr>
                <w:rFonts w:ascii="Arial" w:eastAsia="Arial" w:hAnsi="Arial" w:cs="Arial"/>
                <w:color w:val="000000"/>
                <w:sz w:val="18"/>
                <w:szCs w:val="18"/>
              </w:rPr>
            </w:pPr>
            <w:r w:rsidRPr="007953EF">
              <w:rPr>
                <w:rFonts w:ascii="Arial" w:eastAsia="Arial" w:hAnsi="Arial" w:cs="Arial"/>
                <w:color w:val="000000"/>
                <w:sz w:val="18"/>
                <w:szCs w:val="18"/>
              </w:rPr>
              <w:t>Sup</w:t>
            </w:r>
            <w:r>
              <w:rPr>
                <w:rFonts w:ascii="Arial" w:eastAsia="Arial" w:hAnsi="Arial" w:cs="Arial"/>
                <w:color w:val="000000"/>
                <w:sz w:val="18"/>
                <w:szCs w:val="18"/>
              </w:rPr>
              <w:t xml:space="preserve">lentes: Os membros Secretários </w:t>
            </w:r>
            <w:r w:rsidRPr="007953EF">
              <w:rPr>
                <w:rFonts w:ascii="Arial" w:eastAsia="Arial" w:hAnsi="Arial" w:cs="Arial"/>
                <w:color w:val="000000"/>
                <w:sz w:val="18"/>
                <w:szCs w:val="18"/>
              </w:rPr>
              <w:t>terão como suplentes os respectivos Secretários Executivos, que podem designar substitutos que exercerão as mesmas funções, responsabilidades e prerrogativas.</w:t>
            </w:r>
          </w:p>
          <w:p w14:paraId="2E0973BC" w14:textId="77777777" w:rsidR="001C7E6F" w:rsidRDefault="001C7E6F" w:rsidP="00BD3046">
            <w:pPr>
              <w:spacing w:after="0" w:line="240" w:lineRule="auto"/>
              <w:rPr>
                <w:rFonts w:ascii="Arial" w:eastAsia="Arial" w:hAnsi="Arial" w:cs="Arial"/>
                <w:color w:val="000000"/>
                <w:sz w:val="18"/>
                <w:szCs w:val="18"/>
              </w:rPr>
            </w:pPr>
            <w:r w:rsidRPr="007953EF">
              <w:rPr>
                <w:rFonts w:ascii="Arial" w:eastAsia="Arial" w:hAnsi="Arial" w:cs="Arial"/>
                <w:color w:val="000000"/>
                <w:sz w:val="18"/>
                <w:szCs w:val="18"/>
              </w:rPr>
              <w:t>Indicação da Sociedade Civil: O representante da sociedade civil é designado pelo Presidente do COA, escolhido a partir de indicações apresentadas por conselhos representativos da sociedade civil</w:t>
            </w:r>
            <w:r>
              <w:rPr>
                <w:rFonts w:ascii="Arial" w:eastAsia="Arial" w:hAnsi="Arial" w:cs="Arial"/>
                <w:color w:val="000000"/>
                <w:sz w:val="18"/>
                <w:szCs w:val="18"/>
              </w:rPr>
              <w:t>.</w:t>
            </w:r>
          </w:p>
          <w:p w14:paraId="3BA9B54F" w14:textId="77777777" w:rsidR="001C7E6F" w:rsidRDefault="001C7E6F" w:rsidP="00BD3046">
            <w:pPr>
              <w:spacing w:after="0" w:line="240" w:lineRule="auto"/>
              <w:rPr>
                <w:rFonts w:ascii="Arial" w:eastAsia="Arial" w:hAnsi="Arial" w:cs="Arial"/>
                <w:color w:val="000000"/>
                <w:sz w:val="18"/>
                <w:szCs w:val="18"/>
              </w:rPr>
            </w:pPr>
          </w:p>
          <w:p w14:paraId="789D7282" w14:textId="77777777" w:rsidR="001C7E6F" w:rsidRDefault="001C7E6F" w:rsidP="00BD3046">
            <w:pPr>
              <w:spacing w:after="0" w:line="240" w:lineRule="auto"/>
              <w:rPr>
                <w:rFonts w:ascii="Arial" w:eastAsia="Arial" w:hAnsi="Arial" w:cs="Arial"/>
                <w:color w:val="000000"/>
                <w:sz w:val="18"/>
                <w:szCs w:val="18"/>
              </w:rPr>
            </w:pPr>
            <w:r w:rsidRPr="007953EF">
              <w:rPr>
                <w:rFonts w:ascii="Arial" w:eastAsia="Arial" w:hAnsi="Arial" w:cs="Arial"/>
                <w:color w:val="000000"/>
                <w:sz w:val="18"/>
                <w:szCs w:val="18"/>
              </w:rPr>
              <w:t>A composição formal do COA, com 3 membros do Poder Executivo (Secretários) e apenas 1 representante da sociedade civil, demonstra ausência de paridade.</w:t>
            </w:r>
          </w:p>
          <w:p w14:paraId="4B3EEB20" w14:textId="77777777" w:rsidR="001C7E6F" w:rsidRDefault="001C7E6F" w:rsidP="00BD3046">
            <w:pPr>
              <w:spacing w:after="0" w:line="240" w:lineRule="auto"/>
              <w:rPr>
                <w:rFonts w:ascii="Arial" w:eastAsia="Arial" w:hAnsi="Arial" w:cs="Arial"/>
                <w:color w:val="000000"/>
                <w:sz w:val="18"/>
                <w:szCs w:val="18"/>
              </w:rPr>
            </w:pPr>
          </w:p>
          <w:p w14:paraId="47CEF4E1" w14:textId="77777777" w:rsidR="001C7E6F" w:rsidRDefault="001C7E6F" w:rsidP="00BD3046">
            <w:pPr>
              <w:spacing w:after="0" w:line="240" w:lineRule="auto"/>
              <w:rPr>
                <w:rFonts w:ascii="Arial" w:eastAsia="Arial" w:hAnsi="Arial" w:cs="Arial"/>
                <w:color w:val="000000"/>
                <w:sz w:val="18"/>
                <w:szCs w:val="18"/>
              </w:rPr>
            </w:pPr>
            <w:r w:rsidRPr="00DC32A0">
              <w:rPr>
                <w:rFonts w:ascii="Arial" w:eastAsia="Arial" w:hAnsi="Arial" w:cs="Arial"/>
                <w:color w:val="000000"/>
                <w:sz w:val="18"/>
                <w:szCs w:val="18"/>
              </w:rPr>
              <w:t>O COA é um órgão deliberativo com poderes</w:t>
            </w:r>
            <w:r>
              <w:rPr>
                <w:rFonts w:ascii="Arial" w:eastAsia="Arial" w:hAnsi="Arial" w:cs="Arial"/>
                <w:color w:val="000000"/>
                <w:sz w:val="18"/>
                <w:szCs w:val="18"/>
              </w:rPr>
              <w:t xml:space="preserve"> formais para a gestão do Fundo. </w:t>
            </w:r>
            <w:r w:rsidRPr="00DC32A0">
              <w:rPr>
                <w:rFonts w:ascii="Arial" w:eastAsia="Arial" w:hAnsi="Arial" w:cs="Arial"/>
                <w:color w:val="000000"/>
                <w:sz w:val="18"/>
                <w:szCs w:val="18"/>
              </w:rPr>
              <w:t>Todos os membros do Conselho têm direito a voto, cabendo ao Presidente o voto de desempate.</w:t>
            </w:r>
            <w:r>
              <w:rPr>
                <w:rFonts w:ascii="Arial" w:eastAsia="Arial" w:hAnsi="Arial" w:cs="Arial"/>
                <w:color w:val="000000"/>
                <w:sz w:val="18"/>
                <w:szCs w:val="18"/>
              </w:rPr>
              <w:t xml:space="preserve"> </w:t>
            </w:r>
          </w:p>
          <w:p w14:paraId="699535CD" w14:textId="77777777" w:rsidR="001C7E6F" w:rsidRDefault="001C7E6F" w:rsidP="00BD3046">
            <w:pPr>
              <w:spacing w:after="0" w:line="240" w:lineRule="auto"/>
              <w:rPr>
                <w:rFonts w:ascii="Arial" w:eastAsia="Arial" w:hAnsi="Arial" w:cs="Arial"/>
                <w:color w:val="000000"/>
                <w:sz w:val="18"/>
                <w:szCs w:val="18"/>
              </w:rPr>
            </w:pPr>
          </w:p>
          <w:p w14:paraId="1C3DE00D" w14:textId="77777777" w:rsidR="001C7E6F" w:rsidRPr="00DC32A0" w:rsidRDefault="001C7E6F" w:rsidP="00BD3046">
            <w:pPr>
              <w:spacing w:after="0" w:line="240" w:lineRule="auto"/>
              <w:rPr>
                <w:rFonts w:ascii="Arial" w:eastAsia="Arial" w:hAnsi="Arial" w:cs="Arial"/>
                <w:color w:val="000000"/>
                <w:sz w:val="18"/>
                <w:szCs w:val="18"/>
              </w:rPr>
            </w:pPr>
            <w:r w:rsidRPr="00DC32A0">
              <w:rPr>
                <w:rFonts w:ascii="Arial" w:eastAsia="Arial" w:hAnsi="Arial" w:cs="Arial"/>
                <w:color w:val="000000"/>
                <w:sz w:val="18"/>
                <w:szCs w:val="18"/>
              </w:rPr>
              <w:t xml:space="preserve">As sessões </w:t>
            </w:r>
            <w:r>
              <w:rPr>
                <w:rFonts w:ascii="Arial" w:eastAsia="Arial" w:hAnsi="Arial" w:cs="Arial"/>
                <w:color w:val="000000"/>
                <w:sz w:val="18"/>
                <w:szCs w:val="18"/>
              </w:rPr>
              <w:t xml:space="preserve">públicas </w:t>
            </w:r>
            <w:r w:rsidRPr="00DC32A0">
              <w:rPr>
                <w:rFonts w:ascii="Arial" w:eastAsia="Arial" w:hAnsi="Arial" w:cs="Arial"/>
                <w:color w:val="000000"/>
                <w:sz w:val="18"/>
                <w:szCs w:val="18"/>
              </w:rPr>
              <w:t>são realizadas com a presen</w:t>
            </w:r>
            <w:r>
              <w:rPr>
                <w:rFonts w:ascii="Arial" w:eastAsia="Arial" w:hAnsi="Arial" w:cs="Arial"/>
                <w:color w:val="000000"/>
                <w:sz w:val="18"/>
                <w:szCs w:val="18"/>
              </w:rPr>
              <w:t xml:space="preserve">ça da maioria dos seus membros </w:t>
            </w:r>
            <w:r w:rsidRPr="00DC32A0">
              <w:rPr>
                <w:rFonts w:ascii="Arial" w:eastAsia="Arial" w:hAnsi="Arial" w:cs="Arial"/>
                <w:color w:val="000000"/>
                <w:sz w:val="18"/>
                <w:szCs w:val="18"/>
              </w:rPr>
              <w:t>e suas deliberações são tomadas pela maioria dos membros presentes e publicadas por extrato.</w:t>
            </w:r>
          </w:p>
          <w:p w14:paraId="0CC91FC1" w14:textId="77777777" w:rsidR="001C7E6F" w:rsidRDefault="001C7E6F" w:rsidP="00BD3046">
            <w:pPr>
              <w:spacing w:after="0" w:line="240" w:lineRule="auto"/>
              <w:rPr>
                <w:rFonts w:ascii="Arial" w:eastAsia="Arial" w:hAnsi="Arial" w:cs="Arial"/>
                <w:color w:val="000000"/>
                <w:sz w:val="18"/>
                <w:szCs w:val="18"/>
              </w:rPr>
            </w:pPr>
            <w:r w:rsidRPr="00DC32A0">
              <w:rPr>
                <w:rFonts w:ascii="Arial" w:eastAsia="Arial" w:hAnsi="Arial" w:cs="Arial"/>
                <w:color w:val="000000"/>
                <w:sz w:val="18"/>
                <w:szCs w:val="18"/>
              </w:rPr>
              <w:t>O COA tem competência para coordenar a elaboração de propostas orçamentárias (para inclusão na LOA), acompanhar a aplicação dos recursos, monitorar a execução dos programas e expedir normas e instruções complementares para disciplinar a aplicação dos recursos.</w:t>
            </w:r>
          </w:p>
          <w:p w14:paraId="1AD3D81A" w14:textId="77777777" w:rsidR="001C7E6F" w:rsidRDefault="001C7E6F" w:rsidP="00BD3046">
            <w:pPr>
              <w:spacing w:after="0" w:line="240" w:lineRule="auto"/>
              <w:rPr>
                <w:rFonts w:ascii="Arial" w:eastAsia="Arial" w:hAnsi="Arial" w:cs="Arial"/>
                <w:color w:val="000000"/>
                <w:sz w:val="18"/>
                <w:szCs w:val="18"/>
              </w:rPr>
            </w:pPr>
          </w:p>
          <w:p w14:paraId="4C161EA2" w14:textId="77777777" w:rsidR="001C7E6F" w:rsidRPr="00DC32A0" w:rsidRDefault="001C7E6F" w:rsidP="00BD3046">
            <w:pPr>
              <w:spacing w:after="0" w:line="240" w:lineRule="auto"/>
              <w:rPr>
                <w:rFonts w:ascii="Arial" w:eastAsia="Arial" w:hAnsi="Arial" w:cs="Arial"/>
                <w:color w:val="000000"/>
                <w:sz w:val="18"/>
                <w:szCs w:val="18"/>
              </w:rPr>
            </w:pPr>
            <w:r w:rsidRPr="00DC32A0">
              <w:rPr>
                <w:rFonts w:ascii="Arial" w:eastAsia="Arial" w:hAnsi="Arial" w:cs="Arial"/>
                <w:color w:val="000000"/>
                <w:sz w:val="18"/>
                <w:szCs w:val="18"/>
              </w:rPr>
              <w:lastRenderedPageBreak/>
              <w:t>O TCESP recomendou ao COA que reavalie o seu papel e aproveite sua formação transversal para atuar de forma estratégica e coordenada entre as secretarias, formulando políticas públicas e estabelecendo metas.</w:t>
            </w:r>
          </w:p>
          <w:p w14:paraId="07A207BE" w14:textId="77777777" w:rsidR="001C7E6F" w:rsidRDefault="001C7E6F" w:rsidP="00BD3046">
            <w:pPr>
              <w:spacing w:after="0" w:line="240" w:lineRule="auto"/>
              <w:rPr>
                <w:rFonts w:ascii="Arial" w:eastAsia="Arial" w:hAnsi="Arial" w:cs="Arial"/>
                <w:color w:val="000000"/>
                <w:sz w:val="18"/>
                <w:szCs w:val="18"/>
              </w:rPr>
            </w:pPr>
          </w:p>
          <w:p w14:paraId="6E0FC429" w14:textId="77777777" w:rsidR="001C7E6F" w:rsidRDefault="001C7E6F" w:rsidP="00BD3046">
            <w:pPr>
              <w:spacing w:after="0" w:line="240" w:lineRule="auto"/>
              <w:rPr>
                <w:rFonts w:ascii="Arial" w:eastAsia="Arial" w:hAnsi="Arial" w:cs="Arial"/>
                <w:color w:val="000000"/>
                <w:sz w:val="18"/>
                <w:szCs w:val="18"/>
              </w:rPr>
            </w:pPr>
            <w:r w:rsidRPr="00DC32A0">
              <w:rPr>
                <w:rFonts w:ascii="Arial" w:eastAsia="Arial" w:hAnsi="Arial" w:cs="Arial"/>
                <w:color w:val="000000"/>
                <w:sz w:val="18"/>
                <w:szCs w:val="18"/>
              </w:rPr>
              <w:t xml:space="preserve">As fontes não fornecem evidências diretas sobre </w:t>
            </w:r>
            <w:r>
              <w:rPr>
                <w:rFonts w:ascii="Arial" w:eastAsia="Arial" w:hAnsi="Arial" w:cs="Arial"/>
                <w:color w:val="000000"/>
                <w:sz w:val="18"/>
                <w:szCs w:val="18"/>
              </w:rPr>
              <w:t xml:space="preserve">o pleno funcionamento, deliberações expedidas ou sobre </w:t>
            </w:r>
            <w:r w:rsidRPr="00DC32A0">
              <w:rPr>
                <w:rFonts w:ascii="Arial" w:eastAsia="Arial" w:hAnsi="Arial" w:cs="Arial"/>
                <w:color w:val="000000"/>
                <w:sz w:val="18"/>
                <w:szCs w:val="18"/>
              </w:rPr>
              <w:t>a existência de capacitações periódicas obrigatórias formalizadas para os membros do COA do FECOEP</w:t>
            </w:r>
            <w:r>
              <w:rPr>
                <w:rFonts w:ascii="Arial" w:eastAsia="Arial" w:hAnsi="Arial" w:cs="Arial"/>
                <w:color w:val="000000"/>
                <w:sz w:val="18"/>
                <w:szCs w:val="18"/>
              </w:rPr>
              <w:t>-SP</w:t>
            </w:r>
            <w:r w:rsidRPr="00DC32A0">
              <w:rPr>
                <w:rFonts w:ascii="Arial" w:eastAsia="Arial" w:hAnsi="Arial" w:cs="Arial"/>
                <w:color w:val="000000"/>
                <w:sz w:val="18"/>
                <w:szCs w:val="18"/>
              </w:rPr>
              <w:t>.</w:t>
            </w:r>
          </w:p>
          <w:p w14:paraId="6DE54550" w14:textId="77777777" w:rsidR="001C7E6F" w:rsidRDefault="001C7E6F" w:rsidP="00BD3046">
            <w:pPr>
              <w:spacing w:after="0" w:line="240" w:lineRule="auto"/>
              <w:rPr>
                <w:rFonts w:ascii="Arial" w:eastAsia="Arial" w:hAnsi="Arial" w:cs="Arial"/>
                <w:color w:val="000000"/>
                <w:sz w:val="18"/>
                <w:szCs w:val="18"/>
              </w:rPr>
            </w:pPr>
          </w:p>
        </w:tc>
      </w:tr>
      <w:tr w:rsidR="001C7E6F" w14:paraId="0D0FE2D2" w14:textId="77777777" w:rsidTr="00BD3046">
        <w:trPr>
          <w:trHeight w:val="20"/>
        </w:trPr>
        <w:tc>
          <w:tcPr>
            <w:tcW w:w="2263" w:type="dxa"/>
            <w:shd w:val="clear" w:color="auto" w:fill="auto"/>
            <w:vAlign w:val="center"/>
          </w:tcPr>
          <w:p w14:paraId="2FBBA351"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2.5 Capacitação técnica</w:t>
            </w:r>
          </w:p>
        </w:tc>
        <w:tc>
          <w:tcPr>
            <w:tcW w:w="6798" w:type="dxa"/>
            <w:shd w:val="clear" w:color="auto" w:fill="auto"/>
            <w:vAlign w:val="center"/>
          </w:tcPr>
          <w:p w14:paraId="4C751552"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Qualificação dos gestores e ordenadores do Fundo em planejamento, orçamento e avaliação. Verifica ainda se há equipe técnica de apoio.</w:t>
            </w:r>
          </w:p>
          <w:p w14:paraId="42BFBBC9" w14:textId="77777777" w:rsidR="001C7E6F" w:rsidRDefault="001C7E6F" w:rsidP="00BD3046">
            <w:pPr>
              <w:spacing w:after="0" w:line="240" w:lineRule="auto"/>
              <w:rPr>
                <w:rFonts w:ascii="Arial" w:eastAsia="Arial" w:hAnsi="Arial" w:cs="Arial"/>
                <w:color w:val="000000"/>
                <w:sz w:val="18"/>
                <w:szCs w:val="18"/>
              </w:rPr>
            </w:pPr>
          </w:p>
          <w:p w14:paraId="5093F56B"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As fontes não evidenciam tais informações.</w:t>
            </w:r>
          </w:p>
          <w:p w14:paraId="573AFD2F" w14:textId="77777777" w:rsidR="001C7E6F" w:rsidRDefault="001C7E6F" w:rsidP="00BD3046">
            <w:pPr>
              <w:spacing w:after="0" w:line="240" w:lineRule="auto"/>
              <w:rPr>
                <w:rFonts w:ascii="Arial" w:eastAsia="Arial" w:hAnsi="Arial" w:cs="Arial"/>
                <w:color w:val="000000"/>
                <w:sz w:val="18"/>
                <w:szCs w:val="18"/>
              </w:rPr>
            </w:pPr>
          </w:p>
        </w:tc>
      </w:tr>
      <w:tr w:rsidR="001C7E6F" w14:paraId="0E80C575" w14:textId="77777777" w:rsidTr="00BD3046">
        <w:trPr>
          <w:trHeight w:val="20"/>
        </w:trPr>
        <w:tc>
          <w:tcPr>
            <w:tcW w:w="2263" w:type="dxa"/>
            <w:shd w:val="clear" w:color="auto" w:fill="auto"/>
            <w:vAlign w:val="center"/>
          </w:tcPr>
          <w:p w14:paraId="357D5799"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2.6 Articulação intersetorial</w:t>
            </w:r>
          </w:p>
        </w:tc>
        <w:tc>
          <w:tcPr>
            <w:tcW w:w="6798" w:type="dxa"/>
            <w:shd w:val="clear" w:color="auto" w:fill="auto"/>
            <w:vAlign w:val="center"/>
          </w:tcPr>
          <w:p w14:paraId="24966319"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Existência de instâncias de coordenação, coerência e sinergia com diferentes áreas de políticas (saúde, educação, assistência social etc.). Planos integrados, comitês intersetoriais e metas compartilhadas.</w:t>
            </w:r>
          </w:p>
          <w:p w14:paraId="386479BE" w14:textId="77777777" w:rsidR="001C7E6F" w:rsidRDefault="001C7E6F" w:rsidP="00BD3046">
            <w:pPr>
              <w:spacing w:after="0" w:line="240" w:lineRule="auto"/>
              <w:rPr>
                <w:rFonts w:ascii="Arial" w:eastAsia="Arial" w:hAnsi="Arial" w:cs="Arial"/>
                <w:color w:val="000000"/>
                <w:sz w:val="18"/>
                <w:szCs w:val="18"/>
              </w:rPr>
            </w:pPr>
          </w:p>
          <w:p w14:paraId="019F48B1" w14:textId="77777777" w:rsidR="001C7E6F" w:rsidRDefault="001C7E6F" w:rsidP="00BD3046">
            <w:pPr>
              <w:spacing w:after="0" w:line="240" w:lineRule="auto"/>
              <w:rPr>
                <w:rFonts w:ascii="Arial" w:eastAsia="Arial" w:hAnsi="Arial" w:cs="Arial"/>
                <w:color w:val="000000"/>
                <w:sz w:val="18"/>
                <w:szCs w:val="18"/>
              </w:rPr>
            </w:pPr>
            <w:r w:rsidRPr="00D20D0E">
              <w:rPr>
                <w:rFonts w:ascii="Arial" w:eastAsia="Arial" w:hAnsi="Arial" w:cs="Arial"/>
                <w:color w:val="000000"/>
                <w:sz w:val="18"/>
                <w:szCs w:val="18"/>
              </w:rPr>
              <w:t>As fontes confirmam a existência de instâncias e mecanismos formais de coordenação, coerência e sinergia entre as diversas áreas de políticas públicas (saúde, educação, assistência social, habitação, etc.) no Estado de São Paulo, estabelecidos tanto na Constituição Estadual quanto nas peças de planejamento (PPA e LOAs).</w:t>
            </w:r>
            <w:r>
              <w:rPr>
                <w:rFonts w:ascii="Arial" w:eastAsia="Arial" w:hAnsi="Arial" w:cs="Arial"/>
                <w:color w:val="000000"/>
                <w:sz w:val="18"/>
                <w:szCs w:val="18"/>
              </w:rPr>
              <w:t xml:space="preserve"> </w:t>
            </w:r>
            <w:r w:rsidRPr="00D20D0E">
              <w:rPr>
                <w:rFonts w:ascii="Arial" w:eastAsia="Arial" w:hAnsi="Arial" w:cs="Arial"/>
                <w:color w:val="000000"/>
                <w:sz w:val="18"/>
                <w:szCs w:val="18"/>
              </w:rPr>
              <w:t>A coerência e a sinergia são diretrizes fundamentais da gestão do governo e são buscadas através de planos integrados, coordenação centralizada e metas compartilhadas, como as que se alinham aos Objetivos de Desenvolvimento Sustentável (ODS).</w:t>
            </w:r>
          </w:p>
          <w:p w14:paraId="56B45989" w14:textId="77777777" w:rsidR="001C7E6F" w:rsidRDefault="001C7E6F" w:rsidP="00BD3046">
            <w:pPr>
              <w:spacing w:after="0" w:line="240" w:lineRule="auto"/>
              <w:rPr>
                <w:rFonts w:ascii="Arial" w:eastAsia="Arial" w:hAnsi="Arial" w:cs="Arial"/>
                <w:color w:val="000000"/>
                <w:sz w:val="18"/>
                <w:szCs w:val="18"/>
              </w:rPr>
            </w:pPr>
          </w:p>
          <w:p w14:paraId="5FDBAF31" w14:textId="77777777" w:rsidR="001C7E6F" w:rsidRDefault="001C7E6F" w:rsidP="00BD3046">
            <w:pPr>
              <w:spacing w:after="0" w:line="240" w:lineRule="auto"/>
              <w:rPr>
                <w:rFonts w:ascii="Arial" w:eastAsia="Arial" w:hAnsi="Arial" w:cs="Arial"/>
                <w:color w:val="000000"/>
                <w:sz w:val="18"/>
                <w:szCs w:val="18"/>
              </w:rPr>
            </w:pPr>
            <w:r w:rsidRPr="00D20D0E">
              <w:rPr>
                <w:rFonts w:ascii="Arial" w:eastAsia="Arial" w:hAnsi="Arial" w:cs="Arial"/>
                <w:color w:val="000000"/>
                <w:sz w:val="18"/>
                <w:szCs w:val="18"/>
              </w:rPr>
              <w:t>O sistema de planejamento estadual é desenhado para promover a articulação</w:t>
            </w:r>
            <w:r>
              <w:rPr>
                <w:rFonts w:ascii="Arial" w:eastAsia="Arial" w:hAnsi="Arial" w:cs="Arial"/>
                <w:color w:val="000000"/>
                <w:sz w:val="18"/>
                <w:szCs w:val="18"/>
              </w:rPr>
              <w:t xml:space="preserve"> e a coerência entre os setores. </w:t>
            </w:r>
            <w:r w:rsidRPr="00D20D0E">
              <w:rPr>
                <w:rFonts w:ascii="Arial" w:eastAsia="Arial" w:hAnsi="Arial" w:cs="Arial"/>
                <w:color w:val="000000"/>
                <w:sz w:val="18"/>
                <w:szCs w:val="18"/>
              </w:rPr>
              <w:t>Uma das diretrizes centrais para a gestão do PPA 2024-2027 é a "articulação e a cooperação interinstitucional para o alcance dos objetivos e metas de cada programa e dos objetivos estratégicos". Outra diretriz exige o "atendimento às especificidades de implementação de cada política pública, suas complementaridades e oportunidades de integração"</w:t>
            </w:r>
            <w:r>
              <w:rPr>
                <w:rFonts w:ascii="Arial" w:eastAsia="Arial" w:hAnsi="Arial" w:cs="Arial"/>
                <w:color w:val="000000"/>
                <w:sz w:val="18"/>
                <w:szCs w:val="18"/>
              </w:rPr>
              <w:t xml:space="preserve">. </w:t>
            </w:r>
          </w:p>
          <w:p w14:paraId="09DCC89D" w14:textId="77777777" w:rsidR="001C7E6F" w:rsidRDefault="001C7E6F" w:rsidP="00BD3046">
            <w:pPr>
              <w:spacing w:after="0" w:line="240" w:lineRule="auto"/>
              <w:rPr>
                <w:rFonts w:ascii="Arial" w:eastAsia="Arial" w:hAnsi="Arial" w:cs="Arial"/>
                <w:color w:val="000000"/>
                <w:sz w:val="18"/>
                <w:szCs w:val="18"/>
              </w:rPr>
            </w:pPr>
          </w:p>
          <w:p w14:paraId="7608F265" w14:textId="77777777" w:rsidR="001C7E6F" w:rsidRDefault="001C7E6F" w:rsidP="00BD3046">
            <w:pPr>
              <w:spacing w:after="0" w:line="240" w:lineRule="auto"/>
              <w:rPr>
                <w:rFonts w:ascii="Arial" w:eastAsia="Arial" w:hAnsi="Arial" w:cs="Arial"/>
                <w:color w:val="000000"/>
                <w:sz w:val="18"/>
                <w:szCs w:val="18"/>
              </w:rPr>
            </w:pPr>
            <w:r w:rsidRPr="00D20D0E">
              <w:rPr>
                <w:rFonts w:ascii="Arial" w:eastAsia="Arial" w:hAnsi="Arial" w:cs="Arial"/>
                <w:color w:val="000000"/>
                <w:sz w:val="18"/>
                <w:szCs w:val="18"/>
              </w:rPr>
              <w:t>A Secretaria da Casa Civil (órgão central e centro de governo) atua viabilizando, junto às secretarias, as discussões sobre o conteúdo das propostas, visando assegurar a inserção das prioridades governamentais e viabilizar transversalidades e possíveis conexões de políticas públicas. A Secretaria da Fazenda e Planejamento (SFP) coordena a gestão do PPA e é responsável pela "articulação da execução, acompanhamento das metas, avaliação dos resultados e a identificação de restrições e dificuldades das políticas públicas setoriais e multissetoriais, de forma a garantir a coerência e o cumprimento dos planos, programas e ações do Estado"</w:t>
            </w:r>
            <w:r>
              <w:rPr>
                <w:rFonts w:ascii="Arial" w:eastAsia="Arial" w:hAnsi="Arial" w:cs="Arial"/>
                <w:color w:val="000000"/>
                <w:sz w:val="18"/>
                <w:szCs w:val="18"/>
              </w:rPr>
              <w:t>.</w:t>
            </w:r>
          </w:p>
          <w:p w14:paraId="5047F1D8" w14:textId="77777777" w:rsidR="001C7E6F" w:rsidRDefault="001C7E6F" w:rsidP="00BD3046">
            <w:pPr>
              <w:spacing w:after="0" w:line="240" w:lineRule="auto"/>
              <w:rPr>
                <w:rFonts w:ascii="Arial" w:eastAsia="Arial" w:hAnsi="Arial" w:cs="Arial"/>
                <w:color w:val="000000"/>
                <w:sz w:val="18"/>
                <w:szCs w:val="18"/>
              </w:rPr>
            </w:pPr>
          </w:p>
          <w:p w14:paraId="7315CDB2" w14:textId="77777777" w:rsidR="001C7E6F" w:rsidRPr="00D20D0E" w:rsidRDefault="001C7E6F" w:rsidP="00BD3046">
            <w:pPr>
              <w:spacing w:after="0" w:line="240" w:lineRule="auto"/>
              <w:rPr>
                <w:rFonts w:ascii="Arial" w:eastAsia="Arial" w:hAnsi="Arial" w:cs="Arial"/>
                <w:color w:val="000000"/>
                <w:sz w:val="18"/>
                <w:szCs w:val="18"/>
              </w:rPr>
            </w:pPr>
            <w:r w:rsidRPr="00D20D0E">
              <w:rPr>
                <w:rFonts w:ascii="Arial" w:eastAsia="Arial" w:hAnsi="Arial" w:cs="Arial"/>
                <w:color w:val="000000"/>
                <w:sz w:val="18"/>
                <w:szCs w:val="18"/>
              </w:rPr>
              <w:t>As fontes demonstram a existência de estruturas e ações que exigem a integração de diferentes pastas:</w:t>
            </w:r>
          </w:p>
          <w:p w14:paraId="26812AE3" w14:textId="77777777" w:rsidR="001C7E6F" w:rsidRPr="00D20D0E" w:rsidRDefault="001C7E6F" w:rsidP="0032733E">
            <w:pPr>
              <w:pStyle w:val="PargrafodaLista"/>
              <w:numPr>
                <w:ilvl w:val="2"/>
                <w:numId w:val="10"/>
              </w:numPr>
              <w:spacing w:after="0" w:line="240" w:lineRule="auto"/>
              <w:ind w:left="320"/>
              <w:rPr>
                <w:rFonts w:eastAsia="Arial"/>
                <w:color w:val="000000"/>
                <w:sz w:val="18"/>
                <w:szCs w:val="18"/>
              </w:rPr>
            </w:pPr>
            <w:r w:rsidRPr="00D20D0E">
              <w:rPr>
                <w:rFonts w:eastAsia="Arial"/>
                <w:color w:val="000000"/>
                <w:sz w:val="18"/>
                <w:szCs w:val="18"/>
              </w:rPr>
              <w:t>Saúde, Educação e Assistência Social</w:t>
            </w:r>
          </w:p>
          <w:p w14:paraId="44571ECE" w14:textId="77777777" w:rsidR="001C7E6F" w:rsidRPr="00D20D0E" w:rsidRDefault="001C7E6F" w:rsidP="00BD3046">
            <w:pPr>
              <w:spacing w:after="0" w:line="240" w:lineRule="auto"/>
              <w:rPr>
                <w:rFonts w:ascii="Arial" w:eastAsia="Arial" w:hAnsi="Arial" w:cs="Arial"/>
                <w:color w:val="000000"/>
                <w:sz w:val="18"/>
                <w:szCs w:val="18"/>
              </w:rPr>
            </w:pPr>
            <w:r w:rsidRPr="00D20D0E">
              <w:rPr>
                <w:rFonts w:ascii="Arial" w:eastAsia="Arial" w:hAnsi="Arial" w:cs="Arial"/>
                <w:color w:val="000000"/>
                <w:sz w:val="18"/>
                <w:szCs w:val="18"/>
              </w:rPr>
              <w:t>• Ações na Saúde: As principais atribuições de hospitais e institutos de pesquisa na área da Saúde incluem "Promover articulação com outros órgãos de saúde pública ou de assistência social estatal, paraestatal e privada, cuja atuação possa contribuir para a consecução das finalidades do Órgão". Há também atividades de atenção à saúde humana integradas com assistência social, prestadas em residências coletivas e particulares.</w:t>
            </w:r>
          </w:p>
          <w:p w14:paraId="5D45A498" w14:textId="77777777" w:rsidR="001C7E6F" w:rsidRPr="00D20D0E" w:rsidRDefault="001C7E6F" w:rsidP="00BD3046">
            <w:pPr>
              <w:spacing w:after="0" w:line="240" w:lineRule="auto"/>
              <w:rPr>
                <w:rFonts w:ascii="Arial" w:eastAsia="Arial" w:hAnsi="Arial" w:cs="Arial"/>
                <w:color w:val="000000"/>
                <w:sz w:val="18"/>
                <w:szCs w:val="18"/>
              </w:rPr>
            </w:pPr>
            <w:r w:rsidRPr="00D20D0E">
              <w:rPr>
                <w:rFonts w:ascii="Arial" w:eastAsia="Arial" w:hAnsi="Arial" w:cs="Arial"/>
                <w:color w:val="000000"/>
                <w:sz w:val="18"/>
                <w:szCs w:val="18"/>
              </w:rPr>
              <w:t>• Ações na Educação (Convivência e Proteção): A Secretaria da Educação realiza a Ação "</w:t>
            </w:r>
            <w:r>
              <w:rPr>
                <w:rFonts w:ascii="Arial" w:eastAsia="Arial" w:hAnsi="Arial" w:cs="Arial"/>
                <w:color w:val="000000"/>
                <w:sz w:val="18"/>
                <w:szCs w:val="18"/>
              </w:rPr>
              <w:t>G</w:t>
            </w:r>
            <w:r w:rsidRPr="00D20D0E">
              <w:rPr>
                <w:rFonts w:ascii="Arial" w:eastAsia="Arial" w:hAnsi="Arial" w:cs="Arial"/>
                <w:color w:val="000000"/>
                <w:sz w:val="18"/>
                <w:szCs w:val="18"/>
              </w:rPr>
              <w:t xml:space="preserve">estão e </w:t>
            </w:r>
            <w:r>
              <w:rPr>
                <w:rFonts w:ascii="Arial" w:eastAsia="Arial" w:hAnsi="Arial" w:cs="Arial"/>
                <w:color w:val="000000"/>
                <w:sz w:val="18"/>
                <w:szCs w:val="18"/>
              </w:rPr>
              <w:t>A</w:t>
            </w:r>
            <w:r w:rsidRPr="00D20D0E">
              <w:rPr>
                <w:rFonts w:ascii="Arial" w:eastAsia="Arial" w:hAnsi="Arial" w:cs="Arial"/>
                <w:color w:val="000000"/>
                <w:sz w:val="18"/>
                <w:szCs w:val="18"/>
              </w:rPr>
              <w:t xml:space="preserve">primoramento da </w:t>
            </w:r>
            <w:r>
              <w:rPr>
                <w:rFonts w:ascii="Arial" w:eastAsia="Arial" w:hAnsi="Arial" w:cs="Arial"/>
                <w:color w:val="000000"/>
                <w:sz w:val="18"/>
                <w:szCs w:val="18"/>
              </w:rPr>
              <w:t>C</w:t>
            </w:r>
            <w:r w:rsidRPr="00D20D0E">
              <w:rPr>
                <w:rFonts w:ascii="Arial" w:eastAsia="Arial" w:hAnsi="Arial" w:cs="Arial"/>
                <w:color w:val="000000"/>
                <w:sz w:val="18"/>
                <w:szCs w:val="18"/>
              </w:rPr>
              <w:t xml:space="preserve">onvivência e </w:t>
            </w:r>
            <w:r>
              <w:rPr>
                <w:rFonts w:ascii="Arial" w:eastAsia="Arial" w:hAnsi="Arial" w:cs="Arial"/>
                <w:color w:val="000000"/>
                <w:sz w:val="18"/>
                <w:szCs w:val="18"/>
              </w:rPr>
              <w:t>P</w:t>
            </w:r>
            <w:r w:rsidRPr="00D20D0E">
              <w:rPr>
                <w:rFonts w:ascii="Arial" w:eastAsia="Arial" w:hAnsi="Arial" w:cs="Arial"/>
                <w:color w:val="000000"/>
                <w:sz w:val="18"/>
                <w:szCs w:val="18"/>
              </w:rPr>
              <w:t xml:space="preserve">roteção </w:t>
            </w:r>
            <w:r>
              <w:rPr>
                <w:rFonts w:ascii="Arial" w:eastAsia="Arial" w:hAnsi="Arial" w:cs="Arial"/>
                <w:color w:val="000000"/>
                <w:sz w:val="18"/>
                <w:szCs w:val="18"/>
              </w:rPr>
              <w:t>E</w:t>
            </w:r>
            <w:r w:rsidRPr="00D20D0E">
              <w:rPr>
                <w:rFonts w:ascii="Arial" w:eastAsia="Arial" w:hAnsi="Arial" w:cs="Arial"/>
                <w:color w:val="000000"/>
                <w:sz w:val="18"/>
                <w:szCs w:val="18"/>
              </w:rPr>
              <w:t>scolar" (anteriormente Ações Interdisciplinares de Prevenção, Proteção e Convivência nas Escolas), cuja descrição envolve a implementação de práticas preventivas com apoio de profissionais de psicologia e serviço social especializado, contando com rede de proteção.</w:t>
            </w:r>
          </w:p>
          <w:p w14:paraId="53C83A4D" w14:textId="77777777" w:rsidR="001C7E6F" w:rsidRPr="00D20D0E" w:rsidRDefault="001C7E6F" w:rsidP="00BD3046">
            <w:pPr>
              <w:spacing w:after="0" w:line="240" w:lineRule="auto"/>
              <w:rPr>
                <w:rFonts w:ascii="Arial" w:eastAsia="Arial" w:hAnsi="Arial" w:cs="Arial"/>
                <w:color w:val="000000"/>
                <w:sz w:val="18"/>
                <w:szCs w:val="18"/>
              </w:rPr>
            </w:pPr>
            <w:r w:rsidRPr="00D20D0E">
              <w:rPr>
                <w:rFonts w:ascii="Arial" w:eastAsia="Arial" w:hAnsi="Arial" w:cs="Arial"/>
                <w:color w:val="000000"/>
                <w:sz w:val="18"/>
                <w:szCs w:val="18"/>
              </w:rPr>
              <w:t xml:space="preserve">• Assistência Social: A Secretaria de Desenvolvimento Social tem a atribuição de formular, coordenar, articular, monitorar e avaliar a Política Estadual de Assistência, visando conjugar esforços dos setores governamentais (estadual e municipal) e privado. A </w:t>
            </w:r>
            <w:r>
              <w:rPr>
                <w:rFonts w:ascii="Arial" w:eastAsia="Arial" w:hAnsi="Arial" w:cs="Arial"/>
                <w:color w:val="000000"/>
                <w:sz w:val="18"/>
                <w:szCs w:val="18"/>
              </w:rPr>
              <w:t>secretaria</w:t>
            </w:r>
            <w:r w:rsidRPr="00D20D0E">
              <w:rPr>
                <w:rFonts w:ascii="Arial" w:eastAsia="Arial" w:hAnsi="Arial" w:cs="Arial"/>
                <w:color w:val="000000"/>
                <w:sz w:val="18"/>
                <w:szCs w:val="18"/>
              </w:rPr>
              <w:t xml:space="preserve"> também deve participar da elaboração, em conjunto com as demais Secretarias de Estado, do Programa Estadual de Atenção Integral à Criança e ao Adolescente em Situação de Risco ou Vulnerabilidade.</w:t>
            </w:r>
          </w:p>
          <w:p w14:paraId="43718912" w14:textId="77777777" w:rsidR="001C7E6F" w:rsidRPr="00320A11" w:rsidRDefault="001C7E6F" w:rsidP="0032733E">
            <w:pPr>
              <w:pStyle w:val="PargrafodaLista"/>
              <w:numPr>
                <w:ilvl w:val="2"/>
                <w:numId w:val="10"/>
              </w:numPr>
              <w:spacing w:after="0" w:line="240" w:lineRule="auto"/>
              <w:ind w:left="320"/>
              <w:rPr>
                <w:rFonts w:eastAsia="Arial"/>
                <w:color w:val="000000"/>
                <w:sz w:val="18"/>
                <w:szCs w:val="18"/>
              </w:rPr>
            </w:pPr>
            <w:r w:rsidRPr="00320A11">
              <w:rPr>
                <w:rFonts w:eastAsia="Arial"/>
                <w:color w:val="000000"/>
                <w:sz w:val="18"/>
                <w:szCs w:val="18"/>
              </w:rPr>
              <w:t>Habitação e Vulnerabilidade Social</w:t>
            </w:r>
          </w:p>
          <w:p w14:paraId="75A43CFF" w14:textId="77777777" w:rsidR="001C7E6F" w:rsidRPr="00D20D0E" w:rsidRDefault="001C7E6F" w:rsidP="00BD3046">
            <w:pPr>
              <w:spacing w:after="0" w:line="240" w:lineRule="auto"/>
              <w:rPr>
                <w:rFonts w:ascii="Arial" w:eastAsia="Arial" w:hAnsi="Arial" w:cs="Arial"/>
                <w:color w:val="000000"/>
                <w:sz w:val="18"/>
                <w:szCs w:val="18"/>
              </w:rPr>
            </w:pPr>
            <w:r w:rsidRPr="00D20D0E">
              <w:rPr>
                <w:rFonts w:ascii="Arial" w:eastAsia="Arial" w:hAnsi="Arial" w:cs="Arial"/>
                <w:color w:val="000000"/>
                <w:sz w:val="18"/>
                <w:szCs w:val="18"/>
              </w:rPr>
              <w:t xml:space="preserve">• Projetos Multissetoriais de Vulnerabilidade: O diagnóstico do Programa 2832 – </w:t>
            </w:r>
            <w:r>
              <w:rPr>
                <w:rFonts w:ascii="Arial" w:eastAsia="Arial" w:hAnsi="Arial" w:cs="Arial"/>
                <w:color w:val="000000"/>
                <w:sz w:val="18"/>
                <w:szCs w:val="18"/>
              </w:rPr>
              <w:t>R</w:t>
            </w:r>
            <w:r w:rsidRPr="00D20D0E">
              <w:rPr>
                <w:rFonts w:ascii="Arial" w:eastAsia="Arial" w:hAnsi="Arial" w:cs="Arial"/>
                <w:color w:val="000000"/>
                <w:sz w:val="18"/>
                <w:szCs w:val="18"/>
              </w:rPr>
              <w:t xml:space="preserve">ede para </w:t>
            </w:r>
            <w:r>
              <w:rPr>
                <w:rFonts w:ascii="Arial" w:eastAsia="Arial" w:hAnsi="Arial" w:cs="Arial"/>
                <w:color w:val="000000"/>
                <w:sz w:val="18"/>
                <w:szCs w:val="18"/>
              </w:rPr>
              <w:t>Promoção da Cidadania e Enfrentamento da Vulnerabilidade S</w:t>
            </w:r>
            <w:r w:rsidRPr="00D20D0E">
              <w:rPr>
                <w:rFonts w:ascii="Arial" w:eastAsia="Arial" w:hAnsi="Arial" w:cs="Arial"/>
                <w:color w:val="000000"/>
                <w:sz w:val="18"/>
                <w:szCs w:val="18"/>
              </w:rPr>
              <w:t xml:space="preserve">ocial (LOA 2025) aponta problemas como precariedade na moradia, insegurança alimentar e carência de esporte/lazer, e afirma que para o enfrentamento desses problemas "consideram-se </w:t>
            </w:r>
            <w:r w:rsidRPr="00D20D0E">
              <w:rPr>
                <w:rFonts w:ascii="Arial" w:eastAsia="Arial" w:hAnsi="Arial" w:cs="Arial"/>
                <w:color w:val="000000"/>
                <w:sz w:val="18"/>
                <w:szCs w:val="18"/>
              </w:rPr>
              <w:lastRenderedPageBreak/>
              <w:t>necessários arranjos institucionais que proponham soluções em diversas frentes, de forma multissetorial".</w:t>
            </w:r>
          </w:p>
          <w:p w14:paraId="38C4EB16" w14:textId="77777777" w:rsidR="001C7E6F" w:rsidRPr="00D20D0E" w:rsidRDefault="001C7E6F" w:rsidP="00BD3046">
            <w:pPr>
              <w:spacing w:after="0" w:line="240" w:lineRule="auto"/>
              <w:rPr>
                <w:rFonts w:ascii="Arial" w:eastAsia="Arial" w:hAnsi="Arial" w:cs="Arial"/>
                <w:color w:val="000000"/>
                <w:sz w:val="18"/>
                <w:szCs w:val="18"/>
              </w:rPr>
            </w:pPr>
            <w:r w:rsidRPr="00D20D0E">
              <w:rPr>
                <w:rFonts w:ascii="Arial" w:eastAsia="Arial" w:hAnsi="Arial" w:cs="Arial"/>
                <w:color w:val="000000"/>
                <w:sz w:val="18"/>
                <w:szCs w:val="18"/>
              </w:rPr>
              <w:t>• Comitê Intersetorial Municipal: Em nível municipal, é mencionado o Comitê Intersetorial da Política Municipal para a População em Situação de Rua.</w:t>
            </w:r>
          </w:p>
          <w:p w14:paraId="757B8CEC" w14:textId="77777777" w:rsidR="001C7E6F" w:rsidRDefault="001C7E6F" w:rsidP="00BD3046">
            <w:pPr>
              <w:spacing w:after="0" w:line="240" w:lineRule="auto"/>
              <w:rPr>
                <w:rFonts w:ascii="Arial" w:eastAsia="Arial" w:hAnsi="Arial" w:cs="Arial"/>
                <w:color w:val="000000"/>
                <w:sz w:val="18"/>
                <w:szCs w:val="18"/>
              </w:rPr>
            </w:pPr>
            <w:r w:rsidRPr="00D20D0E">
              <w:rPr>
                <w:rFonts w:ascii="Arial" w:eastAsia="Arial" w:hAnsi="Arial" w:cs="Arial"/>
                <w:color w:val="000000"/>
                <w:sz w:val="18"/>
                <w:szCs w:val="18"/>
              </w:rPr>
              <w:t>• Articulação Intersecretarial: A implementação de políticas habitacionais, como o "Projeto Moradia Primeiro," foi considerada como demanda que "demandaria articulação intersecretarial", destacando a participação da Secretaria Municipal de Habitação (SEHAB) e a coordenação da Secretaria de Governo Municipal (SGM)</w:t>
            </w:r>
          </w:p>
          <w:p w14:paraId="1FDA2316" w14:textId="77777777" w:rsidR="001C7E6F" w:rsidRDefault="001C7E6F" w:rsidP="00BD3046">
            <w:pPr>
              <w:spacing w:after="0" w:line="240" w:lineRule="auto"/>
              <w:rPr>
                <w:rFonts w:ascii="Arial" w:eastAsia="Arial" w:hAnsi="Arial" w:cs="Arial"/>
                <w:color w:val="000000"/>
                <w:sz w:val="18"/>
                <w:szCs w:val="18"/>
              </w:rPr>
            </w:pPr>
          </w:p>
        </w:tc>
      </w:tr>
      <w:tr w:rsidR="001C7E6F" w14:paraId="4280C90F" w14:textId="77777777" w:rsidTr="00BD3046">
        <w:trPr>
          <w:trHeight w:val="20"/>
        </w:trPr>
        <w:tc>
          <w:tcPr>
            <w:tcW w:w="2263" w:type="dxa"/>
            <w:shd w:val="clear" w:color="auto" w:fill="auto"/>
            <w:vAlign w:val="center"/>
          </w:tcPr>
          <w:p w14:paraId="7D23D166"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2.7 Prestação de contas</w:t>
            </w:r>
          </w:p>
        </w:tc>
        <w:tc>
          <w:tcPr>
            <w:tcW w:w="6798" w:type="dxa"/>
            <w:shd w:val="clear" w:color="auto" w:fill="auto"/>
            <w:vAlign w:val="center"/>
          </w:tcPr>
          <w:p w14:paraId="62252339"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A lei prevê “o quê”, “quando” e “como” os resultados do Fundo serão reportados ao público e aos controles. Periodicidade e publicidade de relatórios específicos.</w:t>
            </w:r>
          </w:p>
          <w:p w14:paraId="45C53492" w14:textId="77777777" w:rsidR="001C7E6F" w:rsidRDefault="001C7E6F" w:rsidP="00BD3046">
            <w:pPr>
              <w:spacing w:after="0" w:line="240" w:lineRule="auto"/>
              <w:rPr>
                <w:rFonts w:ascii="Arial" w:eastAsia="Arial" w:hAnsi="Arial" w:cs="Arial"/>
                <w:color w:val="000000"/>
                <w:sz w:val="18"/>
                <w:szCs w:val="18"/>
              </w:rPr>
            </w:pPr>
          </w:p>
          <w:p w14:paraId="397EB056" w14:textId="77777777" w:rsidR="001C7E6F"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Artigo 12 -</w:t>
            </w:r>
            <w:r>
              <w:rPr>
                <w:rFonts w:ascii="Arial" w:eastAsia="Arial" w:hAnsi="Arial" w:cs="Arial"/>
                <w:color w:val="000000"/>
                <w:sz w:val="18"/>
                <w:szCs w:val="18"/>
              </w:rPr>
              <w:t xml:space="preserve"> </w:t>
            </w:r>
            <w:r w:rsidRPr="00C9798D">
              <w:rPr>
                <w:rFonts w:ascii="Arial" w:eastAsia="Arial" w:hAnsi="Arial" w:cs="Arial"/>
                <w:color w:val="000000"/>
                <w:sz w:val="18"/>
                <w:szCs w:val="18"/>
              </w:rPr>
              <w:t>Incumbe aos órgãos e entidades para os quais forem destinados recursos do FECOEP</w:t>
            </w:r>
            <w:r>
              <w:rPr>
                <w:rFonts w:ascii="Arial" w:eastAsia="Arial" w:hAnsi="Arial" w:cs="Arial"/>
                <w:color w:val="000000"/>
                <w:sz w:val="18"/>
                <w:szCs w:val="18"/>
              </w:rPr>
              <w:t>-SP</w:t>
            </w:r>
            <w:r w:rsidRPr="00C9798D">
              <w:rPr>
                <w:rFonts w:ascii="Arial" w:eastAsia="Arial" w:hAnsi="Arial" w:cs="Arial"/>
                <w:color w:val="000000"/>
                <w:sz w:val="18"/>
                <w:szCs w:val="18"/>
              </w:rPr>
              <w:t xml:space="preserve"> a prestação de contas da sua</w:t>
            </w:r>
            <w:r>
              <w:rPr>
                <w:rFonts w:ascii="Arial" w:eastAsia="Arial" w:hAnsi="Arial" w:cs="Arial"/>
                <w:color w:val="000000"/>
                <w:sz w:val="18"/>
                <w:szCs w:val="18"/>
              </w:rPr>
              <w:t xml:space="preserve"> </w:t>
            </w:r>
            <w:r w:rsidRPr="00C9798D">
              <w:rPr>
                <w:rFonts w:ascii="Arial" w:eastAsia="Arial" w:hAnsi="Arial" w:cs="Arial"/>
                <w:color w:val="000000"/>
                <w:sz w:val="18"/>
                <w:szCs w:val="18"/>
              </w:rPr>
              <w:t>utilização, sem prejuízo das prestações de contas exigidas pela legislação em vigor e p</w:t>
            </w:r>
            <w:r>
              <w:rPr>
                <w:rFonts w:ascii="Arial" w:eastAsia="Arial" w:hAnsi="Arial" w:cs="Arial"/>
                <w:color w:val="000000"/>
                <w:sz w:val="18"/>
                <w:szCs w:val="18"/>
              </w:rPr>
              <w:t xml:space="preserve">elos atos normativos aplicáveis (Decreto n° </w:t>
            </w:r>
            <w:r w:rsidRPr="00105D48">
              <w:rPr>
                <w:rFonts w:ascii="Arial" w:eastAsia="Arial" w:hAnsi="Arial" w:cs="Arial"/>
                <w:color w:val="000000"/>
                <w:sz w:val="18"/>
                <w:szCs w:val="18"/>
              </w:rPr>
              <w:t>62.242</w:t>
            </w:r>
            <w:r>
              <w:rPr>
                <w:rFonts w:ascii="Arial" w:eastAsia="Arial" w:hAnsi="Arial" w:cs="Arial"/>
                <w:color w:val="000000"/>
                <w:sz w:val="18"/>
                <w:szCs w:val="18"/>
              </w:rPr>
              <w:t>/2016).</w:t>
            </w:r>
          </w:p>
          <w:p w14:paraId="4C3FB147" w14:textId="77777777" w:rsidR="001C7E6F" w:rsidRDefault="001C7E6F" w:rsidP="00BD3046">
            <w:pPr>
              <w:spacing w:after="0" w:line="240" w:lineRule="auto"/>
              <w:rPr>
                <w:rFonts w:ascii="Arial" w:eastAsia="Arial" w:hAnsi="Arial" w:cs="Arial"/>
                <w:color w:val="000000"/>
                <w:sz w:val="18"/>
                <w:szCs w:val="18"/>
              </w:rPr>
            </w:pPr>
          </w:p>
        </w:tc>
      </w:tr>
      <w:tr w:rsidR="001C7E6F" w14:paraId="0359C1CC" w14:textId="77777777" w:rsidTr="00BD3046">
        <w:trPr>
          <w:trHeight w:val="20"/>
        </w:trPr>
        <w:tc>
          <w:tcPr>
            <w:tcW w:w="2263" w:type="dxa"/>
            <w:shd w:val="clear" w:color="auto" w:fill="auto"/>
            <w:vAlign w:val="center"/>
          </w:tcPr>
          <w:p w14:paraId="61AE1D3D"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2.8 Critérios redistributivos</w:t>
            </w:r>
          </w:p>
        </w:tc>
        <w:tc>
          <w:tcPr>
            <w:tcW w:w="6798" w:type="dxa"/>
            <w:shd w:val="clear" w:color="auto" w:fill="auto"/>
            <w:vAlign w:val="center"/>
          </w:tcPr>
          <w:p w14:paraId="6FA4905D"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Orientação sobre a alocação de recursos por equidade (território, vulnerabilidade e público-alvo), mediante aplicação de parâmetros técnicos (IDH, CadÚnico, mapas de pobreza, entre outros).</w:t>
            </w:r>
          </w:p>
          <w:p w14:paraId="17432C82" w14:textId="77777777" w:rsidR="001C7E6F" w:rsidRDefault="001C7E6F" w:rsidP="00BD3046">
            <w:pPr>
              <w:spacing w:after="0" w:line="240" w:lineRule="auto"/>
              <w:rPr>
                <w:rFonts w:ascii="Arial" w:eastAsia="Arial" w:hAnsi="Arial" w:cs="Arial"/>
                <w:color w:val="000000"/>
                <w:sz w:val="18"/>
                <w:szCs w:val="18"/>
              </w:rPr>
            </w:pPr>
          </w:p>
          <w:p w14:paraId="070F4049" w14:textId="77777777" w:rsidR="001C7E6F" w:rsidRDefault="001C7E6F" w:rsidP="00BD3046">
            <w:pPr>
              <w:spacing w:after="0" w:line="240" w:lineRule="auto"/>
              <w:rPr>
                <w:rFonts w:ascii="Arial" w:eastAsia="Arial" w:hAnsi="Arial" w:cs="Arial"/>
                <w:color w:val="000000"/>
                <w:sz w:val="18"/>
                <w:szCs w:val="18"/>
              </w:rPr>
            </w:pPr>
            <w:r w:rsidRPr="00320A11">
              <w:rPr>
                <w:rFonts w:ascii="Arial" w:eastAsia="Arial" w:hAnsi="Arial" w:cs="Arial"/>
                <w:color w:val="000000"/>
                <w:sz w:val="18"/>
                <w:szCs w:val="18"/>
              </w:rPr>
              <w:t>As ações de urbanização e melhorias e o enfrentamento da inadequação habitacional e do déficit habitacional concentram-se principalmente na Região Metropolitana de São Paulo e nas demais Regiões Metropolitanas e Centros Urbanos. A provisão habitacional prioriza famílias em "condições de moradia precárias graves" e "moradores de áreas de risco".</w:t>
            </w:r>
            <w:r>
              <w:rPr>
                <w:rFonts w:ascii="Arial" w:eastAsia="Arial" w:hAnsi="Arial" w:cs="Arial"/>
                <w:color w:val="000000"/>
                <w:sz w:val="18"/>
                <w:szCs w:val="18"/>
              </w:rPr>
              <w:t xml:space="preserve"> </w:t>
            </w:r>
            <w:r w:rsidRPr="00320A11">
              <w:rPr>
                <w:rFonts w:ascii="Arial" w:eastAsia="Arial" w:hAnsi="Arial" w:cs="Arial"/>
                <w:color w:val="000000"/>
                <w:sz w:val="18"/>
                <w:szCs w:val="18"/>
              </w:rPr>
              <w:t>O cofinanciamento de serviços socioassistenciais prioriza os serviços de proteção social básica em equipamentos municipais e em domicílio, visando garantir e ampliar a oferta qualificada "de acordo com as necessidades dos territórios, priorizando os de alta vulnerabilidade social". A Política Estadual de Assistência Social visa o atendimento de "segmentos da população em situação de vulnerabilidade social", baseada nos pilares da equidade.</w:t>
            </w:r>
          </w:p>
          <w:p w14:paraId="6F21E7D0" w14:textId="77777777" w:rsidR="001C7E6F" w:rsidRDefault="001C7E6F" w:rsidP="00BD3046">
            <w:pPr>
              <w:spacing w:after="0" w:line="240" w:lineRule="auto"/>
              <w:rPr>
                <w:rFonts w:ascii="Arial" w:eastAsia="Arial" w:hAnsi="Arial" w:cs="Arial"/>
                <w:color w:val="000000"/>
                <w:sz w:val="18"/>
                <w:szCs w:val="18"/>
              </w:rPr>
            </w:pPr>
          </w:p>
          <w:p w14:paraId="02C718B8" w14:textId="77777777" w:rsidR="001C7E6F" w:rsidRDefault="001C7E6F" w:rsidP="00BD3046">
            <w:pPr>
              <w:spacing w:after="0" w:line="240" w:lineRule="auto"/>
              <w:rPr>
                <w:rFonts w:ascii="Arial" w:eastAsia="Arial" w:hAnsi="Arial" w:cs="Arial"/>
                <w:color w:val="000000"/>
                <w:sz w:val="18"/>
                <w:szCs w:val="18"/>
              </w:rPr>
            </w:pPr>
            <w:r w:rsidRPr="00320A11">
              <w:rPr>
                <w:rFonts w:ascii="Arial" w:eastAsia="Arial" w:hAnsi="Arial" w:cs="Arial"/>
                <w:color w:val="000000"/>
                <w:sz w:val="18"/>
                <w:szCs w:val="18"/>
              </w:rPr>
              <w:t>A falha primária identificada não está na falta de parâmetros técnicos no Estado (que utiliza IVS, CadÚnico, mapas de risco, etc.), mas sim na falha do órgão gestor do FECOEP</w:t>
            </w:r>
            <w:r>
              <w:rPr>
                <w:rFonts w:ascii="Arial" w:eastAsia="Arial" w:hAnsi="Arial" w:cs="Arial"/>
                <w:color w:val="000000"/>
                <w:sz w:val="18"/>
                <w:szCs w:val="18"/>
              </w:rPr>
              <w:t>-SP</w:t>
            </w:r>
            <w:r w:rsidRPr="00320A11">
              <w:rPr>
                <w:rFonts w:ascii="Arial" w:eastAsia="Arial" w:hAnsi="Arial" w:cs="Arial"/>
                <w:color w:val="000000"/>
                <w:sz w:val="18"/>
                <w:szCs w:val="18"/>
              </w:rPr>
              <w:t xml:space="preserve"> em formalizar e utilizar esses ou outros critérios objetivos e técnicos para guiar a seleção e a alocação dos recursos do Fundo, garantindo que cheguem a quem mais precisa (equidade e vulnerabilidade)</w:t>
            </w:r>
            <w:r>
              <w:rPr>
                <w:rFonts w:ascii="Arial" w:eastAsia="Arial" w:hAnsi="Arial" w:cs="Arial"/>
                <w:color w:val="000000"/>
                <w:sz w:val="18"/>
                <w:szCs w:val="18"/>
              </w:rPr>
              <w:t>.</w:t>
            </w:r>
          </w:p>
          <w:p w14:paraId="2B0BEB97" w14:textId="77777777" w:rsidR="001C7E6F" w:rsidRDefault="001C7E6F" w:rsidP="00BD3046">
            <w:pPr>
              <w:spacing w:after="0" w:line="240" w:lineRule="auto"/>
              <w:rPr>
                <w:rFonts w:ascii="Arial" w:eastAsia="Arial" w:hAnsi="Arial" w:cs="Arial"/>
                <w:color w:val="000000"/>
                <w:sz w:val="18"/>
                <w:szCs w:val="18"/>
              </w:rPr>
            </w:pPr>
          </w:p>
        </w:tc>
      </w:tr>
      <w:tr w:rsidR="001C7E6F" w14:paraId="2AC8486C" w14:textId="77777777" w:rsidTr="00BD3046">
        <w:trPr>
          <w:trHeight w:val="20"/>
        </w:trPr>
        <w:tc>
          <w:tcPr>
            <w:tcW w:w="2263" w:type="dxa"/>
            <w:shd w:val="clear" w:color="auto" w:fill="auto"/>
            <w:vAlign w:val="center"/>
          </w:tcPr>
          <w:p w14:paraId="256C7399"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2.9 Estabilidade institucional</w:t>
            </w:r>
          </w:p>
        </w:tc>
        <w:tc>
          <w:tcPr>
            <w:tcW w:w="6798" w:type="dxa"/>
            <w:shd w:val="clear" w:color="auto" w:fill="auto"/>
            <w:vAlign w:val="center"/>
          </w:tcPr>
          <w:p w14:paraId="4C9B68CE" w14:textId="77777777" w:rsidR="001C7E6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sz w:val="18"/>
                <w:szCs w:val="18"/>
              </w:rPr>
              <w:t>Identificação do t</w:t>
            </w:r>
            <w:r w:rsidRPr="007953EF">
              <w:rPr>
                <w:rFonts w:ascii="Arial" w:eastAsia="Arial" w:hAnsi="Arial" w:cs="Arial"/>
                <w:i/>
                <w:color w:val="000000"/>
                <w:sz w:val="18"/>
                <w:szCs w:val="18"/>
              </w:rPr>
              <w:t>empo de existência do Fundo, alterações normativas relevantes, ausência de judicializações, continuidade do Conselho nos últimos 5 anos. Mensuração da previsibilidade do planejamento frente a trocas de gestão e ciclos eleitorais.</w:t>
            </w:r>
          </w:p>
          <w:p w14:paraId="011097D5" w14:textId="77777777" w:rsidR="001C7E6F" w:rsidRDefault="001C7E6F" w:rsidP="00BD3046">
            <w:pPr>
              <w:spacing w:after="0" w:line="240" w:lineRule="auto"/>
              <w:rPr>
                <w:rFonts w:ascii="Arial" w:eastAsia="Arial" w:hAnsi="Arial" w:cs="Arial"/>
                <w:i/>
                <w:color w:val="000000"/>
                <w:sz w:val="18"/>
                <w:szCs w:val="18"/>
              </w:rPr>
            </w:pPr>
          </w:p>
          <w:p w14:paraId="749D768E" w14:textId="77777777" w:rsidR="001C7E6F" w:rsidRDefault="001C7E6F" w:rsidP="00BD3046">
            <w:pPr>
              <w:spacing w:after="0" w:line="240" w:lineRule="auto"/>
              <w:rPr>
                <w:rFonts w:ascii="Arial" w:eastAsia="Arial" w:hAnsi="Arial" w:cs="Arial"/>
                <w:color w:val="000000"/>
                <w:sz w:val="18"/>
                <w:szCs w:val="18"/>
              </w:rPr>
            </w:pPr>
            <w:r w:rsidRPr="00F0205D">
              <w:rPr>
                <w:rFonts w:ascii="Arial" w:eastAsia="Arial" w:hAnsi="Arial" w:cs="Arial"/>
                <w:color w:val="000000"/>
                <w:sz w:val="18"/>
                <w:szCs w:val="18"/>
              </w:rPr>
              <w:t>A estabilidade institucional do FECOEP</w:t>
            </w:r>
            <w:r>
              <w:rPr>
                <w:rFonts w:ascii="Arial" w:eastAsia="Arial" w:hAnsi="Arial" w:cs="Arial"/>
                <w:color w:val="000000"/>
                <w:sz w:val="18"/>
                <w:szCs w:val="18"/>
              </w:rPr>
              <w:t>-SP</w:t>
            </w:r>
            <w:r w:rsidRPr="00F0205D">
              <w:rPr>
                <w:rFonts w:ascii="Arial" w:eastAsia="Arial" w:hAnsi="Arial" w:cs="Arial"/>
                <w:color w:val="000000"/>
                <w:sz w:val="18"/>
                <w:szCs w:val="18"/>
              </w:rPr>
              <w:t xml:space="preserve"> e do planejamento governamental em São Paulo é marcada pela sua longevidade legal, mas também por significativas alterações normativas e críticas quanto à previsibilidade estratégica.</w:t>
            </w:r>
          </w:p>
          <w:p w14:paraId="57DA1DEC" w14:textId="77777777" w:rsidR="001C7E6F" w:rsidRDefault="001C7E6F" w:rsidP="00BD3046">
            <w:pPr>
              <w:spacing w:after="0" w:line="240" w:lineRule="auto"/>
              <w:rPr>
                <w:rFonts w:ascii="Arial" w:eastAsia="Arial" w:hAnsi="Arial" w:cs="Arial"/>
                <w:color w:val="000000"/>
                <w:sz w:val="18"/>
                <w:szCs w:val="18"/>
              </w:rPr>
            </w:pPr>
          </w:p>
          <w:p w14:paraId="65BAC12C" w14:textId="77777777" w:rsidR="001C7E6F" w:rsidRDefault="001C7E6F" w:rsidP="00BD3046">
            <w:pPr>
              <w:spacing w:after="0" w:line="240" w:lineRule="auto"/>
              <w:rPr>
                <w:rFonts w:ascii="Arial" w:eastAsia="Arial" w:hAnsi="Arial" w:cs="Arial"/>
                <w:color w:val="000000"/>
                <w:sz w:val="18"/>
                <w:szCs w:val="18"/>
              </w:rPr>
            </w:pPr>
            <w:r w:rsidRPr="00F0205D">
              <w:rPr>
                <w:rFonts w:ascii="Arial" w:eastAsia="Arial" w:hAnsi="Arial" w:cs="Arial"/>
                <w:color w:val="000000"/>
                <w:sz w:val="18"/>
                <w:szCs w:val="18"/>
              </w:rPr>
              <w:t>Apesar de ativo, o Conselho foi criticado pela insuficiente coordenação relativa à formulação dos programas e pela ausência de critérios para seleção das ações beneficiadas, o que levou a recomendações do TCE-SP para que reavalie seu papel e atue de forma estratégica e coordenada</w:t>
            </w:r>
            <w:r>
              <w:rPr>
                <w:rFonts w:ascii="Arial" w:eastAsia="Arial" w:hAnsi="Arial" w:cs="Arial"/>
                <w:color w:val="000000"/>
                <w:sz w:val="18"/>
                <w:szCs w:val="18"/>
              </w:rPr>
              <w:t xml:space="preserve">. </w:t>
            </w:r>
            <w:r w:rsidRPr="00F0205D">
              <w:rPr>
                <w:rFonts w:ascii="Arial" w:eastAsia="Arial" w:hAnsi="Arial" w:cs="Arial"/>
                <w:color w:val="000000"/>
                <w:sz w:val="18"/>
                <w:szCs w:val="18"/>
              </w:rPr>
              <w:t>O FECOEP</w:t>
            </w:r>
            <w:r>
              <w:rPr>
                <w:rFonts w:ascii="Arial" w:eastAsia="Arial" w:hAnsi="Arial" w:cs="Arial"/>
                <w:color w:val="000000"/>
                <w:sz w:val="18"/>
                <w:szCs w:val="18"/>
              </w:rPr>
              <w:t>-SP</w:t>
            </w:r>
            <w:r w:rsidRPr="00F0205D">
              <w:rPr>
                <w:rFonts w:ascii="Arial" w:eastAsia="Arial" w:hAnsi="Arial" w:cs="Arial"/>
                <w:color w:val="000000"/>
                <w:sz w:val="18"/>
                <w:szCs w:val="18"/>
              </w:rPr>
              <w:t xml:space="preserve"> foi formalmente instituído no Estado de São Paulo pela Lei n.º 16.006</w:t>
            </w:r>
            <w:r>
              <w:rPr>
                <w:rFonts w:ascii="Arial" w:eastAsia="Arial" w:hAnsi="Arial" w:cs="Arial"/>
                <w:color w:val="000000"/>
                <w:sz w:val="18"/>
                <w:szCs w:val="18"/>
              </w:rPr>
              <w:t>/</w:t>
            </w:r>
            <w:r w:rsidRPr="00F0205D">
              <w:rPr>
                <w:rFonts w:ascii="Arial" w:eastAsia="Arial" w:hAnsi="Arial" w:cs="Arial"/>
                <w:color w:val="000000"/>
                <w:sz w:val="18"/>
                <w:szCs w:val="18"/>
              </w:rPr>
              <w:t>2015.</w:t>
            </w:r>
            <w:r>
              <w:rPr>
                <w:rFonts w:ascii="Arial" w:eastAsia="Arial" w:hAnsi="Arial" w:cs="Arial"/>
                <w:color w:val="000000"/>
                <w:sz w:val="18"/>
                <w:szCs w:val="18"/>
              </w:rPr>
              <w:t xml:space="preserve"> </w:t>
            </w:r>
            <w:r w:rsidRPr="00F0205D">
              <w:rPr>
                <w:rFonts w:ascii="Arial" w:eastAsia="Arial" w:hAnsi="Arial" w:cs="Arial"/>
                <w:color w:val="000000"/>
                <w:sz w:val="18"/>
                <w:szCs w:val="18"/>
              </w:rPr>
              <w:t>Sua disciplina, gestão e prestação de contas são estabelecidas em regulamento. O Fundo foi regulamentado pelo Decreto n.º 62.242</w:t>
            </w:r>
            <w:r>
              <w:rPr>
                <w:rFonts w:ascii="Arial" w:eastAsia="Arial" w:hAnsi="Arial" w:cs="Arial"/>
                <w:color w:val="000000"/>
                <w:sz w:val="18"/>
                <w:szCs w:val="18"/>
              </w:rPr>
              <w:t>/</w:t>
            </w:r>
            <w:r w:rsidRPr="00F0205D">
              <w:rPr>
                <w:rFonts w:ascii="Arial" w:eastAsia="Arial" w:hAnsi="Arial" w:cs="Arial"/>
                <w:color w:val="000000"/>
                <w:sz w:val="18"/>
                <w:szCs w:val="18"/>
              </w:rPr>
              <w:t>2016</w:t>
            </w:r>
            <w:r>
              <w:rPr>
                <w:rFonts w:ascii="Arial" w:eastAsia="Arial" w:hAnsi="Arial" w:cs="Arial"/>
                <w:color w:val="000000"/>
                <w:sz w:val="18"/>
                <w:szCs w:val="18"/>
              </w:rPr>
              <w:t xml:space="preserve"> e alterações.</w:t>
            </w:r>
          </w:p>
          <w:p w14:paraId="4891980A" w14:textId="77777777" w:rsidR="001C7E6F" w:rsidRDefault="001C7E6F" w:rsidP="00BD3046">
            <w:pPr>
              <w:spacing w:after="0" w:line="240" w:lineRule="auto"/>
              <w:rPr>
                <w:rFonts w:ascii="Arial" w:eastAsia="Arial" w:hAnsi="Arial" w:cs="Arial"/>
                <w:color w:val="000000"/>
                <w:sz w:val="18"/>
                <w:szCs w:val="18"/>
              </w:rPr>
            </w:pPr>
          </w:p>
          <w:p w14:paraId="1482966C" w14:textId="77777777" w:rsidR="001C7E6F" w:rsidRPr="00320A11" w:rsidRDefault="001C7E6F" w:rsidP="00BD3046">
            <w:pPr>
              <w:spacing w:after="0" w:line="240" w:lineRule="auto"/>
              <w:rPr>
                <w:rFonts w:ascii="Arial" w:eastAsia="Arial" w:hAnsi="Arial" w:cs="Arial"/>
                <w:color w:val="000000"/>
                <w:sz w:val="18"/>
                <w:szCs w:val="18"/>
              </w:rPr>
            </w:pPr>
            <w:r w:rsidRPr="00F0205D">
              <w:rPr>
                <w:rFonts w:ascii="Arial" w:eastAsia="Arial" w:hAnsi="Arial" w:cs="Arial"/>
                <w:color w:val="000000"/>
                <w:sz w:val="18"/>
                <w:szCs w:val="18"/>
              </w:rPr>
              <w:t>O planejamento do Estado busca formalmente a coerência e continuidade, mas o alinhamento com o programa de governo sugere flutuações nas prioridades a cada ciclo eleitoral</w:t>
            </w:r>
            <w:r>
              <w:rPr>
                <w:rFonts w:ascii="Arial" w:eastAsia="Arial" w:hAnsi="Arial" w:cs="Arial"/>
                <w:color w:val="000000"/>
                <w:sz w:val="18"/>
                <w:szCs w:val="18"/>
              </w:rPr>
              <w:t>.</w:t>
            </w:r>
          </w:p>
          <w:p w14:paraId="70D15817" w14:textId="77777777" w:rsidR="001C7E6F" w:rsidRDefault="001C7E6F" w:rsidP="00BD3046">
            <w:pPr>
              <w:spacing w:after="0" w:line="240" w:lineRule="auto"/>
              <w:rPr>
                <w:rFonts w:ascii="Arial" w:eastAsia="Arial" w:hAnsi="Arial" w:cs="Arial"/>
                <w:color w:val="000000"/>
                <w:sz w:val="18"/>
                <w:szCs w:val="18"/>
              </w:rPr>
            </w:pPr>
          </w:p>
          <w:p w14:paraId="2A2D66AA" w14:textId="77777777" w:rsidR="001C7E6F" w:rsidRDefault="001C7E6F" w:rsidP="00BD3046">
            <w:pPr>
              <w:spacing w:after="0" w:line="240" w:lineRule="auto"/>
              <w:rPr>
                <w:rFonts w:ascii="Arial" w:eastAsia="Arial" w:hAnsi="Arial" w:cs="Arial"/>
                <w:color w:val="000000"/>
                <w:sz w:val="18"/>
                <w:szCs w:val="18"/>
              </w:rPr>
            </w:pPr>
          </w:p>
        </w:tc>
      </w:tr>
      <w:tr w:rsidR="001C7E6F" w14:paraId="3DF1B7C1" w14:textId="77777777" w:rsidTr="00BD3046">
        <w:trPr>
          <w:trHeight w:val="20"/>
        </w:trPr>
        <w:tc>
          <w:tcPr>
            <w:tcW w:w="2263" w:type="dxa"/>
            <w:shd w:val="clear" w:color="auto" w:fill="auto"/>
            <w:vAlign w:val="center"/>
          </w:tcPr>
          <w:p w14:paraId="608F27B5"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2.10 Revisão e correção de metas</w:t>
            </w:r>
          </w:p>
        </w:tc>
        <w:tc>
          <w:tcPr>
            <w:tcW w:w="6798" w:type="dxa"/>
            <w:shd w:val="clear" w:color="auto" w:fill="auto"/>
            <w:vAlign w:val="center"/>
          </w:tcPr>
          <w:p w14:paraId="6EF327BD"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Incorporação do PDCA na gestão dos recursos do Fundo. Monitora e ajusta os planos (PA e PAF) diante de desafios.</w:t>
            </w:r>
          </w:p>
          <w:p w14:paraId="01486777" w14:textId="77777777" w:rsidR="001C7E6F" w:rsidRDefault="001C7E6F" w:rsidP="00BD3046">
            <w:pPr>
              <w:spacing w:after="0" w:line="240" w:lineRule="auto"/>
              <w:rPr>
                <w:rFonts w:ascii="Arial" w:eastAsia="Arial" w:hAnsi="Arial" w:cs="Arial"/>
                <w:color w:val="000000"/>
                <w:sz w:val="18"/>
                <w:szCs w:val="18"/>
              </w:rPr>
            </w:pPr>
          </w:p>
          <w:p w14:paraId="51B5DFA0"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As fontes não evidenciam tais informações.</w:t>
            </w:r>
          </w:p>
          <w:p w14:paraId="4950DB16" w14:textId="77777777" w:rsidR="001C7E6F" w:rsidRDefault="001C7E6F" w:rsidP="00BD3046">
            <w:pPr>
              <w:spacing w:after="0" w:line="240" w:lineRule="auto"/>
              <w:rPr>
                <w:rFonts w:ascii="Arial" w:eastAsia="Arial" w:hAnsi="Arial" w:cs="Arial"/>
                <w:color w:val="000000"/>
                <w:sz w:val="18"/>
                <w:szCs w:val="18"/>
              </w:rPr>
            </w:pPr>
          </w:p>
        </w:tc>
      </w:tr>
      <w:tr w:rsidR="001C7E6F" w14:paraId="0A2D0726" w14:textId="77777777" w:rsidTr="00BD3046">
        <w:trPr>
          <w:trHeight w:val="20"/>
        </w:trPr>
        <w:tc>
          <w:tcPr>
            <w:tcW w:w="2263" w:type="dxa"/>
            <w:shd w:val="clear" w:color="auto" w:fill="auto"/>
            <w:vAlign w:val="center"/>
          </w:tcPr>
          <w:p w14:paraId="7D233C01"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2.11 Participação social no planejamento</w:t>
            </w:r>
          </w:p>
        </w:tc>
        <w:tc>
          <w:tcPr>
            <w:tcW w:w="6798" w:type="dxa"/>
            <w:shd w:val="clear" w:color="auto" w:fill="auto"/>
            <w:vAlign w:val="center"/>
          </w:tcPr>
          <w:p w14:paraId="4BC1EAD9" w14:textId="77777777" w:rsidR="001C7E6F" w:rsidRDefault="001C7E6F" w:rsidP="00BD3046">
            <w:pPr>
              <w:spacing w:after="0" w:line="240" w:lineRule="auto"/>
              <w:rPr>
                <w:rFonts w:ascii="Arial" w:eastAsia="Arial" w:hAnsi="Arial" w:cs="Arial"/>
                <w:color w:val="000000"/>
                <w:sz w:val="18"/>
                <w:szCs w:val="18"/>
              </w:rPr>
            </w:pPr>
            <w:r w:rsidRPr="007953EF">
              <w:rPr>
                <w:rFonts w:ascii="Arial" w:eastAsia="Arial" w:hAnsi="Arial" w:cs="Arial"/>
                <w:i/>
                <w:color w:val="000000"/>
                <w:sz w:val="18"/>
                <w:szCs w:val="18"/>
              </w:rPr>
              <w:t xml:space="preserve">Participação ex ante. Avalia se sociedade ou o Conselho interveio antes da alocação dos recursos, definindo prioridades, metas, PA ou PAF e critérios objetivos de aplicação. O foco está na representatividade paritária, influência efetiva, tempestividade </w:t>
            </w:r>
            <w:r w:rsidRPr="007953EF">
              <w:rPr>
                <w:rFonts w:ascii="Arial" w:eastAsia="Arial" w:hAnsi="Arial" w:cs="Arial"/>
                <w:i/>
                <w:color w:val="000000"/>
                <w:sz w:val="18"/>
                <w:szCs w:val="18"/>
              </w:rPr>
              <w:lastRenderedPageBreak/>
              <w:t>e rastreabilidade (atas, deliberações, calendário de reuniões, versões comparadas dos planos etc.). Realização de audiências</w:t>
            </w:r>
            <w:r>
              <w:rPr>
                <w:rFonts w:ascii="Arial" w:eastAsia="Arial" w:hAnsi="Arial" w:cs="Arial"/>
                <w:color w:val="000000"/>
                <w:sz w:val="18"/>
                <w:szCs w:val="18"/>
              </w:rPr>
              <w:t xml:space="preserve"> </w:t>
            </w:r>
            <w:r w:rsidRPr="007953EF">
              <w:rPr>
                <w:rFonts w:ascii="Arial" w:eastAsia="Arial" w:hAnsi="Arial" w:cs="Arial"/>
                <w:i/>
                <w:color w:val="000000"/>
                <w:sz w:val="18"/>
                <w:szCs w:val="18"/>
              </w:rPr>
              <w:t>públicas ou consultas sobre prioridades custeadas. A sociedade decide “o quê” e “por quê”.</w:t>
            </w:r>
          </w:p>
          <w:p w14:paraId="695B63AA" w14:textId="77777777" w:rsidR="001C7E6F" w:rsidRDefault="001C7E6F" w:rsidP="00BD3046">
            <w:pPr>
              <w:spacing w:after="0" w:line="240" w:lineRule="auto"/>
              <w:rPr>
                <w:rFonts w:ascii="Arial" w:eastAsia="Arial" w:hAnsi="Arial" w:cs="Arial"/>
                <w:color w:val="000000"/>
                <w:sz w:val="18"/>
                <w:szCs w:val="18"/>
              </w:rPr>
            </w:pPr>
          </w:p>
          <w:p w14:paraId="720B72FB"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Embora o</w:t>
            </w:r>
            <w:r w:rsidRPr="00F0205D">
              <w:rPr>
                <w:rFonts w:ascii="Arial" w:eastAsia="Arial" w:hAnsi="Arial" w:cs="Arial"/>
                <w:color w:val="000000"/>
                <w:sz w:val="18"/>
                <w:szCs w:val="18"/>
              </w:rPr>
              <w:t xml:space="preserve"> Estado</w:t>
            </w:r>
            <w:r>
              <w:rPr>
                <w:rFonts w:ascii="Arial" w:eastAsia="Arial" w:hAnsi="Arial" w:cs="Arial"/>
                <w:color w:val="000000"/>
                <w:sz w:val="18"/>
                <w:szCs w:val="18"/>
              </w:rPr>
              <w:t xml:space="preserve"> de São Paulo</w:t>
            </w:r>
            <w:r w:rsidRPr="00F0205D">
              <w:rPr>
                <w:rFonts w:ascii="Arial" w:eastAsia="Arial" w:hAnsi="Arial" w:cs="Arial"/>
                <w:color w:val="000000"/>
                <w:sz w:val="18"/>
                <w:szCs w:val="18"/>
              </w:rPr>
              <w:t xml:space="preserve"> assegur</w:t>
            </w:r>
            <w:r>
              <w:rPr>
                <w:rFonts w:ascii="Arial" w:eastAsia="Arial" w:hAnsi="Arial" w:cs="Arial"/>
                <w:color w:val="000000"/>
                <w:sz w:val="18"/>
                <w:szCs w:val="18"/>
              </w:rPr>
              <w:t>e</w:t>
            </w:r>
            <w:r w:rsidRPr="00F0205D">
              <w:rPr>
                <w:rFonts w:ascii="Arial" w:eastAsia="Arial" w:hAnsi="Arial" w:cs="Arial"/>
                <w:color w:val="000000"/>
                <w:sz w:val="18"/>
                <w:szCs w:val="18"/>
              </w:rPr>
              <w:t xml:space="preserve"> a participação social no nível macro (PPA/LOA)</w:t>
            </w:r>
            <w:r>
              <w:rPr>
                <w:rFonts w:ascii="Arial" w:eastAsia="Arial" w:hAnsi="Arial" w:cs="Arial"/>
                <w:color w:val="000000"/>
                <w:sz w:val="18"/>
                <w:szCs w:val="18"/>
              </w:rPr>
              <w:t>,</w:t>
            </w:r>
            <w:r w:rsidRPr="00F0205D">
              <w:rPr>
                <w:rFonts w:ascii="Arial" w:eastAsia="Arial" w:hAnsi="Arial" w:cs="Arial"/>
                <w:color w:val="000000"/>
                <w:sz w:val="18"/>
                <w:szCs w:val="18"/>
              </w:rPr>
              <w:t xml:space="preserve"> por meio de audiências públicas e metas para fortalecer conselhos setoriais</w:t>
            </w:r>
            <w:r>
              <w:rPr>
                <w:rFonts w:ascii="Arial" w:eastAsia="Arial" w:hAnsi="Arial" w:cs="Arial"/>
                <w:color w:val="000000"/>
                <w:sz w:val="18"/>
                <w:szCs w:val="18"/>
              </w:rPr>
              <w:t>,</w:t>
            </w:r>
            <w:r w:rsidRPr="00F0205D">
              <w:rPr>
                <w:rFonts w:ascii="Arial" w:eastAsia="Arial" w:hAnsi="Arial" w:cs="Arial"/>
                <w:color w:val="000000"/>
                <w:sz w:val="18"/>
                <w:szCs w:val="18"/>
              </w:rPr>
              <w:t xml:space="preserve"> o Conselho Gestor do FECOEP</w:t>
            </w:r>
            <w:r>
              <w:rPr>
                <w:rFonts w:ascii="Arial" w:eastAsia="Arial" w:hAnsi="Arial" w:cs="Arial"/>
                <w:color w:val="000000"/>
                <w:sz w:val="18"/>
                <w:szCs w:val="18"/>
              </w:rPr>
              <w:t>-SP</w:t>
            </w:r>
            <w:r w:rsidRPr="00F0205D">
              <w:rPr>
                <w:rFonts w:ascii="Arial" w:eastAsia="Arial" w:hAnsi="Arial" w:cs="Arial"/>
                <w:color w:val="000000"/>
                <w:sz w:val="18"/>
                <w:szCs w:val="18"/>
              </w:rPr>
              <w:t xml:space="preserve"> falhou em demonstrar a influência efetiva dessa participação na definição de critérios objetivos de aplicação antes da alocação dos recursos.</w:t>
            </w:r>
          </w:p>
          <w:p w14:paraId="3C46FB8C" w14:textId="77777777" w:rsidR="001C7E6F" w:rsidRDefault="001C7E6F" w:rsidP="00BD3046">
            <w:pPr>
              <w:spacing w:after="0" w:line="240" w:lineRule="auto"/>
              <w:rPr>
                <w:rFonts w:ascii="Arial" w:eastAsia="Arial" w:hAnsi="Arial" w:cs="Arial"/>
                <w:color w:val="000000"/>
                <w:sz w:val="18"/>
                <w:szCs w:val="18"/>
              </w:rPr>
            </w:pPr>
          </w:p>
        </w:tc>
      </w:tr>
      <w:tr w:rsidR="001C7E6F" w14:paraId="1C4EF085" w14:textId="77777777" w:rsidTr="00BD3046">
        <w:trPr>
          <w:trHeight w:val="20"/>
        </w:trPr>
        <w:tc>
          <w:tcPr>
            <w:tcW w:w="2263" w:type="dxa"/>
            <w:shd w:val="clear" w:color="auto" w:fill="auto"/>
            <w:vAlign w:val="center"/>
          </w:tcPr>
          <w:p w14:paraId="7C77F5BF"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2.12 Histórico de Políticas Públicas custeadas pelo Fundo</w:t>
            </w:r>
          </w:p>
        </w:tc>
        <w:tc>
          <w:tcPr>
            <w:tcW w:w="6798" w:type="dxa"/>
            <w:shd w:val="clear" w:color="auto" w:fill="auto"/>
            <w:vAlign w:val="center"/>
          </w:tcPr>
          <w:p w14:paraId="211BA264"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Registr</w:t>
            </w:r>
            <w:r w:rsidRPr="007953EF">
              <w:rPr>
                <w:rFonts w:ascii="Arial" w:eastAsia="Arial" w:hAnsi="Arial" w:cs="Arial"/>
                <w:i/>
                <w:sz w:val="18"/>
                <w:szCs w:val="18"/>
              </w:rPr>
              <w:t>os</w:t>
            </w:r>
            <w:r w:rsidRPr="007953EF">
              <w:rPr>
                <w:rFonts w:ascii="Arial" w:eastAsia="Arial" w:hAnsi="Arial" w:cs="Arial"/>
                <w:i/>
                <w:color w:val="000000"/>
                <w:sz w:val="18"/>
                <w:szCs w:val="18"/>
              </w:rPr>
              <w:t xml:space="preserve"> do que funcionou (eficácia), quanto financiou (eficiência) e para quem chegou (equidade), gerando lições para calibrar o PA e o PAF, as metas e os critérios de alocação. </w:t>
            </w:r>
          </w:p>
          <w:p w14:paraId="3C318F80" w14:textId="77777777" w:rsidR="001C7E6F" w:rsidRDefault="001C7E6F" w:rsidP="00BD3046">
            <w:pPr>
              <w:spacing w:after="0" w:line="240" w:lineRule="auto"/>
              <w:rPr>
                <w:rFonts w:ascii="Arial" w:eastAsia="Arial" w:hAnsi="Arial" w:cs="Arial"/>
                <w:color w:val="000000"/>
                <w:sz w:val="18"/>
                <w:szCs w:val="18"/>
              </w:rPr>
            </w:pPr>
          </w:p>
          <w:p w14:paraId="545AEBAE" w14:textId="77777777" w:rsidR="001C7E6F" w:rsidRDefault="001C7E6F" w:rsidP="00BD3046">
            <w:pPr>
              <w:spacing w:after="0" w:line="240" w:lineRule="auto"/>
              <w:rPr>
                <w:rFonts w:ascii="Arial" w:eastAsia="Arial" w:hAnsi="Arial" w:cs="Arial"/>
                <w:color w:val="000000"/>
                <w:sz w:val="18"/>
                <w:szCs w:val="18"/>
              </w:rPr>
            </w:pPr>
            <w:r w:rsidRPr="00F0205D">
              <w:rPr>
                <w:rFonts w:ascii="Arial" w:eastAsia="Arial" w:hAnsi="Arial" w:cs="Arial"/>
                <w:color w:val="000000"/>
                <w:sz w:val="18"/>
                <w:szCs w:val="18"/>
              </w:rPr>
              <w:t xml:space="preserve">A verificação do Histórico de Políticas Públicas custeadas pelo </w:t>
            </w:r>
            <w:r>
              <w:rPr>
                <w:rFonts w:ascii="Arial" w:eastAsia="Arial" w:hAnsi="Arial" w:cs="Arial"/>
                <w:color w:val="000000"/>
                <w:sz w:val="18"/>
                <w:szCs w:val="18"/>
              </w:rPr>
              <w:t>FECOEP-SP</w:t>
            </w:r>
            <w:r w:rsidRPr="00F0205D">
              <w:rPr>
                <w:rFonts w:ascii="Arial" w:eastAsia="Arial" w:hAnsi="Arial" w:cs="Arial"/>
                <w:color w:val="000000"/>
                <w:sz w:val="18"/>
                <w:szCs w:val="18"/>
              </w:rPr>
              <w:t xml:space="preserve"> é dificultada pela falta de dados estruturados de eficácia, eficiência e equidade na gestão do Fundo, conforme apontado pelo controle externo. Embora a gestão estadual promova a avaliação d</w:t>
            </w:r>
            <w:r>
              <w:rPr>
                <w:rFonts w:ascii="Arial" w:eastAsia="Arial" w:hAnsi="Arial" w:cs="Arial"/>
                <w:color w:val="000000"/>
                <w:sz w:val="18"/>
                <w:szCs w:val="18"/>
              </w:rPr>
              <w:t>as</w:t>
            </w:r>
            <w:r w:rsidRPr="00F0205D">
              <w:rPr>
                <w:rFonts w:ascii="Arial" w:eastAsia="Arial" w:hAnsi="Arial" w:cs="Arial"/>
                <w:color w:val="000000"/>
                <w:sz w:val="18"/>
                <w:szCs w:val="18"/>
              </w:rPr>
              <w:t xml:space="preserve"> políticas públicas em geral, a aplicação dos recursos do </w:t>
            </w:r>
            <w:r>
              <w:rPr>
                <w:rFonts w:ascii="Arial" w:eastAsia="Arial" w:hAnsi="Arial" w:cs="Arial"/>
                <w:color w:val="000000"/>
                <w:sz w:val="18"/>
                <w:szCs w:val="18"/>
              </w:rPr>
              <w:t>Fundo</w:t>
            </w:r>
            <w:r w:rsidRPr="00F0205D">
              <w:rPr>
                <w:rFonts w:ascii="Arial" w:eastAsia="Arial" w:hAnsi="Arial" w:cs="Arial"/>
                <w:color w:val="000000"/>
                <w:sz w:val="18"/>
                <w:szCs w:val="18"/>
              </w:rPr>
              <w:t xml:space="preserve"> foi criticada por não gerar lições suficientes para calibrar o planejamento.</w:t>
            </w:r>
          </w:p>
          <w:p w14:paraId="3F10454F" w14:textId="77777777" w:rsidR="001C7E6F" w:rsidRDefault="001C7E6F" w:rsidP="00BD3046">
            <w:pPr>
              <w:spacing w:after="0" w:line="240" w:lineRule="auto"/>
              <w:rPr>
                <w:rFonts w:ascii="Arial" w:eastAsia="Arial" w:hAnsi="Arial" w:cs="Arial"/>
                <w:color w:val="000000"/>
                <w:sz w:val="18"/>
                <w:szCs w:val="18"/>
              </w:rPr>
            </w:pPr>
          </w:p>
          <w:p w14:paraId="6E3FAC08"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2023</w:t>
            </w:r>
          </w:p>
          <w:p w14:paraId="1BB7A1EC" w14:textId="77777777" w:rsidR="001C7E6F" w:rsidRPr="001A2029"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PG </w:t>
            </w:r>
            <w:r w:rsidRPr="001A2029">
              <w:rPr>
                <w:rFonts w:ascii="Arial" w:eastAsia="Arial" w:hAnsi="Arial" w:cs="Arial"/>
                <w:color w:val="000000"/>
                <w:sz w:val="18"/>
                <w:szCs w:val="18"/>
              </w:rPr>
              <w:t>5124 – Bolsa do Povo</w:t>
            </w:r>
          </w:p>
          <w:p w14:paraId="6ECBADAD"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Viva Leite – R$ 348.798.674</w:t>
            </w:r>
          </w:p>
          <w:p w14:paraId="16D2C8FA"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 xml:space="preserve">Apoio Financeiro à População em Situação de Vulnerabilidade Social – </w:t>
            </w:r>
            <w:r>
              <w:rPr>
                <w:rFonts w:ascii="Arial" w:eastAsia="Arial" w:hAnsi="Arial" w:cs="Arial"/>
                <w:color w:val="000000"/>
                <w:sz w:val="18"/>
                <w:szCs w:val="18"/>
              </w:rPr>
              <w:br/>
            </w:r>
            <w:r w:rsidRPr="001A2029">
              <w:rPr>
                <w:rFonts w:ascii="Arial" w:eastAsia="Arial" w:hAnsi="Arial" w:cs="Arial"/>
                <w:color w:val="000000"/>
                <w:sz w:val="18"/>
                <w:szCs w:val="18"/>
              </w:rPr>
              <w:t>R$ 256.800.000</w:t>
            </w:r>
          </w:p>
          <w:p w14:paraId="2F74CD81" w14:textId="77777777" w:rsidR="001C7E6F" w:rsidRPr="001A2029"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PG </w:t>
            </w:r>
            <w:r w:rsidRPr="001A2029">
              <w:rPr>
                <w:rFonts w:ascii="Arial" w:eastAsia="Arial" w:hAnsi="Arial" w:cs="Arial"/>
                <w:color w:val="000000"/>
                <w:sz w:val="18"/>
                <w:szCs w:val="18"/>
              </w:rPr>
              <w:t>3518 – Segurança Alimentar e Nutricional</w:t>
            </w:r>
          </w:p>
          <w:p w14:paraId="2EFC878F"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Restaurantes Populares – R$ 198.321.401</w:t>
            </w:r>
          </w:p>
          <w:p w14:paraId="28E94D8C"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Bom Prato – Unidades Móveis e sem Salão – R$ 1.165.136</w:t>
            </w:r>
          </w:p>
          <w:p w14:paraId="1950AA1C" w14:textId="77777777" w:rsidR="001C7E6F" w:rsidRPr="001A2029" w:rsidRDefault="001C7E6F" w:rsidP="00BD3046">
            <w:pPr>
              <w:spacing w:after="0" w:line="240" w:lineRule="auto"/>
              <w:rPr>
                <w:rFonts w:ascii="Arial" w:eastAsia="Arial" w:hAnsi="Arial" w:cs="Arial"/>
                <w:b/>
                <w:color w:val="000000"/>
                <w:sz w:val="18"/>
                <w:szCs w:val="18"/>
              </w:rPr>
            </w:pPr>
            <w:r w:rsidRPr="001A2029">
              <w:rPr>
                <w:rFonts w:ascii="Arial" w:eastAsia="Arial" w:hAnsi="Arial" w:cs="Arial"/>
                <w:b/>
                <w:color w:val="000000"/>
                <w:sz w:val="18"/>
                <w:szCs w:val="18"/>
              </w:rPr>
              <w:t>Total 2023: R$ 805.085.211</w:t>
            </w:r>
          </w:p>
          <w:p w14:paraId="469ABB21" w14:textId="77777777" w:rsidR="001C7E6F" w:rsidRDefault="001C7E6F" w:rsidP="00BD3046">
            <w:pPr>
              <w:spacing w:after="0" w:line="240" w:lineRule="auto"/>
              <w:rPr>
                <w:rFonts w:ascii="Arial" w:eastAsia="Arial" w:hAnsi="Arial" w:cs="Arial"/>
                <w:color w:val="000000"/>
                <w:sz w:val="18"/>
                <w:szCs w:val="18"/>
              </w:rPr>
            </w:pPr>
          </w:p>
          <w:p w14:paraId="3909BB5A" w14:textId="77777777" w:rsidR="001C7E6F" w:rsidRPr="001A2029" w:rsidRDefault="001C7E6F" w:rsidP="00BD3046">
            <w:pPr>
              <w:spacing w:after="0" w:line="240" w:lineRule="auto"/>
              <w:rPr>
                <w:rFonts w:ascii="Arial" w:eastAsia="Arial" w:hAnsi="Arial" w:cs="Arial"/>
                <w:b/>
                <w:color w:val="000000"/>
                <w:sz w:val="18"/>
                <w:szCs w:val="18"/>
              </w:rPr>
            </w:pPr>
            <w:r w:rsidRPr="001A2029">
              <w:rPr>
                <w:rFonts w:ascii="Arial" w:eastAsia="Arial" w:hAnsi="Arial" w:cs="Arial"/>
                <w:b/>
                <w:color w:val="000000"/>
                <w:sz w:val="18"/>
                <w:szCs w:val="18"/>
              </w:rPr>
              <w:t>2024</w:t>
            </w:r>
          </w:p>
          <w:p w14:paraId="456547C8" w14:textId="77777777" w:rsidR="001C7E6F" w:rsidRPr="001A2029"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PG </w:t>
            </w:r>
            <w:r w:rsidRPr="001A2029">
              <w:rPr>
                <w:rFonts w:ascii="Arial" w:eastAsia="Arial" w:hAnsi="Arial" w:cs="Arial"/>
                <w:color w:val="000000"/>
                <w:sz w:val="18"/>
                <w:szCs w:val="18"/>
              </w:rPr>
              <w:t>3518 – Política de Segurança Alimentar e Nutricional</w:t>
            </w:r>
          </w:p>
          <w:p w14:paraId="597FA68F"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Viva Leite – R$ 298.603.785</w:t>
            </w:r>
          </w:p>
          <w:p w14:paraId="1125B32A"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Bom Prato – Restaurantes Populares Fixos – R$ 235.967.526</w:t>
            </w:r>
          </w:p>
          <w:p w14:paraId="6E57055B"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Bom Prato – Unidades Móveis e sem Salão – R$ 301.119</w:t>
            </w:r>
          </w:p>
          <w:p w14:paraId="1B756F9E" w14:textId="77777777" w:rsidR="001C7E6F" w:rsidRPr="001A2029"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PG </w:t>
            </w:r>
            <w:r w:rsidRPr="001A2029">
              <w:rPr>
                <w:rFonts w:ascii="Arial" w:eastAsia="Arial" w:hAnsi="Arial" w:cs="Arial"/>
                <w:color w:val="000000"/>
                <w:sz w:val="18"/>
                <w:szCs w:val="18"/>
              </w:rPr>
              <w:t>3500 – Política de Assistência Social</w:t>
            </w:r>
          </w:p>
          <w:p w14:paraId="0347C81C"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Cofinanciamento PSE Alta Complexidade – R$ 90.652.000</w:t>
            </w:r>
          </w:p>
          <w:p w14:paraId="73D48720"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Cofinanciamento da PSB – R$ 53.258.875</w:t>
            </w:r>
          </w:p>
          <w:p w14:paraId="3B50D63B"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Cofinanciamento PSE Média Complexidade – R$ 41.583.600</w:t>
            </w:r>
          </w:p>
          <w:p w14:paraId="27376CBA"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Melhoria das Condições de Vida da População Vulnerável – R$ 18.000.000</w:t>
            </w:r>
          </w:p>
          <w:p w14:paraId="1452E680" w14:textId="77777777" w:rsidR="001C7E6F" w:rsidRPr="001A2029" w:rsidRDefault="001C7E6F" w:rsidP="00BD3046">
            <w:pPr>
              <w:spacing w:after="0" w:line="240" w:lineRule="auto"/>
              <w:rPr>
                <w:rFonts w:ascii="Arial" w:eastAsia="Arial" w:hAnsi="Arial" w:cs="Arial"/>
                <w:b/>
                <w:color w:val="000000"/>
                <w:sz w:val="18"/>
                <w:szCs w:val="18"/>
              </w:rPr>
            </w:pPr>
            <w:r w:rsidRPr="001A2029">
              <w:rPr>
                <w:rFonts w:ascii="Arial" w:eastAsia="Arial" w:hAnsi="Arial" w:cs="Arial"/>
                <w:b/>
                <w:color w:val="000000"/>
                <w:sz w:val="18"/>
                <w:szCs w:val="18"/>
              </w:rPr>
              <w:t>Total 2024: R$ 738.366.905</w:t>
            </w:r>
          </w:p>
          <w:p w14:paraId="4B61888D" w14:textId="77777777" w:rsidR="001C7E6F" w:rsidRPr="001A2029" w:rsidRDefault="001C7E6F" w:rsidP="00BD3046">
            <w:pPr>
              <w:spacing w:after="0" w:line="240" w:lineRule="auto"/>
              <w:rPr>
                <w:rFonts w:ascii="Arial" w:eastAsia="Arial" w:hAnsi="Arial" w:cs="Arial"/>
                <w:b/>
                <w:color w:val="000000"/>
                <w:sz w:val="18"/>
                <w:szCs w:val="18"/>
              </w:rPr>
            </w:pPr>
          </w:p>
          <w:p w14:paraId="77C07112" w14:textId="77777777" w:rsidR="001C7E6F" w:rsidRPr="001A2029" w:rsidRDefault="001C7E6F" w:rsidP="00BD3046">
            <w:pPr>
              <w:spacing w:after="0" w:line="240" w:lineRule="auto"/>
              <w:rPr>
                <w:rFonts w:ascii="Arial" w:eastAsia="Arial" w:hAnsi="Arial" w:cs="Arial"/>
                <w:b/>
                <w:color w:val="000000"/>
                <w:sz w:val="18"/>
                <w:szCs w:val="18"/>
              </w:rPr>
            </w:pPr>
            <w:r w:rsidRPr="001A2029">
              <w:rPr>
                <w:rFonts w:ascii="Arial" w:eastAsia="Arial" w:hAnsi="Arial" w:cs="Arial"/>
                <w:b/>
                <w:color w:val="000000"/>
                <w:sz w:val="18"/>
                <w:szCs w:val="18"/>
              </w:rPr>
              <w:t>2025 (parcial)</w:t>
            </w:r>
          </w:p>
          <w:p w14:paraId="2CBEB64D" w14:textId="77777777" w:rsidR="001C7E6F" w:rsidRPr="001A2029"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PG </w:t>
            </w:r>
            <w:r w:rsidRPr="001A2029">
              <w:rPr>
                <w:rFonts w:ascii="Arial" w:eastAsia="Arial" w:hAnsi="Arial" w:cs="Arial"/>
                <w:color w:val="000000"/>
                <w:sz w:val="18"/>
                <w:szCs w:val="18"/>
              </w:rPr>
              <w:t>3518 – Política de Segurança Alimentar e Nutricional</w:t>
            </w:r>
          </w:p>
          <w:p w14:paraId="2B647E11"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Bom Prato – Restaurantes Populares Fixos – R$ 235.022.582</w:t>
            </w:r>
          </w:p>
          <w:p w14:paraId="494520B3"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Viva Leite – R$ 269.328.752</w:t>
            </w:r>
          </w:p>
          <w:p w14:paraId="7C045AA6" w14:textId="77777777" w:rsidR="001C7E6F" w:rsidRPr="001A2029"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PG </w:t>
            </w:r>
            <w:r w:rsidRPr="001A2029">
              <w:rPr>
                <w:rFonts w:ascii="Arial" w:eastAsia="Arial" w:hAnsi="Arial" w:cs="Arial"/>
                <w:color w:val="000000"/>
                <w:sz w:val="18"/>
                <w:szCs w:val="18"/>
              </w:rPr>
              <w:t>3500 – Política de Assistência Social</w:t>
            </w:r>
          </w:p>
          <w:p w14:paraId="4E169A86"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Cofinanciamento PSE Alta Complexidade – R$ 127.821.686</w:t>
            </w:r>
          </w:p>
          <w:p w14:paraId="5432E936"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Cofinanciamento da PSB – R$ 82.688.147</w:t>
            </w:r>
          </w:p>
          <w:p w14:paraId="402990FD"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Cofinanciamento de Benefícios Eventuais – R$ 25.404.400</w:t>
            </w:r>
          </w:p>
          <w:p w14:paraId="15AC019F"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Melhoria das Condições de Vida da População Vulnerável – R$ 20.518.518</w:t>
            </w:r>
          </w:p>
          <w:p w14:paraId="02C6DDB9"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Cofinanciamento PSE Média Complexidade – R$ 0</w:t>
            </w:r>
          </w:p>
          <w:p w14:paraId="2234B516"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Vigilância Socioassistencial nos Municípios – R$ 2.484.000</w:t>
            </w:r>
          </w:p>
          <w:p w14:paraId="5B13CD48" w14:textId="77777777" w:rsidR="001C7E6F" w:rsidRPr="001A2029"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PG </w:t>
            </w:r>
            <w:r w:rsidRPr="001A2029">
              <w:rPr>
                <w:rFonts w:ascii="Arial" w:eastAsia="Arial" w:hAnsi="Arial" w:cs="Arial"/>
                <w:color w:val="000000"/>
                <w:sz w:val="18"/>
                <w:szCs w:val="18"/>
              </w:rPr>
              <w:t>2832 – Rede para Promoção da Cidadania e Enfrentamento da Vulnerabilidade Social</w:t>
            </w:r>
          </w:p>
          <w:p w14:paraId="21B72E28"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Arrecadação de Doações – R$ 65.000.000</w:t>
            </w:r>
          </w:p>
          <w:p w14:paraId="0B7276B2" w14:textId="77777777" w:rsidR="001C7E6F" w:rsidRPr="001A2029"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PG </w:t>
            </w:r>
            <w:r w:rsidRPr="001A2029">
              <w:rPr>
                <w:rFonts w:ascii="Arial" w:eastAsia="Arial" w:hAnsi="Arial" w:cs="Arial"/>
                <w:color w:val="000000"/>
                <w:sz w:val="18"/>
                <w:szCs w:val="18"/>
              </w:rPr>
              <w:t>3521 – Superação da Vulnerabilidade Social</w:t>
            </w:r>
          </w:p>
          <w:p w14:paraId="41404D0D"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Operacionalização da Superação da Vulnerabilidade – R$ 80.407.500</w:t>
            </w:r>
          </w:p>
          <w:p w14:paraId="5AD8C303" w14:textId="77777777" w:rsidR="001C7E6F" w:rsidRPr="001A2029" w:rsidRDefault="001C7E6F" w:rsidP="00BD3046">
            <w:pPr>
              <w:spacing w:after="0" w:line="240" w:lineRule="auto"/>
              <w:rPr>
                <w:rFonts w:ascii="Arial" w:eastAsia="Arial" w:hAnsi="Arial" w:cs="Arial"/>
                <w:color w:val="000000"/>
                <w:sz w:val="18"/>
                <w:szCs w:val="18"/>
              </w:rPr>
            </w:pPr>
            <w:r w:rsidRPr="001A2029">
              <w:rPr>
                <w:rFonts w:ascii="Arial" w:eastAsia="Arial" w:hAnsi="Arial" w:cs="Arial"/>
                <w:color w:val="000000"/>
                <w:sz w:val="18"/>
                <w:szCs w:val="18"/>
              </w:rPr>
              <w:t>Gestão de Benefícios a Pessoas em Situação de Vulnerabilidade – R$ 87.968.467</w:t>
            </w:r>
          </w:p>
          <w:p w14:paraId="48BE3B62" w14:textId="77777777" w:rsidR="001C7E6F" w:rsidRPr="008E3E26" w:rsidRDefault="001C7E6F" w:rsidP="00BD3046">
            <w:pPr>
              <w:spacing w:after="0" w:line="240" w:lineRule="auto"/>
              <w:rPr>
                <w:rFonts w:ascii="Arial" w:eastAsia="Arial" w:hAnsi="Arial" w:cs="Arial"/>
                <w:b/>
                <w:color w:val="000000"/>
                <w:sz w:val="18"/>
                <w:szCs w:val="18"/>
              </w:rPr>
            </w:pPr>
            <w:r w:rsidRPr="008E3E26">
              <w:rPr>
                <w:rFonts w:ascii="Arial" w:eastAsia="Arial" w:hAnsi="Arial" w:cs="Arial"/>
                <w:b/>
                <w:color w:val="000000"/>
                <w:sz w:val="18"/>
                <w:szCs w:val="18"/>
              </w:rPr>
              <w:t>Total 2025 (até agora): R$ 996.644.052</w:t>
            </w:r>
          </w:p>
          <w:p w14:paraId="44F8EAA7" w14:textId="77777777" w:rsidR="001C7E6F" w:rsidRDefault="001C7E6F" w:rsidP="00BD3046">
            <w:pPr>
              <w:spacing w:after="0" w:line="240" w:lineRule="auto"/>
              <w:rPr>
                <w:rFonts w:ascii="Arial" w:eastAsia="Arial" w:hAnsi="Arial" w:cs="Arial"/>
                <w:color w:val="000000"/>
                <w:sz w:val="18"/>
                <w:szCs w:val="18"/>
              </w:rPr>
            </w:pPr>
          </w:p>
        </w:tc>
      </w:tr>
      <w:tr w:rsidR="001C7E6F" w14:paraId="636BB87F" w14:textId="77777777" w:rsidTr="00BD3046">
        <w:trPr>
          <w:trHeight w:val="397"/>
        </w:trPr>
        <w:tc>
          <w:tcPr>
            <w:tcW w:w="9061" w:type="dxa"/>
            <w:gridSpan w:val="2"/>
            <w:shd w:val="clear" w:color="auto" w:fill="auto"/>
            <w:vAlign w:val="center"/>
          </w:tcPr>
          <w:p w14:paraId="1B6DEEB8" w14:textId="77777777" w:rsidR="001C7E6F" w:rsidRDefault="001C7E6F" w:rsidP="00BD3046">
            <w:pP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Eixo 3 – Execução Orçamentária e Financeira</w:t>
            </w:r>
          </w:p>
        </w:tc>
      </w:tr>
      <w:tr w:rsidR="001C7E6F" w14:paraId="7E7BDC89" w14:textId="77777777" w:rsidTr="00BD3046">
        <w:trPr>
          <w:trHeight w:val="20"/>
        </w:trPr>
        <w:tc>
          <w:tcPr>
            <w:tcW w:w="2263" w:type="dxa"/>
            <w:shd w:val="clear" w:color="auto" w:fill="auto"/>
            <w:vAlign w:val="center"/>
          </w:tcPr>
          <w:p w14:paraId="3691CE0F"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3.1 Arrecadação e execução</w:t>
            </w:r>
          </w:p>
        </w:tc>
        <w:tc>
          <w:tcPr>
            <w:tcW w:w="6798" w:type="dxa"/>
            <w:shd w:val="clear" w:color="auto" w:fill="auto"/>
            <w:vAlign w:val="center"/>
          </w:tcPr>
          <w:p w14:paraId="129ADAD6" w14:textId="77777777" w:rsidR="001C7E6F" w:rsidRPr="00D87D49" w:rsidRDefault="001C7E6F" w:rsidP="00BD3046">
            <w:pPr>
              <w:spacing w:after="0" w:line="240" w:lineRule="auto"/>
              <w:rPr>
                <w:i/>
              </w:rPr>
            </w:pPr>
            <w:r w:rsidRPr="00D87D49">
              <w:rPr>
                <w:rFonts w:ascii="Arial" w:eastAsia="Arial" w:hAnsi="Arial" w:cs="Arial"/>
                <w:i/>
                <w:color w:val="000000"/>
                <w:sz w:val="18"/>
                <w:szCs w:val="18"/>
              </w:rPr>
              <w:t>Confront</w:t>
            </w:r>
            <w:r w:rsidRPr="00D87D49">
              <w:rPr>
                <w:rFonts w:ascii="Arial" w:eastAsia="Arial" w:hAnsi="Arial" w:cs="Arial"/>
                <w:i/>
                <w:sz w:val="18"/>
                <w:szCs w:val="18"/>
              </w:rPr>
              <w:t>o de</w:t>
            </w:r>
            <w:sdt>
              <w:sdtPr>
                <w:rPr>
                  <w:i/>
                </w:rPr>
                <w:tag w:val="goog_rdk_5"/>
                <w:id w:val="1818949966"/>
              </w:sdtPr>
              <w:sdtContent>
                <w:r w:rsidRPr="00D87D49">
                  <w:rPr>
                    <w:rFonts w:ascii="Arial Unicode MS" w:eastAsia="Arial Unicode MS" w:hAnsi="Arial Unicode MS" w:cs="Arial Unicode MS"/>
                    <w:i/>
                    <w:color w:val="000000"/>
                    <w:sz w:val="18"/>
                    <w:szCs w:val="18"/>
                  </w:rPr>
                  <w:t xml:space="preserve"> previsão × arrecadação × execução, aferindo aderência do gasto à capacidade real do Fundo. Mensura o percentual arrecadado em relação à previsão (≥85%) e o percentual executado em relação ao fixado (≥85%).</w:t>
                </w:r>
              </w:sdtContent>
            </w:sdt>
            <w:r w:rsidRPr="00D87D49">
              <w:rPr>
                <w:i/>
              </w:rPr>
              <w:t xml:space="preserve"> </w:t>
            </w:r>
          </w:p>
          <w:p w14:paraId="59C9FEDC" w14:textId="77777777" w:rsidR="001C7E6F" w:rsidRDefault="001C7E6F" w:rsidP="00BD3046">
            <w:pPr>
              <w:spacing w:after="0" w:line="240" w:lineRule="auto"/>
            </w:pPr>
          </w:p>
          <w:p w14:paraId="354323D3" w14:textId="77777777" w:rsidR="001C7E6F" w:rsidRPr="005238A8" w:rsidRDefault="001C7E6F" w:rsidP="00BD3046">
            <w:pPr>
              <w:spacing w:after="0" w:line="240" w:lineRule="auto"/>
              <w:rPr>
                <w:rFonts w:ascii="Arial" w:eastAsia="Arial" w:hAnsi="Arial" w:cs="Arial"/>
                <w:color w:val="000000"/>
                <w:sz w:val="18"/>
                <w:szCs w:val="18"/>
              </w:rPr>
            </w:pPr>
            <w:r w:rsidRPr="005238A8">
              <w:rPr>
                <w:rFonts w:ascii="Arial" w:eastAsia="Arial" w:hAnsi="Arial" w:cs="Arial"/>
                <w:color w:val="000000"/>
                <w:sz w:val="18"/>
                <w:szCs w:val="18"/>
              </w:rPr>
              <w:lastRenderedPageBreak/>
              <w:t>A análise da arrecadação e execução do FECOEP-SP requer o confronto entre os valores previstos, o que foi efetivamente arrecadado e o que foi pago, permitindo avaliar a aderência do gasto à capacidade real do Fundo.</w:t>
            </w:r>
          </w:p>
          <w:p w14:paraId="6BC230B0" w14:textId="77777777" w:rsidR="001C7E6F" w:rsidRDefault="001C7E6F" w:rsidP="00BD3046">
            <w:pPr>
              <w:spacing w:after="0" w:line="240" w:lineRule="auto"/>
              <w:rPr>
                <w:rFonts w:ascii="Arial" w:eastAsia="Arial" w:hAnsi="Arial" w:cs="Arial"/>
                <w:color w:val="000000"/>
                <w:sz w:val="18"/>
                <w:szCs w:val="18"/>
              </w:rPr>
            </w:pPr>
          </w:p>
          <w:p w14:paraId="0DA34391" w14:textId="3B38763D" w:rsidR="001C7E6F" w:rsidRDefault="001C7E6F" w:rsidP="00BD3046">
            <w:pPr>
              <w:spacing w:after="0" w:line="240" w:lineRule="auto"/>
              <w:rPr>
                <w:rFonts w:ascii="Arial" w:eastAsia="Arial" w:hAnsi="Arial" w:cs="Arial"/>
                <w:color w:val="000000"/>
                <w:sz w:val="18"/>
                <w:szCs w:val="18"/>
              </w:rPr>
            </w:pPr>
            <w:r w:rsidRPr="00D87D49">
              <w:rPr>
                <w:rFonts w:ascii="Arial" w:eastAsia="Arial" w:hAnsi="Arial" w:cs="Arial"/>
                <w:color w:val="000000"/>
                <w:sz w:val="18"/>
                <w:szCs w:val="18"/>
              </w:rPr>
              <w:t>O confronto entre o valor da receita prevista na LOA e o valor efetivamente arrecadado do FECOEP</w:t>
            </w:r>
            <w:r>
              <w:rPr>
                <w:rFonts w:ascii="Arial" w:eastAsia="Arial" w:hAnsi="Arial" w:cs="Arial"/>
                <w:color w:val="000000"/>
                <w:sz w:val="18"/>
                <w:szCs w:val="18"/>
              </w:rPr>
              <w:t>-SP</w:t>
            </w:r>
            <w:r w:rsidRPr="00D87D49">
              <w:rPr>
                <w:rFonts w:ascii="Arial" w:eastAsia="Arial" w:hAnsi="Arial" w:cs="Arial"/>
                <w:color w:val="000000"/>
                <w:sz w:val="18"/>
                <w:szCs w:val="18"/>
              </w:rPr>
              <w:t>, especialmente no que tange à rubrica principal, revela que a arrecadação superou a previsão em 2024, mas demonstrou subexecução em 2025</w:t>
            </w:r>
            <w:r>
              <w:rPr>
                <w:rFonts w:ascii="Arial" w:eastAsia="Arial" w:hAnsi="Arial" w:cs="Arial"/>
                <w:color w:val="000000"/>
                <w:sz w:val="18"/>
                <w:szCs w:val="18"/>
              </w:rPr>
              <w:t xml:space="preserve">. </w:t>
            </w:r>
            <w:r w:rsidRPr="00D87D49">
              <w:rPr>
                <w:rFonts w:ascii="Arial" w:eastAsia="Arial" w:hAnsi="Arial" w:cs="Arial"/>
                <w:color w:val="000000"/>
                <w:sz w:val="18"/>
                <w:szCs w:val="18"/>
              </w:rPr>
              <w:t>Os dados agregados da Receita Arrecadada (Receita Realizada)</w:t>
            </w:r>
            <w:r>
              <w:rPr>
                <w:rFonts w:ascii="Arial" w:eastAsia="Arial" w:hAnsi="Arial" w:cs="Arial"/>
                <w:color w:val="000000"/>
                <w:sz w:val="18"/>
                <w:szCs w:val="18"/>
              </w:rPr>
              <w:t>,</w:t>
            </w:r>
            <w:r w:rsidRPr="00D87D49">
              <w:rPr>
                <w:rFonts w:ascii="Arial" w:eastAsia="Arial" w:hAnsi="Arial" w:cs="Arial"/>
                <w:color w:val="000000"/>
                <w:sz w:val="18"/>
                <w:szCs w:val="18"/>
              </w:rPr>
              <w:t xml:space="preserve"> Despesa Fixada (Dotação Orçamentária) e a Despesa Paga são </w:t>
            </w:r>
            <w:r>
              <w:rPr>
                <w:rFonts w:ascii="Arial" w:eastAsia="Arial" w:hAnsi="Arial" w:cs="Arial"/>
                <w:color w:val="000000"/>
                <w:sz w:val="18"/>
                <w:szCs w:val="18"/>
              </w:rPr>
              <w:t>calculados com base em</w:t>
            </w:r>
            <w:r w:rsidRPr="00D87D49">
              <w:rPr>
                <w:rFonts w:ascii="Arial" w:eastAsia="Arial" w:hAnsi="Arial" w:cs="Arial"/>
                <w:color w:val="000000"/>
                <w:sz w:val="18"/>
                <w:szCs w:val="18"/>
              </w:rPr>
              <w:t>:</w:t>
            </w:r>
          </w:p>
          <w:p w14:paraId="4B63BCC3" w14:textId="77777777" w:rsidR="001C7E6F" w:rsidRDefault="001C7E6F" w:rsidP="00BD3046">
            <w:pPr>
              <w:spacing w:after="0" w:line="240" w:lineRule="auto"/>
              <w:rPr>
                <w:rFonts w:ascii="Arial" w:eastAsia="Arial" w:hAnsi="Arial" w:cs="Arial"/>
                <w:color w:val="000000"/>
                <w:sz w:val="18"/>
                <w:szCs w:val="18"/>
              </w:rPr>
            </w:pPr>
          </w:p>
          <w:p w14:paraId="4C4D57B1" w14:textId="77777777" w:rsidR="001C7E6F" w:rsidRPr="00D87D49" w:rsidRDefault="001C7E6F" w:rsidP="00BD3046">
            <w:pPr>
              <w:spacing w:after="0" w:line="240" w:lineRule="auto"/>
              <w:rPr>
                <w:rFonts w:ascii="Arial" w:eastAsia="Arial" w:hAnsi="Arial" w:cs="Arial"/>
                <w:color w:val="000000"/>
                <w:sz w:val="18"/>
                <w:szCs w:val="18"/>
              </w:rPr>
            </w:pPr>
          </w:p>
          <w:tbl>
            <w:tblPr>
              <w:tblW w:w="7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2"/>
              <w:gridCol w:w="1358"/>
              <w:gridCol w:w="1446"/>
              <w:gridCol w:w="1445"/>
              <w:gridCol w:w="822"/>
              <w:gridCol w:w="1233"/>
            </w:tblGrid>
            <w:tr w:rsidR="001C7E6F" w:rsidRPr="00D87D49" w14:paraId="040F5EC6" w14:textId="77777777" w:rsidTr="00BD3046">
              <w:tc>
                <w:tcPr>
                  <w:tcW w:w="532" w:type="pct"/>
                  <w:vAlign w:val="center"/>
                  <w:hideMark/>
                </w:tcPr>
                <w:p w14:paraId="4E29FEF6" w14:textId="77777777" w:rsidR="001C7E6F" w:rsidRPr="00D87D49" w:rsidRDefault="001C7E6F" w:rsidP="00BD3046">
                  <w:pPr>
                    <w:spacing w:after="0" w:line="240" w:lineRule="auto"/>
                    <w:jc w:val="center"/>
                    <w:rPr>
                      <w:rFonts w:ascii="Arial" w:eastAsia="Arial" w:hAnsi="Arial" w:cs="Arial"/>
                      <w:b/>
                      <w:color w:val="000000"/>
                      <w:sz w:val="16"/>
                      <w:szCs w:val="18"/>
                    </w:rPr>
                  </w:pPr>
                  <w:r w:rsidRPr="00D87D49">
                    <w:rPr>
                      <w:rFonts w:ascii="Arial" w:eastAsia="Arial" w:hAnsi="Arial" w:cs="Arial"/>
                      <w:b/>
                      <w:color w:val="000000"/>
                      <w:sz w:val="16"/>
                      <w:szCs w:val="18"/>
                    </w:rPr>
                    <w:t>Exercício</w:t>
                  </w:r>
                </w:p>
              </w:tc>
              <w:tc>
                <w:tcPr>
                  <w:tcW w:w="962" w:type="pct"/>
                  <w:vAlign w:val="center"/>
                  <w:hideMark/>
                </w:tcPr>
                <w:p w14:paraId="3C26FF28" w14:textId="77777777" w:rsidR="001C7E6F" w:rsidRPr="00D87D49" w:rsidRDefault="001C7E6F" w:rsidP="00BD3046">
                  <w:pPr>
                    <w:spacing w:after="0" w:line="240" w:lineRule="auto"/>
                    <w:jc w:val="center"/>
                    <w:rPr>
                      <w:rFonts w:ascii="Arial" w:eastAsia="Arial" w:hAnsi="Arial" w:cs="Arial"/>
                      <w:b/>
                      <w:color w:val="000000"/>
                      <w:sz w:val="16"/>
                      <w:szCs w:val="18"/>
                    </w:rPr>
                  </w:pPr>
                  <w:r w:rsidRPr="00D87D49">
                    <w:rPr>
                      <w:rFonts w:ascii="Arial" w:eastAsia="Arial" w:hAnsi="Arial" w:cs="Arial"/>
                      <w:b/>
                      <w:color w:val="000000"/>
                      <w:sz w:val="16"/>
                      <w:szCs w:val="18"/>
                    </w:rPr>
                    <w:t>Despesa Fixada (A)</w:t>
                  </w:r>
                </w:p>
              </w:tc>
              <w:tc>
                <w:tcPr>
                  <w:tcW w:w="1025" w:type="pct"/>
                  <w:vAlign w:val="center"/>
                  <w:hideMark/>
                </w:tcPr>
                <w:p w14:paraId="3F176890" w14:textId="77777777" w:rsidR="001C7E6F" w:rsidRPr="00D87D49" w:rsidRDefault="001C7E6F" w:rsidP="00BD3046">
                  <w:pPr>
                    <w:spacing w:after="0" w:line="240" w:lineRule="auto"/>
                    <w:jc w:val="center"/>
                    <w:rPr>
                      <w:rFonts w:ascii="Arial" w:eastAsia="Arial" w:hAnsi="Arial" w:cs="Arial"/>
                      <w:b/>
                      <w:color w:val="000000"/>
                      <w:sz w:val="16"/>
                      <w:szCs w:val="18"/>
                    </w:rPr>
                  </w:pPr>
                  <w:r w:rsidRPr="00D87D49">
                    <w:rPr>
                      <w:rFonts w:ascii="Arial" w:eastAsia="Arial" w:hAnsi="Arial" w:cs="Arial"/>
                      <w:b/>
                      <w:color w:val="000000"/>
                      <w:sz w:val="16"/>
                      <w:szCs w:val="18"/>
                    </w:rPr>
                    <w:t>Receita Arrecadada (B)</w:t>
                  </w:r>
                </w:p>
              </w:tc>
              <w:tc>
                <w:tcPr>
                  <w:tcW w:w="1024" w:type="pct"/>
                  <w:vAlign w:val="center"/>
                  <w:hideMark/>
                </w:tcPr>
                <w:p w14:paraId="00133DA6" w14:textId="77777777" w:rsidR="001C7E6F" w:rsidRDefault="001C7E6F" w:rsidP="00BD3046">
                  <w:pPr>
                    <w:spacing w:after="0" w:line="240" w:lineRule="auto"/>
                    <w:jc w:val="center"/>
                    <w:rPr>
                      <w:rFonts w:ascii="Arial" w:eastAsia="Arial" w:hAnsi="Arial" w:cs="Arial"/>
                      <w:b/>
                      <w:color w:val="000000"/>
                      <w:sz w:val="16"/>
                      <w:szCs w:val="18"/>
                    </w:rPr>
                  </w:pPr>
                  <w:r w:rsidRPr="00D87D49">
                    <w:rPr>
                      <w:rFonts w:ascii="Arial" w:eastAsia="Arial" w:hAnsi="Arial" w:cs="Arial"/>
                      <w:b/>
                      <w:color w:val="000000"/>
                      <w:sz w:val="16"/>
                      <w:szCs w:val="18"/>
                    </w:rPr>
                    <w:t xml:space="preserve">Despesa </w:t>
                  </w:r>
                </w:p>
                <w:p w14:paraId="7D30BAE7" w14:textId="77777777" w:rsidR="001C7E6F" w:rsidRPr="00D87D49" w:rsidRDefault="001C7E6F" w:rsidP="00BD3046">
                  <w:pPr>
                    <w:spacing w:after="0" w:line="240" w:lineRule="auto"/>
                    <w:jc w:val="center"/>
                    <w:rPr>
                      <w:rFonts w:ascii="Arial" w:eastAsia="Arial" w:hAnsi="Arial" w:cs="Arial"/>
                      <w:b/>
                      <w:color w:val="000000"/>
                      <w:sz w:val="16"/>
                      <w:szCs w:val="18"/>
                    </w:rPr>
                  </w:pPr>
                  <w:r w:rsidRPr="00D87D49">
                    <w:rPr>
                      <w:rFonts w:ascii="Arial" w:eastAsia="Arial" w:hAnsi="Arial" w:cs="Arial"/>
                      <w:b/>
                      <w:color w:val="000000"/>
                      <w:sz w:val="16"/>
                      <w:szCs w:val="18"/>
                    </w:rPr>
                    <w:t>Paga (C)</w:t>
                  </w:r>
                </w:p>
              </w:tc>
              <w:tc>
                <w:tcPr>
                  <w:tcW w:w="582" w:type="pct"/>
                  <w:vAlign w:val="center"/>
                  <w:hideMark/>
                </w:tcPr>
                <w:p w14:paraId="517F3990" w14:textId="77777777" w:rsidR="001C7E6F" w:rsidRPr="00D87D49" w:rsidRDefault="001C7E6F" w:rsidP="00BD3046">
                  <w:pPr>
                    <w:spacing w:after="0" w:line="240" w:lineRule="auto"/>
                    <w:jc w:val="center"/>
                    <w:rPr>
                      <w:rFonts w:ascii="Arial" w:eastAsia="Arial" w:hAnsi="Arial" w:cs="Arial"/>
                      <w:b/>
                      <w:color w:val="000000"/>
                      <w:sz w:val="16"/>
                      <w:szCs w:val="18"/>
                    </w:rPr>
                  </w:pPr>
                  <w:r w:rsidRPr="00D87D49">
                    <w:rPr>
                      <w:rFonts w:ascii="Arial" w:eastAsia="Arial" w:hAnsi="Arial" w:cs="Arial"/>
                      <w:b/>
                      <w:color w:val="000000"/>
                      <w:sz w:val="16"/>
                      <w:szCs w:val="18"/>
                    </w:rPr>
                    <w:t>Execução/ Fixado (C/A)</w:t>
                  </w:r>
                </w:p>
              </w:tc>
              <w:tc>
                <w:tcPr>
                  <w:tcW w:w="874" w:type="pct"/>
                  <w:vAlign w:val="center"/>
                  <w:hideMark/>
                </w:tcPr>
                <w:p w14:paraId="18D0245A" w14:textId="77777777" w:rsidR="001C7E6F" w:rsidRPr="00D87D49" w:rsidRDefault="001C7E6F" w:rsidP="00BD3046">
                  <w:pPr>
                    <w:spacing w:after="0" w:line="240" w:lineRule="auto"/>
                    <w:jc w:val="center"/>
                    <w:rPr>
                      <w:rFonts w:ascii="Arial" w:eastAsia="Arial" w:hAnsi="Arial" w:cs="Arial"/>
                      <w:b/>
                      <w:color w:val="000000"/>
                      <w:sz w:val="16"/>
                      <w:szCs w:val="18"/>
                    </w:rPr>
                  </w:pPr>
                  <w:r w:rsidRPr="00D87D49">
                    <w:rPr>
                      <w:rFonts w:ascii="Arial" w:eastAsia="Arial" w:hAnsi="Arial" w:cs="Arial"/>
                      <w:b/>
                      <w:color w:val="000000"/>
                      <w:sz w:val="16"/>
                      <w:szCs w:val="18"/>
                    </w:rPr>
                    <w:t>Execução/ Arrecadado (C/B)</w:t>
                  </w:r>
                </w:p>
              </w:tc>
            </w:tr>
            <w:tr w:rsidR="001C7E6F" w:rsidRPr="00D87D49" w14:paraId="21438BED" w14:textId="77777777" w:rsidTr="00BD3046">
              <w:tc>
                <w:tcPr>
                  <w:tcW w:w="532" w:type="pct"/>
                  <w:vAlign w:val="center"/>
                  <w:hideMark/>
                </w:tcPr>
                <w:p w14:paraId="5CB38FBE" w14:textId="77777777" w:rsidR="001C7E6F" w:rsidRPr="00D87D49" w:rsidRDefault="001C7E6F" w:rsidP="00BD3046">
                  <w:pPr>
                    <w:spacing w:after="0" w:line="240" w:lineRule="auto"/>
                    <w:rPr>
                      <w:rFonts w:ascii="Arial" w:eastAsia="Arial" w:hAnsi="Arial" w:cs="Arial"/>
                      <w:color w:val="000000"/>
                      <w:sz w:val="16"/>
                      <w:szCs w:val="18"/>
                    </w:rPr>
                  </w:pPr>
                  <w:r w:rsidRPr="00D87D49">
                    <w:rPr>
                      <w:rFonts w:ascii="Arial" w:eastAsia="Arial" w:hAnsi="Arial" w:cs="Arial"/>
                      <w:color w:val="000000"/>
                      <w:sz w:val="16"/>
                      <w:szCs w:val="18"/>
                    </w:rPr>
                    <w:t>2023</w:t>
                  </w:r>
                </w:p>
              </w:tc>
              <w:tc>
                <w:tcPr>
                  <w:tcW w:w="962" w:type="pct"/>
                  <w:vAlign w:val="center"/>
                  <w:hideMark/>
                </w:tcPr>
                <w:p w14:paraId="6F9E669B" w14:textId="77777777" w:rsidR="001C7E6F" w:rsidRPr="00D87D49" w:rsidRDefault="001C7E6F" w:rsidP="00BD3046">
                  <w:pPr>
                    <w:spacing w:after="0" w:line="240" w:lineRule="auto"/>
                    <w:rPr>
                      <w:rFonts w:ascii="Arial" w:eastAsia="Arial" w:hAnsi="Arial" w:cs="Arial"/>
                      <w:color w:val="000000"/>
                      <w:sz w:val="16"/>
                      <w:szCs w:val="18"/>
                    </w:rPr>
                  </w:pPr>
                  <w:r>
                    <w:rPr>
                      <w:rFonts w:ascii="Arial" w:eastAsia="Arial" w:hAnsi="Arial" w:cs="Arial"/>
                      <w:color w:val="000000"/>
                      <w:sz w:val="16"/>
                      <w:szCs w:val="18"/>
                    </w:rPr>
                    <w:t>R$ 805.085.211</w:t>
                  </w:r>
                </w:p>
              </w:tc>
              <w:tc>
                <w:tcPr>
                  <w:tcW w:w="1025" w:type="pct"/>
                  <w:vAlign w:val="center"/>
                  <w:hideMark/>
                </w:tcPr>
                <w:p w14:paraId="2AD32871" w14:textId="77777777" w:rsidR="001C7E6F" w:rsidRPr="00D87D49" w:rsidRDefault="001C7E6F" w:rsidP="00BD3046">
                  <w:pPr>
                    <w:spacing w:after="0" w:line="240" w:lineRule="auto"/>
                    <w:rPr>
                      <w:rFonts w:ascii="Arial" w:eastAsia="Arial" w:hAnsi="Arial" w:cs="Arial"/>
                      <w:color w:val="000000"/>
                      <w:sz w:val="16"/>
                      <w:szCs w:val="18"/>
                    </w:rPr>
                  </w:pPr>
                  <w:r w:rsidRPr="00D87D49">
                    <w:rPr>
                      <w:rFonts w:ascii="Arial" w:eastAsia="Arial" w:hAnsi="Arial" w:cs="Arial"/>
                      <w:color w:val="000000"/>
                      <w:sz w:val="16"/>
                      <w:szCs w:val="18"/>
                    </w:rPr>
                    <w:t xml:space="preserve">R$ </w:t>
                  </w:r>
                  <w:r>
                    <w:rPr>
                      <w:rFonts w:ascii="Arial" w:eastAsia="Arial" w:hAnsi="Arial" w:cs="Arial"/>
                      <w:color w:val="000000"/>
                      <w:sz w:val="16"/>
                      <w:szCs w:val="18"/>
                    </w:rPr>
                    <w:t>773.920.950</w:t>
                  </w:r>
                </w:p>
              </w:tc>
              <w:tc>
                <w:tcPr>
                  <w:tcW w:w="1024" w:type="pct"/>
                  <w:vAlign w:val="center"/>
                  <w:hideMark/>
                </w:tcPr>
                <w:p w14:paraId="01C352B1" w14:textId="77777777" w:rsidR="001C7E6F" w:rsidRPr="00D87D49" w:rsidRDefault="001C7E6F" w:rsidP="00BD3046">
                  <w:pPr>
                    <w:spacing w:after="0" w:line="240" w:lineRule="auto"/>
                    <w:rPr>
                      <w:rFonts w:ascii="Arial" w:eastAsia="Arial" w:hAnsi="Arial" w:cs="Arial"/>
                      <w:color w:val="000000"/>
                      <w:sz w:val="16"/>
                      <w:szCs w:val="18"/>
                    </w:rPr>
                  </w:pPr>
                  <w:r w:rsidRPr="00D87D49">
                    <w:rPr>
                      <w:rFonts w:ascii="Arial" w:eastAsia="Arial" w:hAnsi="Arial" w:cs="Arial"/>
                      <w:color w:val="000000"/>
                      <w:sz w:val="16"/>
                      <w:szCs w:val="18"/>
                    </w:rPr>
                    <w:t xml:space="preserve">R$ </w:t>
                  </w:r>
                  <w:r>
                    <w:rPr>
                      <w:rFonts w:ascii="Arial" w:eastAsia="Arial" w:hAnsi="Arial" w:cs="Arial"/>
                      <w:color w:val="000000"/>
                      <w:sz w:val="16"/>
                      <w:szCs w:val="18"/>
                    </w:rPr>
                    <w:t>437.400.071</w:t>
                  </w:r>
                </w:p>
              </w:tc>
              <w:tc>
                <w:tcPr>
                  <w:tcW w:w="582" w:type="pct"/>
                  <w:vAlign w:val="center"/>
                  <w:hideMark/>
                </w:tcPr>
                <w:p w14:paraId="3D480966" w14:textId="77777777" w:rsidR="001C7E6F" w:rsidRPr="00D87D49" w:rsidRDefault="001C7E6F" w:rsidP="00BD3046">
                  <w:pPr>
                    <w:spacing w:after="0" w:line="240" w:lineRule="auto"/>
                    <w:rPr>
                      <w:rFonts w:ascii="Arial" w:eastAsia="Arial" w:hAnsi="Arial" w:cs="Arial"/>
                      <w:color w:val="000000"/>
                      <w:sz w:val="16"/>
                      <w:szCs w:val="18"/>
                    </w:rPr>
                  </w:pPr>
                  <w:r>
                    <w:rPr>
                      <w:rFonts w:ascii="Arial" w:eastAsia="Arial" w:hAnsi="Arial" w:cs="Arial"/>
                      <w:b/>
                      <w:bCs/>
                      <w:color w:val="000000"/>
                      <w:sz w:val="16"/>
                      <w:szCs w:val="18"/>
                    </w:rPr>
                    <w:t>54,33%</w:t>
                  </w:r>
                </w:p>
              </w:tc>
              <w:tc>
                <w:tcPr>
                  <w:tcW w:w="874" w:type="pct"/>
                  <w:vAlign w:val="center"/>
                  <w:hideMark/>
                </w:tcPr>
                <w:p w14:paraId="0F9D5145" w14:textId="77777777" w:rsidR="001C7E6F" w:rsidRPr="00D87D49" w:rsidRDefault="001C7E6F" w:rsidP="00BD3046">
                  <w:pPr>
                    <w:spacing w:after="0" w:line="240" w:lineRule="auto"/>
                    <w:rPr>
                      <w:rFonts w:ascii="Arial" w:eastAsia="Arial" w:hAnsi="Arial" w:cs="Arial"/>
                      <w:color w:val="000000"/>
                      <w:sz w:val="16"/>
                      <w:szCs w:val="18"/>
                    </w:rPr>
                  </w:pPr>
                  <w:r>
                    <w:rPr>
                      <w:rFonts w:ascii="Arial" w:eastAsia="Arial" w:hAnsi="Arial" w:cs="Arial"/>
                      <w:b/>
                      <w:bCs/>
                      <w:color w:val="000000"/>
                      <w:sz w:val="16"/>
                      <w:szCs w:val="18"/>
                    </w:rPr>
                    <w:t>56,52%</w:t>
                  </w:r>
                </w:p>
              </w:tc>
            </w:tr>
            <w:tr w:rsidR="001C7E6F" w:rsidRPr="00D87D49" w14:paraId="2F849BE5" w14:textId="77777777" w:rsidTr="00BD3046">
              <w:tc>
                <w:tcPr>
                  <w:tcW w:w="532" w:type="pct"/>
                  <w:vAlign w:val="center"/>
                  <w:hideMark/>
                </w:tcPr>
                <w:p w14:paraId="375BBDFE" w14:textId="77777777" w:rsidR="001C7E6F" w:rsidRPr="00D87D49" w:rsidRDefault="001C7E6F" w:rsidP="00BD3046">
                  <w:pPr>
                    <w:spacing w:after="0" w:line="240" w:lineRule="auto"/>
                    <w:rPr>
                      <w:rFonts w:ascii="Arial" w:eastAsia="Arial" w:hAnsi="Arial" w:cs="Arial"/>
                      <w:color w:val="000000"/>
                      <w:sz w:val="16"/>
                      <w:szCs w:val="18"/>
                    </w:rPr>
                  </w:pPr>
                  <w:r w:rsidRPr="00D87D49">
                    <w:rPr>
                      <w:rFonts w:ascii="Arial" w:eastAsia="Arial" w:hAnsi="Arial" w:cs="Arial"/>
                      <w:color w:val="000000"/>
                      <w:sz w:val="16"/>
                      <w:szCs w:val="18"/>
                    </w:rPr>
                    <w:t>2024</w:t>
                  </w:r>
                </w:p>
              </w:tc>
              <w:tc>
                <w:tcPr>
                  <w:tcW w:w="962" w:type="pct"/>
                  <w:vAlign w:val="center"/>
                  <w:hideMark/>
                </w:tcPr>
                <w:p w14:paraId="55948A45" w14:textId="77777777" w:rsidR="001C7E6F" w:rsidRPr="00D87D49" w:rsidRDefault="001C7E6F" w:rsidP="00BD3046">
                  <w:pPr>
                    <w:spacing w:after="0" w:line="240" w:lineRule="auto"/>
                    <w:rPr>
                      <w:rFonts w:ascii="Arial" w:eastAsia="Arial" w:hAnsi="Arial" w:cs="Arial"/>
                      <w:color w:val="000000"/>
                      <w:sz w:val="16"/>
                      <w:szCs w:val="18"/>
                    </w:rPr>
                  </w:pPr>
                  <w:r w:rsidRPr="00D87D49">
                    <w:rPr>
                      <w:rFonts w:ascii="Arial" w:eastAsia="Arial" w:hAnsi="Arial" w:cs="Arial"/>
                      <w:color w:val="000000"/>
                      <w:sz w:val="16"/>
                      <w:szCs w:val="18"/>
                    </w:rPr>
                    <w:t xml:space="preserve">R$ </w:t>
                  </w:r>
                  <w:r>
                    <w:rPr>
                      <w:rFonts w:ascii="Arial" w:eastAsia="Arial" w:hAnsi="Arial" w:cs="Arial"/>
                      <w:color w:val="000000"/>
                      <w:sz w:val="16"/>
                      <w:szCs w:val="18"/>
                    </w:rPr>
                    <w:t>738.366.905</w:t>
                  </w:r>
                </w:p>
              </w:tc>
              <w:tc>
                <w:tcPr>
                  <w:tcW w:w="1025" w:type="pct"/>
                  <w:vAlign w:val="center"/>
                  <w:hideMark/>
                </w:tcPr>
                <w:p w14:paraId="3E896078" w14:textId="77777777" w:rsidR="001C7E6F" w:rsidRPr="00D87D49" w:rsidRDefault="001C7E6F" w:rsidP="00BD3046">
                  <w:pPr>
                    <w:spacing w:after="0" w:line="240" w:lineRule="auto"/>
                    <w:rPr>
                      <w:rFonts w:ascii="Arial" w:eastAsia="Arial" w:hAnsi="Arial" w:cs="Arial"/>
                      <w:color w:val="000000"/>
                      <w:sz w:val="16"/>
                      <w:szCs w:val="18"/>
                    </w:rPr>
                  </w:pPr>
                  <w:r w:rsidRPr="00D87D49">
                    <w:rPr>
                      <w:rFonts w:ascii="Arial" w:eastAsia="Arial" w:hAnsi="Arial" w:cs="Arial"/>
                      <w:color w:val="000000"/>
                      <w:sz w:val="16"/>
                      <w:szCs w:val="18"/>
                    </w:rPr>
                    <w:t xml:space="preserve">R$ </w:t>
                  </w:r>
                  <w:r>
                    <w:rPr>
                      <w:rFonts w:ascii="Arial" w:eastAsia="Arial" w:hAnsi="Arial" w:cs="Arial"/>
                      <w:color w:val="000000"/>
                      <w:sz w:val="16"/>
                      <w:szCs w:val="18"/>
                    </w:rPr>
                    <w:t>859.268.190</w:t>
                  </w:r>
                </w:p>
              </w:tc>
              <w:tc>
                <w:tcPr>
                  <w:tcW w:w="1024" w:type="pct"/>
                  <w:vAlign w:val="center"/>
                  <w:hideMark/>
                </w:tcPr>
                <w:p w14:paraId="3746A88C" w14:textId="77777777" w:rsidR="001C7E6F" w:rsidRPr="00D87D49" w:rsidRDefault="001C7E6F" w:rsidP="00BD3046">
                  <w:pPr>
                    <w:spacing w:after="0" w:line="240" w:lineRule="auto"/>
                    <w:rPr>
                      <w:rFonts w:ascii="Arial" w:eastAsia="Arial" w:hAnsi="Arial" w:cs="Arial"/>
                      <w:color w:val="000000"/>
                      <w:sz w:val="16"/>
                      <w:szCs w:val="18"/>
                    </w:rPr>
                  </w:pPr>
                  <w:r w:rsidRPr="00D87D49">
                    <w:rPr>
                      <w:rFonts w:ascii="Arial" w:eastAsia="Arial" w:hAnsi="Arial" w:cs="Arial"/>
                      <w:color w:val="000000"/>
                      <w:sz w:val="16"/>
                      <w:szCs w:val="18"/>
                    </w:rPr>
                    <w:t xml:space="preserve">R$ </w:t>
                  </w:r>
                  <w:r>
                    <w:rPr>
                      <w:rFonts w:ascii="Arial" w:eastAsia="Arial" w:hAnsi="Arial" w:cs="Arial"/>
                      <w:color w:val="000000"/>
                      <w:sz w:val="16"/>
                      <w:szCs w:val="18"/>
                    </w:rPr>
                    <w:t>644.293.916</w:t>
                  </w:r>
                </w:p>
              </w:tc>
              <w:tc>
                <w:tcPr>
                  <w:tcW w:w="582" w:type="pct"/>
                  <w:vAlign w:val="center"/>
                  <w:hideMark/>
                </w:tcPr>
                <w:p w14:paraId="2CBCCB3E" w14:textId="77777777" w:rsidR="001C7E6F" w:rsidRPr="00D87D49" w:rsidRDefault="001C7E6F" w:rsidP="00BD3046">
                  <w:pPr>
                    <w:spacing w:after="0" w:line="240" w:lineRule="auto"/>
                    <w:rPr>
                      <w:rFonts w:ascii="Arial" w:eastAsia="Arial" w:hAnsi="Arial" w:cs="Arial"/>
                      <w:color w:val="000000"/>
                      <w:sz w:val="16"/>
                      <w:szCs w:val="18"/>
                    </w:rPr>
                  </w:pPr>
                  <w:r>
                    <w:rPr>
                      <w:rFonts w:ascii="Arial" w:eastAsia="Arial" w:hAnsi="Arial" w:cs="Arial"/>
                      <w:b/>
                      <w:bCs/>
                      <w:color w:val="000000"/>
                      <w:sz w:val="16"/>
                      <w:szCs w:val="18"/>
                    </w:rPr>
                    <w:t>87,26%</w:t>
                  </w:r>
                </w:p>
              </w:tc>
              <w:tc>
                <w:tcPr>
                  <w:tcW w:w="874" w:type="pct"/>
                  <w:vAlign w:val="center"/>
                  <w:hideMark/>
                </w:tcPr>
                <w:p w14:paraId="61CDCED5" w14:textId="77777777" w:rsidR="001C7E6F" w:rsidRPr="00D87D49" w:rsidRDefault="001C7E6F" w:rsidP="00BD3046">
                  <w:pPr>
                    <w:spacing w:after="0" w:line="240" w:lineRule="auto"/>
                    <w:rPr>
                      <w:rFonts w:ascii="Arial" w:eastAsia="Arial" w:hAnsi="Arial" w:cs="Arial"/>
                      <w:color w:val="000000"/>
                      <w:sz w:val="16"/>
                      <w:szCs w:val="18"/>
                    </w:rPr>
                  </w:pPr>
                  <w:r>
                    <w:rPr>
                      <w:rFonts w:ascii="Arial" w:eastAsia="Arial" w:hAnsi="Arial" w:cs="Arial"/>
                      <w:b/>
                      <w:bCs/>
                      <w:color w:val="000000"/>
                      <w:sz w:val="16"/>
                      <w:szCs w:val="18"/>
                    </w:rPr>
                    <w:t>74,98%</w:t>
                  </w:r>
                </w:p>
              </w:tc>
            </w:tr>
            <w:tr w:rsidR="001C7E6F" w:rsidRPr="00D87D49" w14:paraId="6344454F" w14:textId="77777777" w:rsidTr="00BD3046">
              <w:tc>
                <w:tcPr>
                  <w:tcW w:w="532" w:type="pct"/>
                  <w:vAlign w:val="center"/>
                  <w:hideMark/>
                </w:tcPr>
                <w:p w14:paraId="0D5D63DB" w14:textId="77777777" w:rsidR="001C7E6F" w:rsidRPr="00D87D49" w:rsidRDefault="001C7E6F" w:rsidP="00BD3046">
                  <w:pPr>
                    <w:spacing w:after="0" w:line="240" w:lineRule="auto"/>
                    <w:rPr>
                      <w:rFonts w:ascii="Arial" w:eastAsia="Arial" w:hAnsi="Arial" w:cs="Arial"/>
                      <w:color w:val="000000"/>
                      <w:sz w:val="16"/>
                      <w:szCs w:val="18"/>
                    </w:rPr>
                  </w:pPr>
                  <w:r w:rsidRPr="00D87D49">
                    <w:rPr>
                      <w:rFonts w:ascii="Arial" w:eastAsia="Arial" w:hAnsi="Arial" w:cs="Arial"/>
                      <w:color w:val="000000"/>
                      <w:sz w:val="16"/>
                      <w:szCs w:val="18"/>
                    </w:rPr>
                    <w:t>2025</w:t>
                  </w:r>
                </w:p>
              </w:tc>
              <w:tc>
                <w:tcPr>
                  <w:tcW w:w="962" w:type="pct"/>
                  <w:vAlign w:val="center"/>
                  <w:hideMark/>
                </w:tcPr>
                <w:p w14:paraId="52CC7CDC" w14:textId="77777777" w:rsidR="001C7E6F" w:rsidRPr="00D87D49" w:rsidRDefault="001C7E6F" w:rsidP="00BD3046">
                  <w:pPr>
                    <w:spacing w:after="0" w:line="240" w:lineRule="auto"/>
                    <w:rPr>
                      <w:rFonts w:ascii="Arial" w:eastAsia="Arial" w:hAnsi="Arial" w:cs="Arial"/>
                      <w:color w:val="000000"/>
                      <w:sz w:val="16"/>
                      <w:szCs w:val="18"/>
                    </w:rPr>
                  </w:pPr>
                  <w:r w:rsidRPr="00D87D49">
                    <w:rPr>
                      <w:rFonts w:ascii="Arial" w:eastAsia="Arial" w:hAnsi="Arial" w:cs="Arial"/>
                      <w:color w:val="000000"/>
                      <w:sz w:val="16"/>
                      <w:szCs w:val="18"/>
                    </w:rPr>
                    <w:t xml:space="preserve">R$ </w:t>
                  </w:r>
                  <w:r>
                    <w:rPr>
                      <w:rFonts w:ascii="Arial" w:eastAsia="Arial" w:hAnsi="Arial" w:cs="Arial"/>
                      <w:color w:val="000000"/>
                      <w:sz w:val="16"/>
                      <w:szCs w:val="18"/>
                    </w:rPr>
                    <w:t>996.644.052</w:t>
                  </w:r>
                </w:p>
              </w:tc>
              <w:tc>
                <w:tcPr>
                  <w:tcW w:w="1025" w:type="pct"/>
                  <w:vAlign w:val="center"/>
                  <w:hideMark/>
                </w:tcPr>
                <w:p w14:paraId="09DED586" w14:textId="77777777" w:rsidR="001C7E6F" w:rsidRPr="00D87D49" w:rsidRDefault="001C7E6F" w:rsidP="00BD3046">
                  <w:pPr>
                    <w:spacing w:after="0" w:line="240" w:lineRule="auto"/>
                    <w:rPr>
                      <w:rFonts w:ascii="Arial" w:eastAsia="Arial" w:hAnsi="Arial" w:cs="Arial"/>
                      <w:color w:val="000000"/>
                      <w:sz w:val="16"/>
                      <w:szCs w:val="18"/>
                    </w:rPr>
                  </w:pPr>
                  <w:r w:rsidRPr="00D87D49">
                    <w:rPr>
                      <w:rFonts w:ascii="Arial" w:eastAsia="Arial" w:hAnsi="Arial" w:cs="Arial"/>
                      <w:color w:val="000000"/>
                      <w:sz w:val="16"/>
                      <w:szCs w:val="18"/>
                    </w:rPr>
                    <w:t xml:space="preserve">R$ </w:t>
                  </w:r>
                  <w:r>
                    <w:rPr>
                      <w:rFonts w:ascii="Arial" w:eastAsia="Arial" w:hAnsi="Arial" w:cs="Arial"/>
                      <w:color w:val="000000"/>
                      <w:sz w:val="16"/>
                      <w:szCs w:val="18"/>
                    </w:rPr>
                    <w:t>635.322.067</w:t>
                  </w:r>
                </w:p>
              </w:tc>
              <w:tc>
                <w:tcPr>
                  <w:tcW w:w="1024" w:type="pct"/>
                  <w:vAlign w:val="center"/>
                  <w:hideMark/>
                </w:tcPr>
                <w:p w14:paraId="44B221BD" w14:textId="77777777" w:rsidR="001C7E6F" w:rsidRPr="00D87D49" w:rsidRDefault="001C7E6F" w:rsidP="00BD3046">
                  <w:pPr>
                    <w:spacing w:after="0" w:line="240" w:lineRule="auto"/>
                    <w:rPr>
                      <w:rFonts w:ascii="Arial" w:eastAsia="Arial" w:hAnsi="Arial" w:cs="Arial"/>
                      <w:color w:val="000000"/>
                      <w:sz w:val="16"/>
                      <w:szCs w:val="18"/>
                    </w:rPr>
                  </w:pPr>
                  <w:r w:rsidRPr="00D87D49">
                    <w:rPr>
                      <w:rFonts w:ascii="Arial" w:eastAsia="Arial" w:hAnsi="Arial" w:cs="Arial"/>
                      <w:color w:val="000000"/>
                      <w:sz w:val="16"/>
                      <w:szCs w:val="18"/>
                    </w:rPr>
                    <w:t xml:space="preserve">R$ </w:t>
                  </w:r>
                  <w:r>
                    <w:rPr>
                      <w:rFonts w:ascii="Arial" w:eastAsia="Arial" w:hAnsi="Arial" w:cs="Arial"/>
                      <w:color w:val="000000"/>
                      <w:sz w:val="16"/>
                      <w:szCs w:val="18"/>
                    </w:rPr>
                    <w:t>473.571.941</w:t>
                  </w:r>
                </w:p>
              </w:tc>
              <w:tc>
                <w:tcPr>
                  <w:tcW w:w="582" w:type="pct"/>
                  <w:vAlign w:val="center"/>
                  <w:hideMark/>
                </w:tcPr>
                <w:p w14:paraId="00C52203" w14:textId="77777777" w:rsidR="001C7E6F" w:rsidRPr="00D87D49" w:rsidRDefault="001C7E6F" w:rsidP="00BD3046">
                  <w:pPr>
                    <w:spacing w:after="0" w:line="240" w:lineRule="auto"/>
                    <w:rPr>
                      <w:rFonts w:ascii="Arial" w:eastAsia="Arial" w:hAnsi="Arial" w:cs="Arial"/>
                      <w:color w:val="000000"/>
                      <w:sz w:val="16"/>
                      <w:szCs w:val="18"/>
                    </w:rPr>
                  </w:pPr>
                  <w:r>
                    <w:rPr>
                      <w:rFonts w:ascii="Arial" w:eastAsia="Arial" w:hAnsi="Arial" w:cs="Arial"/>
                      <w:b/>
                      <w:bCs/>
                      <w:color w:val="000000"/>
                      <w:sz w:val="16"/>
                      <w:szCs w:val="18"/>
                    </w:rPr>
                    <w:t>47,52%</w:t>
                  </w:r>
                </w:p>
              </w:tc>
              <w:tc>
                <w:tcPr>
                  <w:tcW w:w="874" w:type="pct"/>
                  <w:vAlign w:val="center"/>
                  <w:hideMark/>
                </w:tcPr>
                <w:p w14:paraId="25B6721B" w14:textId="77777777" w:rsidR="001C7E6F" w:rsidRPr="00D87D49" w:rsidRDefault="001C7E6F" w:rsidP="00BD3046">
                  <w:pPr>
                    <w:spacing w:after="0" w:line="240" w:lineRule="auto"/>
                    <w:rPr>
                      <w:rFonts w:ascii="Arial" w:eastAsia="Arial" w:hAnsi="Arial" w:cs="Arial"/>
                      <w:color w:val="000000"/>
                      <w:sz w:val="16"/>
                      <w:szCs w:val="18"/>
                    </w:rPr>
                  </w:pPr>
                  <w:r>
                    <w:rPr>
                      <w:rFonts w:ascii="Arial" w:eastAsia="Arial" w:hAnsi="Arial" w:cs="Arial"/>
                      <w:b/>
                      <w:bCs/>
                      <w:color w:val="000000"/>
                      <w:sz w:val="16"/>
                      <w:szCs w:val="18"/>
                    </w:rPr>
                    <w:t>74,54%</w:t>
                  </w:r>
                </w:p>
              </w:tc>
            </w:tr>
          </w:tbl>
          <w:p w14:paraId="4D23C253" w14:textId="77777777" w:rsidR="001C7E6F" w:rsidRDefault="001C7E6F" w:rsidP="00BD3046">
            <w:pPr>
              <w:spacing w:after="0" w:line="240" w:lineRule="auto"/>
              <w:rPr>
                <w:rFonts w:ascii="Arial" w:eastAsia="Arial" w:hAnsi="Arial" w:cs="Arial"/>
                <w:color w:val="000000"/>
                <w:sz w:val="18"/>
                <w:szCs w:val="18"/>
              </w:rPr>
            </w:pPr>
          </w:p>
          <w:p w14:paraId="6FE2CB68" w14:textId="77777777" w:rsidR="001C7E6F" w:rsidRPr="00D87D49" w:rsidRDefault="001C7E6F" w:rsidP="00BD3046">
            <w:pPr>
              <w:spacing w:after="0" w:line="240" w:lineRule="auto"/>
              <w:rPr>
                <w:rFonts w:ascii="Arial" w:eastAsia="Arial" w:hAnsi="Arial" w:cs="Arial"/>
                <w:color w:val="000000"/>
                <w:sz w:val="18"/>
                <w:szCs w:val="18"/>
              </w:rPr>
            </w:pPr>
            <w:r w:rsidRPr="00D87D49">
              <w:rPr>
                <w:rFonts w:ascii="Arial" w:eastAsia="Arial" w:hAnsi="Arial" w:cs="Arial"/>
                <w:color w:val="000000"/>
                <w:sz w:val="18"/>
                <w:szCs w:val="18"/>
              </w:rPr>
              <w:t xml:space="preserve">O percentual da </w:t>
            </w:r>
            <w:r w:rsidRPr="00D87D49">
              <w:rPr>
                <w:rFonts w:ascii="Arial" w:eastAsia="Arial" w:hAnsi="Arial" w:cs="Arial"/>
                <w:b/>
                <w:bCs/>
                <w:color w:val="000000"/>
                <w:sz w:val="18"/>
                <w:szCs w:val="18"/>
              </w:rPr>
              <w:t>Despesa Paga sobre a Receita Arrecadada</w:t>
            </w:r>
            <w:r w:rsidRPr="00D87D49">
              <w:rPr>
                <w:rFonts w:ascii="Arial" w:eastAsia="Arial" w:hAnsi="Arial" w:cs="Arial"/>
                <w:color w:val="000000"/>
                <w:sz w:val="18"/>
                <w:szCs w:val="18"/>
              </w:rPr>
              <w:t xml:space="preserve"> é um indicador direto da capacidade real de gasto do Fundo em relação ao que foi efetivamente recebido.</w:t>
            </w:r>
          </w:p>
          <w:p w14:paraId="6AA24C24" w14:textId="77777777" w:rsidR="001C7E6F" w:rsidRPr="00D87D49" w:rsidRDefault="001C7E6F" w:rsidP="00BD3046">
            <w:pPr>
              <w:spacing w:after="0" w:line="240" w:lineRule="auto"/>
              <w:rPr>
                <w:rFonts w:ascii="Arial" w:eastAsia="Arial" w:hAnsi="Arial" w:cs="Arial"/>
                <w:color w:val="000000"/>
                <w:sz w:val="18"/>
                <w:szCs w:val="18"/>
              </w:rPr>
            </w:pPr>
            <w:r w:rsidRPr="00D87D49">
              <w:rPr>
                <w:rFonts w:ascii="Arial" w:eastAsia="Arial" w:hAnsi="Arial" w:cs="Arial"/>
                <w:color w:val="000000"/>
                <w:sz w:val="18"/>
                <w:szCs w:val="18"/>
              </w:rPr>
              <w:t xml:space="preserve">• Em </w:t>
            </w:r>
            <w:r w:rsidRPr="00D87D49">
              <w:rPr>
                <w:rFonts w:ascii="Arial" w:eastAsia="Arial" w:hAnsi="Arial" w:cs="Arial"/>
                <w:b/>
                <w:bCs/>
                <w:color w:val="000000"/>
                <w:sz w:val="18"/>
                <w:szCs w:val="18"/>
              </w:rPr>
              <w:t>2023</w:t>
            </w:r>
            <w:r w:rsidRPr="00D87D49">
              <w:rPr>
                <w:rFonts w:ascii="Arial" w:eastAsia="Arial" w:hAnsi="Arial" w:cs="Arial"/>
                <w:color w:val="000000"/>
                <w:sz w:val="18"/>
                <w:szCs w:val="18"/>
              </w:rPr>
              <w:t xml:space="preserve">, a despesa paga representou </w:t>
            </w:r>
            <w:r w:rsidRPr="00D87D49">
              <w:rPr>
                <w:rFonts w:ascii="Arial" w:eastAsia="Arial" w:hAnsi="Arial" w:cs="Arial"/>
                <w:b/>
                <w:bCs/>
                <w:color w:val="000000"/>
                <w:sz w:val="18"/>
                <w:szCs w:val="18"/>
              </w:rPr>
              <w:t>56,52%</w:t>
            </w:r>
            <w:r w:rsidRPr="00D87D49">
              <w:rPr>
                <w:rFonts w:ascii="Arial" w:eastAsia="Arial" w:hAnsi="Arial" w:cs="Arial"/>
                <w:color w:val="000000"/>
                <w:sz w:val="18"/>
                <w:szCs w:val="18"/>
              </w:rPr>
              <w:t xml:space="preserve"> da receita arrecadada.</w:t>
            </w:r>
          </w:p>
          <w:p w14:paraId="6F4FE88D" w14:textId="77777777" w:rsidR="001C7E6F" w:rsidRPr="00D87D49" w:rsidRDefault="001C7E6F" w:rsidP="00BD3046">
            <w:pPr>
              <w:spacing w:after="0" w:line="240" w:lineRule="auto"/>
              <w:rPr>
                <w:rFonts w:ascii="Arial" w:eastAsia="Arial" w:hAnsi="Arial" w:cs="Arial"/>
                <w:color w:val="000000"/>
                <w:sz w:val="18"/>
                <w:szCs w:val="18"/>
              </w:rPr>
            </w:pPr>
            <w:r w:rsidRPr="00D87D49">
              <w:rPr>
                <w:rFonts w:ascii="Arial" w:eastAsia="Arial" w:hAnsi="Arial" w:cs="Arial"/>
                <w:color w:val="000000"/>
                <w:sz w:val="18"/>
                <w:szCs w:val="18"/>
              </w:rPr>
              <w:t xml:space="preserve">• Em </w:t>
            </w:r>
            <w:r w:rsidRPr="00D87D49">
              <w:rPr>
                <w:rFonts w:ascii="Arial" w:eastAsia="Arial" w:hAnsi="Arial" w:cs="Arial"/>
                <w:b/>
                <w:bCs/>
                <w:color w:val="000000"/>
                <w:sz w:val="18"/>
                <w:szCs w:val="18"/>
              </w:rPr>
              <w:t>2024</w:t>
            </w:r>
            <w:r w:rsidRPr="00D87D49">
              <w:rPr>
                <w:rFonts w:ascii="Arial" w:eastAsia="Arial" w:hAnsi="Arial" w:cs="Arial"/>
                <w:color w:val="000000"/>
                <w:sz w:val="18"/>
                <w:szCs w:val="18"/>
              </w:rPr>
              <w:t xml:space="preserve">, a despesa paga representou </w:t>
            </w:r>
            <w:r w:rsidRPr="00D87D49">
              <w:rPr>
                <w:rFonts w:ascii="Arial" w:eastAsia="Arial" w:hAnsi="Arial" w:cs="Arial"/>
                <w:b/>
                <w:bCs/>
                <w:color w:val="000000"/>
                <w:sz w:val="18"/>
                <w:szCs w:val="18"/>
              </w:rPr>
              <w:t>74,98%</w:t>
            </w:r>
            <w:r w:rsidRPr="00D87D49">
              <w:rPr>
                <w:rFonts w:ascii="Arial" w:eastAsia="Arial" w:hAnsi="Arial" w:cs="Arial"/>
                <w:color w:val="000000"/>
                <w:sz w:val="18"/>
                <w:szCs w:val="18"/>
              </w:rPr>
              <w:t xml:space="preserve"> da receita arrecadada.</w:t>
            </w:r>
          </w:p>
          <w:p w14:paraId="67996381" w14:textId="77777777" w:rsidR="001C7E6F" w:rsidRPr="00D87D49" w:rsidRDefault="001C7E6F" w:rsidP="00BD3046">
            <w:pPr>
              <w:spacing w:after="0" w:line="240" w:lineRule="auto"/>
              <w:rPr>
                <w:rFonts w:ascii="Arial" w:eastAsia="Arial" w:hAnsi="Arial" w:cs="Arial"/>
                <w:color w:val="000000"/>
                <w:sz w:val="18"/>
                <w:szCs w:val="18"/>
              </w:rPr>
            </w:pPr>
            <w:r w:rsidRPr="00D87D49">
              <w:rPr>
                <w:rFonts w:ascii="Arial" w:eastAsia="Arial" w:hAnsi="Arial" w:cs="Arial"/>
                <w:color w:val="000000"/>
                <w:sz w:val="18"/>
                <w:szCs w:val="18"/>
              </w:rPr>
              <w:t xml:space="preserve">• Em </w:t>
            </w:r>
            <w:r w:rsidRPr="00D87D49">
              <w:rPr>
                <w:rFonts w:ascii="Arial" w:eastAsia="Arial" w:hAnsi="Arial" w:cs="Arial"/>
                <w:b/>
                <w:bCs/>
                <w:color w:val="000000"/>
                <w:sz w:val="18"/>
                <w:szCs w:val="18"/>
              </w:rPr>
              <w:t>2025</w:t>
            </w:r>
            <w:r w:rsidRPr="00D87D49">
              <w:rPr>
                <w:rFonts w:ascii="Arial" w:eastAsia="Arial" w:hAnsi="Arial" w:cs="Arial"/>
                <w:color w:val="000000"/>
                <w:sz w:val="18"/>
                <w:szCs w:val="18"/>
              </w:rPr>
              <w:t xml:space="preserve">, a despesa paga representou </w:t>
            </w:r>
            <w:r w:rsidRPr="00D87D49">
              <w:rPr>
                <w:rFonts w:ascii="Arial" w:eastAsia="Arial" w:hAnsi="Arial" w:cs="Arial"/>
                <w:b/>
                <w:bCs/>
                <w:color w:val="000000"/>
                <w:sz w:val="18"/>
                <w:szCs w:val="18"/>
              </w:rPr>
              <w:t>74,54%</w:t>
            </w:r>
            <w:r w:rsidRPr="00D87D49">
              <w:rPr>
                <w:rFonts w:ascii="Arial" w:eastAsia="Arial" w:hAnsi="Arial" w:cs="Arial"/>
                <w:color w:val="000000"/>
                <w:sz w:val="18"/>
                <w:szCs w:val="18"/>
              </w:rPr>
              <w:t xml:space="preserve"> da receita arrecadada.</w:t>
            </w:r>
          </w:p>
          <w:p w14:paraId="028B367E" w14:textId="77777777" w:rsidR="001C7E6F" w:rsidRDefault="001C7E6F" w:rsidP="00BD3046">
            <w:pPr>
              <w:spacing w:after="0" w:line="240" w:lineRule="auto"/>
              <w:rPr>
                <w:rFonts w:ascii="Arial" w:eastAsia="Arial" w:hAnsi="Arial" w:cs="Arial"/>
                <w:color w:val="000000"/>
                <w:sz w:val="18"/>
                <w:szCs w:val="18"/>
              </w:rPr>
            </w:pPr>
          </w:p>
          <w:p w14:paraId="31B61F18" w14:textId="77777777" w:rsidR="001C7E6F" w:rsidRDefault="001C7E6F" w:rsidP="00BD3046">
            <w:pPr>
              <w:spacing w:after="0" w:line="240" w:lineRule="auto"/>
              <w:rPr>
                <w:rFonts w:ascii="Arial" w:eastAsia="Arial" w:hAnsi="Arial" w:cs="Arial"/>
                <w:color w:val="000000"/>
                <w:sz w:val="18"/>
                <w:szCs w:val="18"/>
              </w:rPr>
            </w:pPr>
            <w:r w:rsidRPr="00D87D49">
              <w:rPr>
                <w:rFonts w:ascii="Arial" w:eastAsia="Arial" w:hAnsi="Arial" w:cs="Arial"/>
                <w:color w:val="000000"/>
                <w:sz w:val="18"/>
                <w:szCs w:val="18"/>
              </w:rPr>
              <w:t xml:space="preserve">Em todos os anos analisados (2023, 2024 e 2025), a despesa paga pelo Fundo </w:t>
            </w:r>
            <w:r w:rsidRPr="00D87D49">
              <w:rPr>
                <w:rFonts w:ascii="Arial" w:eastAsia="Arial" w:hAnsi="Arial" w:cs="Arial"/>
                <w:b/>
                <w:bCs/>
                <w:color w:val="000000"/>
                <w:sz w:val="18"/>
                <w:szCs w:val="18"/>
              </w:rPr>
              <w:t>ficou abaixo do limite de 85%</w:t>
            </w:r>
            <w:r w:rsidRPr="00D87D49">
              <w:rPr>
                <w:rFonts w:ascii="Arial" w:eastAsia="Arial" w:hAnsi="Arial" w:cs="Arial"/>
                <w:color w:val="000000"/>
                <w:sz w:val="18"/>
                <w:szCs w:val="18"/>
              </w:rPr>
              <w:t xml:space="preserve"> da receita arrecadada, o que resultou em percentuais de sobra sobre o valor arrecadado de 43,48% em 2023, </w:t>
            </w:r>
            <w:r w:rsidRPr="00D87D49">
              <w:rPr>
                <w:rFonts w:ascii="Arial" w:eastAsia="Arial" w:hAnsi="Arial" w:cs="Arial"/>
                <w:b/>
                <w:bCs/>
                <w:color w:val="000000"/>
                <w:sz w:val="18"/>
                <w:szCs w:val="18"/>
              </w:rPr>
              <w:t>25,02% em 2024</w:t>
            </w:r>
            <w:r w:rsidRPr="00D87D49">
              <w:rPr>
                <w:rFonts w:ascii="Arial" w:eastAsia="Arial" w:hAnsi="Arial" w:cs="Arial"/>
                <w:color w:val="000000"/>
                <w:sz w:val="18"/>
                <w:szCs w:val="18"/>
              </w:rPr>
              <w:t xml:space="preserve"> e </w:t>
            </w:r>
            <w:r w:rsidRPr="00D87D49">
              <w:rPr>
                <w:rFonts w:ascii="Arial" w:eastAsia="Arial" w:hAnsi="Arial" w:cs="Arial"/>
                <w:b/>
                <w:bCs/>
                <w:color w:val="000000"/>
                <w:sz w:val="18"/>
                <w:szCs w:val="18"/>
              </w:rPr>
              <w:t>25,46% em 2025</w:t>
            </w:r>
            <w:r w:rsidRPr="00D87D49">
              <w:rPr>
                <w:rFonts w:ascii="Arial" w:eastAsia="Arial" w:hAnsi="Arial" w:cs="Arial"/>
                <w:color w:val="000000"/>
                <w:sz w:val="18"/>
                <w:szCs w:val="18"/>
              </w:rPr>
              <w:t>. Isso indica que o Fundo está acumuland</w:t>
            </w:r>
            <w:r>
              <w:rPr>
                <w:rFonts w:ascii="Arial" w:eastAsia="Arial" w:hAnsi="Arial" w:cs="Arial"/>
                <w:color w:val="000000"/>
                <w:sz w:val="18"/>
                <w:szCs w:val="18"/>
              </w:rPr>
              <w:t>o saldo financeiro não utilizado.</w:t>
            </w:r>
          </w:p>
          <w:p w14:paraId="32D3B2B7" w14:textId="77777777" w:rsidR="001C7E6F" w:rsidRDefault="001C7E6F" w:rsidP="00BD3046">
            <w:pPr>
              <w:spacing w:after="0" w:line="240" w:lineRule="auto"/>
              <w:rPr>
                <w:rFonts w:ascii="Arial" w:eastAsia="Arial" w:hAnsi="Arial" w:cs="Arial"/>
                <w:color w:val="000000"/>
                <w:sz w:val="18"/>
                <w:szCs w:val="18"/>
              </w:rPr>
            </w:pPr>
          </w:p>
        </w:tc>
      </w:tr>
      <w:tr w:rsidR="001C7E6F" w14:paraId="22412002" w14:textId="77777777" w:rsidTr="00BD3046">
        <w:trPr>
          <w:trHeight w:val="20"/>
        </w:trPr>
        <w:tc>
          <w:tcPr>
            <w:tcW w:w="2263" w:type="dxa"/>
            <w:shd w:val="clear" w:color="auto" w:fill="auto"/>
            <w:vAlign w:val="center"/>
          </w:tcPr>
          <w:p w14:paraId="70C86D9A"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3.2 Restrições e desvios</w:t>
            </w:r>
          </w:p>
        </w:tc>
        <w:tc>
          <w:tcPr>
            <w:tcW w:w="6798" w:type="dxa"/>
            <w:shd w:val="clear" w:color="auto" w:fill="auto"/>
            <w:vAlign w:val="center"/>
          </w:tcPr>
          <w:sdt>
            <w:sdtPr>
              <w:tag w:val="goog_rdk_6"/>
              <w:id w:val="-1847973148"/>
            </w:sdtPr>
            <w:sdtContent>
              <w:p w14:paraId="54219445" w14:textId="77777777" w:rsidR="001C7E6F" w:rsidRPr="009B5681" w:rsidRDefault="001C7E6F" w:rsidP="00BD3046">
                <w:pPr>
                  <w:spacing w:after="0" w:line="240" w:lineRule="auto"/>
                  <w:rPr>
                    <w:rFonts w:ascii="Arial Unicode MS" w:eastAsia="Arial Unicode MS" w:hAnsi="Arial Unicode MS" w:cs="Arial Unicode MS"/>
                    <w:i/>
                    <w:color w:val="000000"/>
                    <w:sz w:val="18"/>
                    <w:szCs w:val="18"/>
                  </w:rPr>
                </w:pPr>
                <w:r w:rsidRPr="009B5681">
                  <w:rPr>
                    <w:rFonts w:ascii="Arial Unicode MS" w:eastAsia="Arial Unicode MS" w:hAnsi="Arial Unicode MS" w:cs="Arial Unicode MS"/>
                    <w:i/>
                    <w:color w:val="000000"/>
                    <w:sz w:val="18"/>
                    <w:szCs w:val="18"/>
                  </w:rPr>
                  <w:t xml:space="preserve">Identificação de contingenciamentos, desvinculações, remanejamentos indevidos ou perdas de arrecadação por desvinculação ≥20%. </w:t>
                </w:r>
              </w:p>
              <w:p w14:paraId="2742077D" w14:textId="77777777" w:rsidR="001C7E6F" w:rsidRDefault="001C7E6F" w:rsidP="00BD3046">
                <w:pPr>
                  <w:spacing w:after="0" w:line="240" w:lineRule="auto"/>
                  <w:rPr>
                    <w:rFonts w:ascii="Arial Unicode MS" w:eastAsia="Arial Unicode MS" w:hAnsi="Arial Unicode MS" w:cs="Arial Unicode MS"/>
                    <w:color w:val="000000"/>
                    <w:sz w:val="18"/>
                    <w:szCs w:val="18"/>
                  </w:rPr>
                </w:pPr>
              </w:p>
              <w:p w14:paraId="2B2619E2" w14:textId="77777777" w:rsidR="001C7E6F" w:rsidRDefault="001C7E6F" w:rsidP="00BD3046">
                <w:pPr>
                  <w:spacing w:after="0" w:line="240" w:lineRule="auto"/>
                  <w:rPr>
                    <w:rFonts w:ascii="Arial Unicode MS" w:eastAsia="Arial Unicode MS" w:hAnsi="Arial Unicode MS" w:cs="Arial Unicode MS"/>
                    <w:color w:val="000000"/>
                    <w:sz w:val="18"/>
                    <w:szCs w:val="18"/>
                  </w:rPr>
                </w:pPr>
                <w:r w:rsidRPr="009B5681">
                  <w:rPr>
                    <w:rFonts w:ascii="Arial Unicode MS" w:eastAsia="Arial Unicode MS" w:hAnsi="Arial Unicode MS" w:cs="Arial Unicode MS"/>
                    <w:color w:val="000000"/>
                    <w:sz w:val="18"/>
                    <w:szCs w:val="18"/>
                  </w:rPr>
                  <w:t>O FECOEP</w:t>
                </w:r>
                <w:r>
                  <w:rPr>
                    <w:rFonts w:ascii="Arial Unicode MS" w:eastAsia="Arial Unicode MS" w:hAnsi="Arial Unicode MS" w:cs="Arial Unicode MS"/>
                    <w:color w:val="000000"/>
                    <w:sz w:val="18"/>
                    <w:szCs w:val="18"/>
                  </w:rPr>
                  <w:t>-SP</w:t>
                </w:r>
                <w:r w:rsidRPr="009B5681">
                  <w:rPr>
                    <w:rFonts w:ascii="Arial Unicode MS" w:eastAsia="Arial Unicode MS" w:hAnsi="Arial Unicode MS" w:cs="Arial Unicode MS"/>
                    <w:color w:val="000000"/>
                    <w:sz w:val="18"/>
                    <w:szCs w:val="18"/>
                  </w:rPr>
                  <w:t xml:space="preserve"> possui restrições legais explícitas para evitar desvios, mas os mecanismos de controle identificaram ocorrências de aplicação irregular, o que configura desvios em relação à finalidade e à lei.</w:t>
                </w:r>
              </w:p>
              <w:p w14:paraId="6FBBB3E9" w14:textId="77777777" w:rsidR="001C7E6F" w:rsidRDefault="001C7E6F" w:rsidP="00BD3046">
                <w:pPr>
                  <w:spacing w:after="0" w:line="240" w:lineRule="auto"/>
                  <w:rPr>
                    <w:rFonts w:ascii="Arial Unicode MS" w:eastAsia="Arial Unicode MS" w:hAnsi="Arial Unicode MS" w:cs="Arial Unicode MS"/>
                    <w:color w:val="000000"/>
                    <w:sz w:val="18"/>
                    <w:szCs w:val="18"/>
                  </w:rPr>
                </w:pPr>
              </w:p>
              <w:p w14:paraId="0EF1F66C" w14:textId="77777777" w:rsidR="001C7E6F" w:rsidRDefault="001C7E6F" w:rsidP="00BD3046">
                <w:pPr>
                  <w:spacing w:after="0" w:line="240" w:lineRule="auto"/>
                  <w:rPr>
                    <w:rFonts w:ascii="Arial" w:eastAsia="Arial" w:hAnsi="Arial" w:cs="Arial"/>
                    <w:color w:val="000000"/>
                    <w:sz w:val="18"/>
                    <w:szCs w:val="18"/>
                  </w:rPr>
                </w:pPr>
                <w:r w:rsidRPr="009B5681">
                  <w:rPr>
                    <w:rFonts w:ascii="Arial" w:eastAsia="Arial" w:hAnsi="Arial" w:cs="Arial"/>
                    <w:color w:val="000000"/>
                    <w:sz w:val="18"/>
                    <w:szCs w:val="18"/>
                  </w:rPr>
                  <w:t>A parcela de arrecadação do adicional de 2% do ICMS que constitui o Fundo não se aplica a qualquer desvinculação orçamentária</w:t>
                </w:r>
                <w:r>
                  <w:rPr>
                    <w:rFonts w:ascii="Arial" w:eastAsia="Arial" w:hAnsi="Arial" w:cs="Arial"/>
                    <w:color w:val="000000"/>
                    <w:sz w:val="18"/>
                    <w:szCs w:val="18"/>
                  </w:rPr>
                  <w:t>.</w:t>
                </w:r>
              </w:p>
              <w:p w14:paraId="73873B9D" w14:textId="77777777" w:rsidR="001C7E6F" w:rsidRDefault="001C7E6F" w:rsidP="00BD3046">
                <w:pPr>
                  <w:spacing w:after="0" w:line="240" w:lineRule="auto"/>
                  <w:rPr>
                    <w:rFonts w:ascii="Arial" w:eastAsia="Arial" w:hAnsi="Arial" w:cs="Arial"/>
                    <w:color w:val="000000"/>
                    <w:sz w:val="18"/>
                    <w:szCs w:val="18"/>
                  </w:rPr>
                </w:pPr>
              </w:p>
              <w:p w14:paraId="2606E096" w14:textId="77777777" w:rsidR="001C7E6F" w:rsidRDefault="001C7E6F" w:rsidP="00BD3046">
                <w:pPr>
                  <w:spacing w:after="0" w:line="240" w:lineRule="auto"/>
                  <w:rPr>
                    <w:rFonts w:ascii="Arial" w:eastAsia="Arial" w:hAnsi="Arial" w:cs="Arial"/>
                    <w:color w:val="000000"/>
                    <w:sz w:val="18"/>
                    <w:szCs w:val="18"/>
                  </w:rPr>
                </w:pPr>
                <w:r w:rsidRPr="009C0C9F">
                  <w:rPr>
                    <w:rFonts w:ascii="Arial" w:eastAsia="Arial" w:hAnsi="Arial" w:cs="Arial"/>
                    <w:color w:val="000000"/>
                    <w:sz w:val="18"/>
                    <w:szCs w:val="18"/>
                  </w:rPr>
                  <w:t>Embora não haja identificação de contingenciamento formal de verbas do FECOEP</w:t>
                </w:r>
                <w:r>
                  <w:rPr>
                    <w:rFonts w:ascii="Arial" w:eastAsia="Arial" w:hAnsi="Arial" w:cs="Arial"/>
                    <w:color w:val="000000"/>
                    <w:sz w:val="18"/>
                    <w:szCs w:val="18"/>
                  </w:rPr>
                  <w:t>-SP</w:t>
                </w:r>
                <w:r w:rsidRPr="009C0C9F">
                  <w:rPr>
                    <w:rFonts w:ascii="Arial" w:eastAsia="Arial" w:hAnsi="Arial" w:cs="Arial"/>
                    <w:color w:val="000000"/>
                    <w:sz w:val="18"/>
                    <w:szCs w:val="18"/>
                  </w:rPr>
                  <w:t>, as fontes apresentam recomendação geral de controle que se aplica ao Fundo, exigindo rigor nos remanejamentos: O Estado deve apenas realizar remanejamentos, transposições e transferências, que impliquem alteração dos programas governamentais inicialmente planejados, caso exista autorização em lei específica ou previsão na Lei de Diretrizes Orçamentárias</w:t>
                </w:r>
                <w:r>
                  <w:rPr>
                    <w:rFonts w:ascii="Arial" w:eastAsia="Arial" w:hAnsi="Arial" w:cs="Arial"/>
                    <w:color w:val="000000"/>
                    <w:sz w:val="18"/>
                    <w:szCs w:val="18"/>
                  </w:rPr>
                  <w:t xml:space="preserve">. </w:t>
                </w:r>
              </w:p>
              <w:p w14:paraId="70E2995B" w14:textId="77777777" w:rsidR="001C7E6F" w:rsidRDefault="001C7E6F" w:rsidP="00BD3046">
                <w:pPr>
                  <w:spacing w:after="0" w:line="240" w:lineRule="auto"/>
                  <w:rPr>
                    <w:rFonts w:ascii="Arial" w:eastAsia="Arial" w:hAnsi="Arial" w:cs="Arial"/>
                    <w:color w:val="000000"/>
                    <w:sz w:val="18"/>
                    <w:szCs w:val="18"/>
                  </w:rPr>
                </w:pPr>
              </w:p>
              <w:p w14:paraId="4022211C" w14:textId="77777777" w:rsidR="001C7E6F" w:rsidRDefault="001C7E6F" w:rsidP="00BD3046">
                <w:pPr>
                  <w:spacing w:after="0" w:line="240" w:lineRule="auto"/>
                  <w:rPr>
                    <w:rFonts w:ascii="Arial" w:eastAsia="Arial" w:hAnsi="Arial" w:cs="Arial"/>
                    <w:color w:val="000000"/>
                    <w:sz w:val="18"/>
                    <w:szCs w:val="18"/>
                  </w:rPr>
                </w:pPr>
                <w:r w:rsidRPr="009C0C9F">
                  <w:rPr>
                    <w:rFonts w:ascii="Arial" w:eastAsia="Arial" w:hAnsi="Arial" w:cs="Arial"/>
                    <w:color w:val="000000"/>
                    <w:sz w:val="18"/>
                    <w:szCs w:val="18"/>
                  </w:rPr>
                  <w:t>A análise do orçamento indicou que a arrecadação superou a previsão em 2024 (109,32%), mas ficou em 79,15% da previsão em 2025, o que pode sugerir uma dificuldade em prever a receita, mas não uma desvinculação fiscal formal dessa magnitude.</w:t>
                </w:r>
              </w:p>
              <w:p w14:paraId="785CFC1F" w14:textId="77777777" w:rsidR="001C7E6F" w:rsidRDefault="001C7E6F" w:rsidP="00BD3046">
                <w:pPr>
                  <w:spacing w:after="0" w:line="240" w:lineRule="auto"/>
                  <w:rPr>
                    <w:rFonts w:ascii="Arial" w:eastAsia="Arial" w:hAnsi="Arial" w:cs="Arial"/>
                    <w:color w:val="000000"/>
                    <w:sz w:val="18"/>
                    <w:szCs w:val="18"/>
                  </w:rPr>
                </w:pPr>
              </w:p>
            </w:sdtContent>
          </w:sdt>
        </w:tc>
      </w:tr>
      <w:tr w:rsidR="001C7E6F" w14:paraId="0F4EC2B8" w14:textId="77777777" w:rsidTr="00BD3046">
        <w:trPr>
          <w:trHeight w:val="20"/>
        </w:trPr>
        <w:tc>
          <w:tcPr>
            <w:tcW w:w="2263" w:type="dxa"/>
            <w:shd w:val="clear" w:color="auto" w:fill="auto"/>
            <w:vAlign w:val="center"/>
          </w:tcPr>
          <w:p w14:paraId="3775B230"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3.3 Execução setorial</w:t>
            </w:r>
          </w:p>
        </w:tc>
        <w:tc>
          <w:tcPr>
            <w:tcW w:w="6798" w:type="dxa"/>
            <w:shd w:val="clear" w:color="auto" w:fill="auto"/>
            <w:vAlign w:val="center"/>
          </w:tcPr>
          <w:p w14:paraId="39419D86" w14:textId="77777777" w:rsidR="001C7E6F" w:rsidRPr="0067442F" w:rsidRDefault="001C7E6F" w:rsidP="00BD3046">
            <w:pPr>
              <w:spacing w:after="0" w:line="240" w:lineRule="auto"/>
              <w:rPr>
                <w:rFonts w:ascii="Arial" w:eastAsia="Arial" w:hAnsi="Arial" w:cs="Arial"/>
                <w:i/>
                <w:color w:val="000000"/>
                <w:sz w:val="18"/>
                <w:szCs w:val="18"/>
              </w:rPr>
            </w:pPr>
            <w:r w:rsidRPr="0067442F">
              <w:rPr>
                <w:rFonts w:ascii="Arial" w:eastAsia="Arial" w:hAnsi="Arial" w:cs="Arial"/>
                <w:i/>
                <w:color w:val="000000"/>
                <w:sz w:val="18"/>
                <w:szCs w:val="18"/>
              </w:rPr>
              <w:t>Verificação da descentralização e aderência temática (quem executa o quê e com que critério). Demonstra a distribuição dos recursos por Unidade Orçamentária e áreas.</w:t>
            </w:r>
          </w:p>
          <w:p w14:paraId="2544FF77" w14:textId="77777777" w:rsidR="001C7E6F" w:rsidRDefault="001C7E6F" w:rsidP="00BD3046">
            <w:pPr>
              <w:spacing w:after="0" w:line="240" w:lineRule="auto"/>
              <w:rPr>
                <w:rFonts w:ascii="Arial" w:eastAsia="Arial" w:hAnsi="Arial" w:cs="Arial"/>
                <w:color w:val="000000"/>
                <w:sz w:val="18"/>
                <w:szCs w:val="18"/>
              </w:rPr>
            </w:pPr>
          </w:p>
          <w:p w14:paraId="63092D47" w14:textId="77777777" w:rsidR="001C7E6F" w:rsidRPr="009C0C9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O</w:t>
            </w:r>
            <w:r w:rsidRPr="009C0C9F">
              <w:rPr>
                <w:rFonts w:ascii="Arial" w:eastAsia="Arial" w:hAnsi="Arial" w:cs="Arial"/>
                <w:color w:val="000000"/>
                <w:sz w:val="18"/>
                <w:szCs w:val="18"/>
              </w:rPr>
              <w:t>s dados disponibilizados permitem aplicar com precisão a taxa de execução orçamentária</w:t>
            </w:r>
            <w:r>
              <w:rPr>
                <w:rFonts w:ascii="Arial" w:eastAsia="Arial" w:hAnsi="Arial" w:cs="Arial"/>
                <w:color w:val="000000"/>
                <w:sz w:val="18"/>
                <w:szCs w:val="18"/>
              </w:rPr>
              <w:t>,</w:t>
            </w:r>
            <w:r w:rsidRPr="009C0C9F">
              <w:rPr>
                <w:rFonts w:ascii="Arial" w:eastAsia="Arial" w:hAnsi="Arial" w:cs="Arial"/>
                <w:color w:val="000000"/>
                <w:sz w:val="18"/>
                <w:szCs w:val="18"/>
              </w:rPr>
              <w:t xml:space="preserve"> por meio da razão entre despesa liquidada e dotação atualizada.</w:t>
            </w:r>
            <w:r>
              <w:rPr>
                <w:rFonts w:ascii="Arial" w:eastAsia="Arial" w:hAnsi="Arial" w:cs="Arial"/>
                <w:color w:val="000000"/>
                <w:sz w:val="18"/>
                <w:szCs w:val="18"/>
              </w:rPr>
              <w:t xml:space="preserve"> </w:t>
            </w:r>
            <w:r w:rsidRPr="009C0C9F">
              <w:rPr>
                <w:rFonts w:ascii="Arial" w:eastAsia="Arial" w:hAnsi="Arial" w:cs="Arial"/>
                <w:color w:val="000000"/>
                <w:sz w:val="18"/>
                <w:szCs w:val="18"/>
              </w:rPr>
              <w:t>A análise comparada revela um padrão de oscilação relevante:</w:t>
            </w:r>
          </w:p>
          <w:p w14:paraId="721AEDB5" w14:textId="77777777" w:rsidR="001C7E6F" w:rsidRPr="009C0C9F" w:rsidRDefault="001C7E6F" w:rsidP="00BD3046">
            <w:pPr>
              <w:spacing w:after="0" w:line="240" w:lineRule="auto"/>
              <w:rPr>
                <w:rFonts w:ascii="Arial" w:eastAsia="Arial" w:hAnsi="Arial" w:cs="Arial"/>
                <w:color w:val="000000"/>
                <w:sz w:val="18"/>
                <w:szCs w:val="18"/>
              </w:rPr>
            </w:pPr>
          </w:p>
          <w:p w14:paraId="0E1E2EB2" w14:textId="77777777" w:rsidR="001C7E6F" w:rsidRPr="009C0C9F" w:rsidRDefault="001C7E6F" w:rsidP="00BD3046">
            <w:pPr>
              <w:spacing w:after="0" w:line="240" w:lineRule="auto"/>
              <w:rPr>
                <w:rFonts w:ascii="Arial" w:eastAsia="Arial" w:hAnsi="Arial" w:cs="Arial"/>
                <w:color w:val="000000"/>
                <w:sz w:val="18"/>
                <w:szCs w:val="18"/>
              </w:rPr>
            </w:pPr>
            <w:r w:rsidRPr="009C0C9F">
              <w:rPr>
                <w:rFonts w:ascii="Arial" w:eastAsia="Arial" w:hAnsi="Arial" w:cs="Arial"/>
                <w:color w:val="000000"/>
                <w:sz w:val="18"/>
                <w:szCs w:val="18"/>
              </w:rPr>
              <w:t>2023: o percentual global de execução foi de 56,9%, refletindo forte subexecução em ações de apoio financeiro à população vulnerável. Esse resultado indica baixa efetividade na transformação do crédito autorizado em gasto público, comprometendo a finalidade redistributiva do Fundo.</w:t>
            </w:r>
          </w:p>
          <w:p w14:paraId="36F2128B" w14:textId="77777777" w:rsidR="001C7E6F" w:rsidRPr="009C0C9F" w:rsidRDefault="001C7E6F" w:rsidP="00BD3046">
            <w:pPr>
              <w:spacing w:after="0" w:line="240" w:lineRule="auto"/>
              <w:rPr>
                <w:rFonts w:ascii="Arial" w:eastAsia="Arial" w:hAnsi="Arial" w:cs="Arial"/>
                <w:color w:val="000000"/>
                <w:sz w:val="18"/>
                <w:szCs w:val="18"/>
              </w:rPr>
            </w:pPr>
          </w:p>
          <w:p w14:paraId="7FBE3AF4" w14:textId="77777777" w:rsidR="001C7E6F" w:rsidRPr="009C0C9F" w:rsidRDefault="001C7E6F" w:rsidP="00BD3046">
            <w:pPr>
              <w:spacing w:after="0" w:line="240" w:lineRule="auto"/>
              <w:rPr>
                <w:rFonts w:ascii="Arial" w:eastAsia="Arial" w:hAnsi="Arial" w:cs="Arial"/>
                <w:color w:val="000000"/>
                <w:sz w:val="18"/>
                <w:szCs w:val="18"/>
              </w:rPr>
            </w:pPr>
            <w:r w:rsidRPr="009C0C9F">
              <w:rPr>
                <w:rFonts w:ascii="Arial" w:eastAsia="Arial" w:hAnsi="Arial" w:cs="Arial"/>
                <w:color w:val="000000"/>
                <w:sz w:val="18"/>
                <w:szCs w:val="18"/>
              </w:rPr>
              <w:t>2024: a execução atingiu 99,4%, evidenciando alta aderência entre dotação e liquidação. Trata-se de um cenário de eficiência máxima, no qual a capacidade de planejamento e execução se alinharam, sinalizando maturidade institucional e menor interferência de fatores externos.</w:t>
            </w:r>
          </w:p>
          <w:p w14:paraId="3FE8A863" w14:textId="77777777" w:rsidR="001C7E6F" w:rsidRPr="009C0C9F" w:rsidRDefault="001C7E6F" w:rsidP="00BD3046">
            <w:pPr>
              <w:spacing w:after="0" w:line="240" w:lineRule="auto"/>
              <w:rPr>
                <w:rFonts w:ascii="Arial" w:eastAsia="Arial" w:hAnsi="Arial" w:cs="Arial"/>
                <w:color w:val="000000"/>
                <w:sz w:val="18"/>
                <w:szCs w:val="18"/>
              </w:rPr>
            </w:pPr>
          </w:p>
          <w:p w14:paraId="5B90C0A5" w14:textId="77777777" w:rsidR="001C7E6F" w:rsidRDefault="001C7E6F" w:rsidP="00BD3046">
            <w:pPr>
              <w:spacing w:after="0" w:line="240" w:lineRule="auto"/>
              <w:rPr>
                <w:rFonts w:ascii="Arial" w:eastAsia="Arial" w:hAnsi="Arial" w:cs="Arial"/>
                <w:color w:val="000000"/>
                <w:sz w:val="18"/>
                <w:szCs w:val="18"/>
              </w:rPr>
            </w:pPr>
            <w:r w:rsidRPr="009C0C9F">
              <w:rPr>
                <w:rFonts w:ascii="Arial" w:eastAsia="Arial" w:hAnsi="Arial" w:cs="Arial"/>
                <w:color w:val="000000"/>
                <w:sz w:val="18"/>
                <w:szCs w:val="18"/>
              </w:rPr>
              <w:t>2025 (parcial): até o momento</w:t>
            </w:r>
            <w:r>
              <w:rPr>
                <w:rFonts w:ascii="Arial" w:eastAsia="Arial" w:hAnsi="Arial" w:cs="Arial"/>
                <w:color w:val="000000"/>
                <w:sz w:val="18"/>
                <w:szCs w:val="18"/>
              </w:rPr>
              <w:t xml:space="preserve"> em que se conclui a análise</w:t>
            </w:r>
            <w:r w:rsidRPr="009C0C9F">
              <w:rPr>
                <w:rFonts w:ascii="Arial" w:eastAsia="Arial" w:hAnsi="Arial" w:cs="Arial"/>
                <w:color w:val="000000"/>
                <w:sz w:val="18"/>
                <w:szCs w:val="18"/>
              </w:rPr>
              <w:t xml:space="preserve">, observa-se uma execução de apenas 48,7%, com destaque negativo para a </w:t>
            </w:r>
            <w:r>
              <w:rPr>
                <w:rFonts w:ascii="Arial" w:eastAsia="Arial" w:hAnsi="Arial" w:cs="Arial"/>
                <w:color w:val="000000"/>
                <w:sz w:val="18"/>
                <w:szCs w:val="18"/>
              </w:rPr>
              <w:t xml:space="preserve">Subfunção </w:t>
            </w:r>
            <w:r w:rsidRPr="009C0C9F">
              <w:rPr>
                <w:rFonts w:ascii="Arial" w:eastAsia="Arial" w:hAnsi="Arial" w:cs="Arial"/>
                <w:color w:val="000000"/>
                <w:sz w:val="18"/>
                <w:szCs w:val="18"/>
              </w:rPr>
              <w:t>Segurança de Renda (0%) e para a Assistência Comunitária (21,9%). A queda drástica frente a 2024 sugere descompasso na cadência de execução, possivelmente derivado de atrasos em repasses, entraves burocráticos ou contingenciamentos administrativos.</w:t>
            </w:r>
          </w:p>
          <w:p w14:paraId="5B3B5C3F" w14:textId="77777777" w:rsidR="001C7E6F" w:rsidRDefault="001C7E6F" w:rsidP="00BD3046">
            <w:pPr>
              <w:spacing w:after="0" w:line="240" w:lineRule="auto"/>
              <w:rPr>
                <w:rFonts w:ascii="Arial" w:eastAsia="Arial" w:hAnsi="Arial" w:cs="Arial"/>
                <w:color w:val="000000"/>
                <w:sz w:val="18"/>
                <w:szCs w:val="18"/>
              </w:rPr>
            </w:pPr>
          </w:p>
        </w:tc>
      </w:tr>
      <w:tr w:rsidR="001C7E6F" w14:paraId="4FE94BFA" w14:textId="77777777" w:rsidTr="00BD3046">
        <w:trPr>
          <w:trHeight w:val="20"/>
        </w:trPr>
        <w:tc>
          <w:tcPr>
            <w:tcW w:w="2263" w:type="dxa"/>
            <w:shd w:val="clear" w:color="auto" w:fill="auto"/>
            <w:vAlign w:val="center"/>
          </w:tcPr>
          <w:p w14:paraId="5B90BA8C"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3.6 Entrega física das ações</w:t>
            </w:r>
          </w:p>
        </w:tc>
        <w:tc>
          <w:tcPr>
            <w:tcW w:w="6798" w:type="dxa"/>
            <w:shd w:val="clear" w:color="auto" w:fill="auto"/>
            <w:vAlign w:val="center"/>
          </w:tcPr>
          <w:p w14:paraId="5A51856B" w14:textId="77777777" w:rsidR="001C7E6F" w:rsidRPr="0067442F" w:rsidRDefault="001C7E6F" w:rsidP="00BD3046">
            <w:pPr>
              <w:spacing w:after="0" w:line="240" w:lineRule="auto"/>
              <w:rPr>
                <w:rFonts w:ascii="Arial" w:eastAsia="Arial" w:hAnsi="Arial" w:cs="Arial"/>
                <w:i/>
                <w:sz w:val="18"/>
                <w:szCs w:val="18"/>
              </w:rPr>
            </w:pPr>
            <w:r w:rsidRPr="0067442F">
              <w:rPr>
                <w:rFonts w:ascii="Arial" w:eastAsia="Arial" w:hAnsi="Arial" w:cs="Arial"/>
                <w:i/>
                <w:sz w:val="18"/>
                <w:szCs w:val="18"/>
              </w:rPr>
              <w:t>Aferição de p</w:t>
            </w:r>
            <w:sdt>
              <w:sdtPr>
                <w:rPr>
                  <w:rFonts w:ascii="Arial" w:eastAsia="Arial" w:hAnsi="Arial" w:cs="Arial"/>
                  <w:i/>
                  <w:sz w:val="18"/>
                  <w:szCs w:val="18"/>
                </w:rPr>
                <w:tag w:val="goog_rdk_7"/>
                <w:id w:val="-359685519"/>
              </w:sdtPr>
              <w:sdtContent>
                <w:r w:rsidRPr="0067442F">
                  <w:rPr>
                    <w:rFonts w:ascii="Arial" w:eastAsia="Arial" w:hAnsi="Arial" w:cs="Arial"/>
                    <w:i/>
                    <w:sz w:val="18"/>
                    <w:szCs w:val="18"/>
                  </w:rPr>
                  <w:t xml:space="preserve">ercentual de execução das metas planejadas (≥85%), a partir do produto/serviço entregue.      </w:t>
                </w:r>
              </w:sdtContent>
            </w:sdt>
          </w:p>
          <w:p w14:paraId="04783DAE" w14:textId="77777777" w:rsidR="001C7E6F" w:rsidRPr="009C0C9F" w:rsidRDefault="001C7E6F" w:rsidP="00BD3046">
            <w:pPr>
              <w:spacing w:after="0" w:line="240" w:lineRule="auto"/>
              <w:rPr>
                <w:rFonts w:ascii="Arial" w:eastAsia="Arial" w:hAnsi="Arial" w:cs="Arial"/>
                <w:sz w:val="18"/>
                <w:szCs w:val="18"/>
              </w:rPr>
            </w:pPr>
          </w:p>
          <w:p w14:paraId="13E2ED97" w14:textId="77777777" w:rsidR="001C7E6F" w:rsidRPr="009C0C9F" w:rsidRDefault="001C7E6F" w:rsidP="00BD3046">
            <w:pPr>
              <w:spacing w:after="0" w:line="240" w:lineRule="auto"/>
              <w:rPr>
                <w:rFonts w:ascii="Arial" w:eastAsia="Arial" w:hAnsi="Arial" w:cs="Arial"/>
                <w:sz w:val="18"/>
                <w:szCs w:val="18"/>
              </w:rPr>
            </w:pPr>
            <w:r w:rsidRPr="009C0C9F">
              <w:rPr>
                <w:rFonts w:ascii="Arial" w:eastAsia="Arial" w:hAnsi="Arial" w:cs="Arial"/>
                <w:sz w:val="18"/>
                <w:szCs w:val="18"/>
              </w:rPr>
              <w:t>O indicador de Entrega Física das Ações é o elo entre a execução orçamentária-financeira e o impacto concreto das políticas públicas na sociedade. Diferentemente da simples análise de liquidação da despesa, este indicador busca aferir se os produtos e serviços previstos nos planos de ação foram efetivamente entregues em quantidade e qualidade compatíveis com o planejado.</w:t>
            </w:r>
          </w:p>
          <w:p w14:paraId="03C1883C" w14:textId="77777777" w:rsidR="001C7E6F" w:rsidRPr="009C0C9F" w:rsidRDefault="001C7E6F" w:rsidP="00BD3046">
            <w:pPr>
              <w:spacing w:after="0" w:line="240" w:lineRule="auto"/>
              <w:rPr>
                <w:rFonts w:ascii="Arial" w:eastAsia="Arial" w:hAnsi="Arial" w:cs="Arial"/>
                <w:sz w:val="18"/>
                <w:szCs w:val="18"/>
              </w:rPr>
            </w:pPr>
          </w:p>
          <w:p w14:paraId="32941920" w14:textId="77777777" w:rsidR="001C7E6F" w:rsidRDefault="001C7E6F" w:rsidP="00BD3046">
            <w:pPr>
              <w:spacing w:after="0" w:line="240" w:lineRule="auto"/>
              <w:rPr>
                <w:rFonts w:ascii="Arial" w:eastAsia="Arial" w:hAnsi="Arial" w:cs="Arial"/>
                <w:sz w:val="18"/>
                <w:szCs w:val="18"/>
              </w:rPr>
            </w:pPr>
            <w:r w:rsidRPr="009C0C9F">
              <w:rPr>
                <w:rFonts w:ascii="Arial" w:eastAsia="Arial" w:hAnsi="Arial" w:cs="Arial"/>
                <w:sz w:val="18"/>
                <w:szCs w:val="18"/>
              </w:rPr>
              <w:t xml:space="preserve">No plano teórico, relaciona-se com a dimensão de efetividade do ciclo orçamentário, dialogando com a literatura de </w:t>
            </w:r>
            <w:r w:rsidRPr="009C0C9F">
              <w:rPr>
                <w:rFonts w:ascii="Arial" w:eastAsia="Arial" w:hAnsi="Arial" w:cs="Arial"/>
                <w:i/>
                <w:sz w:val="18"/>
                <w:szCs w:val="18"/>
              </w:rPr>
              <w:t>accountability</w:t>
            </w:r>
            <w:r>
              <w:rPr>
                <w:rFonts w:ascii="Arial" w:eastAsia="Arial" w:hAnsi="Arial" w:cs="Arial"/>
                <w:sz w:val="18"/>
                <w:szCs w:val="18"/>
              </w:rPr>
              <w:t xml:space="preserve"> baseada em desempenho</w:t>
            </w:r>
            <w:r w:rsidRPr="009C0C9F">
              <w:rPr>
                <w:rFonts w:ascii="Arial" w:eastAsia="Arial" w:hAnsi="Arial" w:cs="Arial"/>
                <w:sz w:val="18"/>
                <w:szCs w:val="18"/>
              </w:rPr>
              <w:t>, na qual a despesa pública só se legitima quando vinculada a resultados verificáveis.</w:t>
            </w:r>
          </w:p>
          <w:p w14:paraId="7694A45B" w14:textId="77777777" w:rsidR="001C7E6F" w:rsidRPr="009C0C9F" w:rsidRDefault="001C7E6F" w:rsidP="00BD3046">
            <w:pPr>
              <w:spacing w:after="0" w:line="240" w:lineRule="auto"/>
              <w:rPr>
                <w:rFonts w:ascii="Arial" w:eastAsia="Arial" w:hAnsi="Arial" w:cs="Arial"/>
                <w:sz w:val="18"/>
                <w:szCs w:val="18"/>
              </w:rPr>
            </w:pPr>
          </w:p>
          <w:p w14:paraId="3F723F0E"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As fontes não evidenciam tais informações.</w:t>
            </w:r>
          </w:p>
          <w:p w14:paraId="1CE9C9A4" w14:textId="77777777" w:rsidR="001C7E6F" w:rsidRPr="009C0C9F" w:rsidRDefault="001C7E6F" w:rsidP="00BD3046">
            <w:pPr>
              <w:spacing w:after="0" w:line="240" w:lineRule="auto"/>
              <w:rPr>
                <w:rFonts w:ascii="Arial" w:eastAsia="Arial" w:hAnsi="Arial" w:cs="Arial"/>
                <w:sz w:val="18"/>
                <w:szCs w:val="18"/>
              </w:rPr>
            </w:pPr>
          </w:p>
        </w:tc>
      </w:tr>
      <w:tr w:rsidR="001C7E6F" w14:paraId="379DD533" w14:textId="77777777" w:rsidTr="00BD3046">
        <w:trPr>
          <w:trHeight w:val="20"/>
        </w:trPr>
        <w:tc>
          <w:tcPr>
            <w:tcW w:w="2263" w:type="dxa"/>
            <w:shd w:val="clear" w:color="auto" w:fill="auto"/>
            <w:vAlign w:val="center"/>
          </w:tcPr>
          <w:p w14:paraId="4414A6E3"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3.7 Integridade do gasto</w:t>
            </w:r>
          </w:p>
        </w:tc>
        <w:tc>
          <w:tcPr>
            <w:tcW w:w="6798" w:type="dxa"/>
            <w:shd w:val="clear" w:color="auto" w:fill="auto"/>
            <w:vAlign w:val="center"/>
          </w:tcPr>
          <w:p w14:paraId="67532FF9" w14:textId="77777777" w:rsidR="001C7E6F" w:rsidRPr="0067442F" w:rsidRDefault="001C7E6F" w:rsidP="00BD3046">
            <w:pPr>
              <w:spacing w:after="0" w:line="240" w:lineRule="auto"/>
              <w:rPr>
                <w:rFonts w:ascii="Arial" w:eastAsia="Arial" w:hAnsi="Arial" w:cs="Arial"/>
                <w:i/>
                <w:color w:val="000000"/>
                <w:sz w:val="18"/>
                <w:szCs w:val="18"/>
              </w:rPr>
            </w:pPr>
            <w:r w:rsidRPr="0067442F">
              <w:rPr>
                <w:rFonts w:ascii="Arial" w:eastAsia="Arial" w:hAnsi="Arial" w:cs="Arial"/>
                <w:i/>
                <w:sz w:val="18"/>
                <w:szCs w:val="18"/>
              </w:rPr>
              <w:t>Certificação de i</w:t>
            </w:r>
            <w:r w:rsidRPr="0067442F">
              <w:rPr>
                <w:rFonts w:ascii="Arial" w:eastAsia="Arial" w:hAnsi="Arial" w:cs="Arial"/>
                <w:i/>
                <w:color w:val="000000"/>
                <w:sz w:val="18"/>
                <w:szCs w:val="18"/>
              </w:rPr>
              <w:t>nexistência de desvios de finalidade, fraudes ou ações judiciais relacionadas ao Fundo. Assegura conformidade e probidade na execução.</w:t>
            </w:r>
          </w:p>
          <w:p w14:paraId="7D6457AB" w14:textId="77777777" w:rsidR="001C7E6F" w:rsidRDefault="001C7E6F" w:rsidP="00BD3046">
            <w:pPr>
              <w:spacing w:after="0" w:line="240" w:lineRule="auto"/>
              <w:rPr>
                <w:rFonts w:ascii="Arial" w:eastAsia="Arial" w:hAnsi="Arial" w:cs="Arial"/>
                <w:color w:val="000000"/>
                <w:sz w:val="18"/>
                <w:szCs w:val="18"/>
              </w:rPr>
            </w:pPr>
          </w:p>
          <w:p w14:paraId="0D8430C3"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As fontes não evidenciam tais informações.</w:t>
            </w:r>
          </w:p>
          <w:p w14:paraId="234F6336" w14:textId="77777777" w:rsidR="001C7E6F" w:rsidRDefault="001C7E6F" w:rsidP="00BD3046">
            <w:pPr>
              <w:spacing w:after="0" w:line="240" w:lineRule="auto"/>
              <w:rPr>
                <w:rFonts w:ascii="Arial" w:eastAsia="Arial" w:hAnsi="Arial" w:cs="Arial"/>
                <w:color w:val="000000"/>
                <w:sz w:val="18"/>
                <w:szCs w:val="18"/>
              </w:rPr>
            </w:pPr>
          </w:p>
        </w:tc>
      </w:tr>
      <w:tr w:rsidR="001C7E6F" w14:paraId="5811E3FA" w14:textId="77777777" w:rsidTr="00BD3046">
        <w:trPr>
          <w:trHeight w:val="20"/>
        </w:trPr>
        <w:tc>
          <w:tcPr>
            <w:tcW w:w="2263" w:type="dxa"/>
            <w:shd w:val="clear" w:color="auto" w:fill="auto"/>
            <w:vAlign w:val="center"/>
          </w:tcPr>
          <w:p w14:paraId="3D08E36A"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3.8 Avaliação de resultados</w:t>
            </w:r>
          </w:p>
        </w:tc>
        <w:tc>
          <w:tcPr>
            <w:tcW w:w="6798" w:type="dxa"/>
            <w:shd w:val="clear" w:color="auto" w:fill="auto"/>
            <w:vAlign w:val="center"/>
          </w:tcPr>
          <w:p w14:paraId="190923D7" w14:textId="77777777" w:rsidR="001C7E6F" w:rsidRPr="0067442F" w:rsidRDefault="001C7E6F" w:rsidP="00BD3046">
            <w:pPr>
              <w:spacing w:after="0" w:line="240" w:lineRule="auto"/>
              <w:rPr>
                <w:rFonts w:ascii="Arial" w:eastAsia="Arial" w:hAnsi="Arial" w:cs="Arial"/>
                <w:i/>
                <w:color w:val="000000"/>
                <w:sz w:val="18"/>
                <w:szCs w:val="18"/>
              </w:rPr>
            </w:pPr>
            <w:r w:rsidRPr="0067442F">
              <w:rPr>
                <w:rFonts w:ascii="Arial" w:eastAsia="Arial" w:hAnsi="Arial" w:cs="Arial"/>
                <w:i/>
                <w:color w:val="000000"/>
                <w:sz w:val="18"/>
                <w:szCs w:val="18"/>
              </w:rPr>
              <w:t>Realização de avaliação anual dos recursos, análises de custo-benefício e custo-efetividade.</w:t>
            </w:r>
          </w:p>
          <w:p w14:paraId="0EB0A9C7" w14:textId="77777777" w:rsidR="001C7E6F" w:rsidRDefault="001C7E6F" w:rsidP="00BD3046">
            <w:pPr>
              <w:spacing w:after="0" w:line="240" w:lineRule="auto"/>
              <w:rPr>
                <w:rFonts w:ascii="Arial" w:eastAsia="Arial" w:hAnsi="Arial" w:cs="Arial"/>
                <w:color w:val="000000"/>
                <w:sz w:val="18"/>
                <w:szCs w:val="18"/>
              </w:rPr>
            </w:pPr>
          </w:p>
          <w:p w14:paraId="2A6DF363"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As fontes não evidenciam tais informações.</w:t>
            </w:r>
          </w:p>
          <w:p w14:paraId="571EEA5D" w14:textId="77777777" w:rsidR="001C7E6F" w:rsidRDefault="001C7E6F" w:rsidP="00BD3046">
            <w:pPr>
              <w:spacing w:after="0" w:line="240" w:lineRule="auto"/>
              <w:rPr>
                <w:rFonts w:ascii="Arial" w:eastAsia="Arial" w:hAnsi="Arial" w:cs="Arial"/>
                <w:color w:val="000000"/>
                <w:sz w:val="18"/>
                <w:szCs w:val="18"/>
              </w:rPr>
            </w:pPr>
          </w:p>
        </w:tc>
      </w:tr>
      <w:tr w:rsidR="001C7E6F" w14:paraId="3D6B58D1" w14:textId="77777777" w:rsidTr="00BD3046">
        <w:trPr>
          <w:trHeight w:val="20"/>
        </w:trPr>
        <w:tc>
          <w:tcPr>
            <w:tcW w:w="2263" w:type="dxa"/>
            <w:shd w:val="clear" w:color="auto" w:fill="auto"/>
            <w:vAlign w:val="center"/>
          </w:tcPr>
          <w:p w14:paraId="4163C0C4"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3.9 Impactos sociais</w:t>
            </w:r>
          </w:p>
        </w:tc>
        <w:tc>
          <w:tcPr>
            <w:tcW w:w="6798" w:type="dxa"/>
            <w:shd w:val="clear" w:color="auto" w:fill="auto"/>
            <w:vAlign w:val="center"/>
          </w:tcPr>
          <w:p w14:paraId="2AE6FBF7" w14:textId="77777777" w:rsidR="001C7E6F" w:rsidRPr="00D118D6" w:rsidRDefault="001C7E6F" w:rsidP="00BD3046">
            <w:pPr>
              <w:spacing w:after="0" w:line="240" w:lineRule="auto"/>
              <w:rPr>
                <w:rFonts w:ascii="Arial" w:eastAsia="Arial" w:hAnsi="Arial" w:cs="Arial"/>
                <w:i/>
                <w:color w:val="000000"/>
                <w:sz w:val="18"/>
                <w:szCs w:val="18"/>
              </w:rPr>
            </w:pPr>
            <w:r w:rsidRPr="00D118D6">
              <w:rPr>
                <w:rFonts w:ascii="Arial" w:eastAsia="Arial" w:hAnsi="Arial" w:cs="Arial"/>
                <w:i/>
                <w:color w:val="000000"/>
                <w:sz w:val="18"/>
                <w:szCs w:val="18"/>
              </w:rPr>
              <w:t>Evidenciação dos efeitos do financiamento de ações de combate à pobreza na população-alvo (equidade e bem-estar). Correlação com a melhoria aparente de indicadores sociais (taxa de pobreza, renda per capita, cobertura de serviços, entre outros possíveis).</w:t>
            </w:r>
          </w:p>
          <w:p w14:paraId="7A5D079F" w14:textId="77777777" w:rsidR="001C7E6F" w:rsidRDefault="001C7E6F" w:rsidP="00BD3046">
            <w:pPr>
              <w:spacing w:after="0" w:line="240" w:lineRule="auto"/>
              <w:rPr>
                <w:rFonts w:ascii="Arial" w:eastAsia="Arial" w:hAnsi="Arial" w:cs="Arial"/>
                <w:color w:val="000000"/>
                <w:sz w:val="18"/>
                <w:szCs w:val="18"/>
              </w:rPr>
            </w:pPr>
          </w:p>
          <w:p w14:paraId="5DFA573F" w14:textId="77777777" w:rsidR="001C7E6F" w:rsidRPr="0004405A" w:rsidRDefault="001C7E6F" w:rsidP="00BD3046">
            <w:pPr>
              <w:spacing w:after="0" w:line="240" w:lineRule="auto"/>
              <w:rPr>
                <w:rFonts w:ascii="Arial" w:eastAsia="Arial" w:hAnsi="Arial" w:cs="Arial"/>
                <w:color w:val="000000"/>
                <w:sz w:val="18"/>
                <w:szCs w:val="18"/>
              </w:rPr>
            </w:pPr>
            <w:r w:rsidRPr="0004405A">
              <w:rPr>
                <w:rFonts w:ascii="Arial" w:eastAsia="Arial" w:hAnsi="Arial" w:cs="Arial"/>
                <w:color w:val="000000"/>
                <w:sz w:val="18"/>
                <w:szCs w:val="18"/>
              </w:rPr>
              <w:t>O diagnóstico do Estado de São Paulo, que serve de contexto para as ações financiadas pelo FECOEP</w:t>
            </w:r>
            <w:r>
              <w:rPr>
                <w:rFonts w:ascii="Arial" w:eastAsia="Arial" w:hAnsi="Arial" w:cs="Arial"/>
                <w:color w:val="000000"/>
                <w:sz w:val="18"/>
                <w:szCs w:val="18"/>
              </w:rPr>
              <w:t>-SP</w:t>
            </w:r>
            <w:r w:rsidRPr="0004405A">
              <w:rPr>
                <w:rFonts w:ascii="Arial" w:eastAsia="Arial" w:hAnsi="Arial" w:cs="Arial"/>
                <w:color w:val="000000"/>
                <w:sz w:val="18"/>
                <w:szCs w:val="18"/>
              </w:rPr>
              <w:t xml:space="preserve"> e programas de assistência social (como o Bolsa do Povo, que utiliza recursos vinculados), demonstra desafios contínuos em relação à pobreza e desigualdade:</w:t>
            </w:r>
          </w:p>
          <w:p w14:paraId="67F1E8B9" w14:textId="77777777" w:rsidR="001C7E6F" w:rsidRPr="0004405A" w:rsidRDefault="001C7E6F" w:rsidP="00BD3046">
            <w:pPr>
              <w:spacing w:after="0" w:line="240" w:lineRule="auto"/>
              <w:rPr>
                <w:rFonts w:ascii="Arial" w:eastAsia="Arial" w:hAnsi="Arial" w:cs="Arial"/>
                <w:color w:val="000000"/>
                <w:sz w:val="18"/>
                <w:szCs w:val="18"/>
              </w:rPr>
            </w:pPr>
            <w:r w:rsidRPr="0004405A">
              <w:rPr>
                <w:rFonts w:ascii="Arial" w:eastAsia="Arial" w:hAnsi="Arial" w:cs="Arial"/>
                <w:color w:val="000000"/>
                <w:sz w:val="18"/>
                <w:szCs w:val="18"/>
              </w:rPr>
              <w:t xml:space="preserve">• Rendimento Domiciliar Per Capita: São Paulo possui um dos maiores rendimentos domiciliares per capita (R$ 1.787,00 em 2020) do país. O </w:t>
            </w:r>
            <w:r>
              <w:rPr>
                <w:rFonts w:ascii="Arial" w:eastAsia="Arial" w:hAnsi="Arial" w:cs="Arial"/>
                <w:color w:val="000000"/>
                <w:sz w:val="18"/>
                <w:szCs w:val="18"/>
              </w:rPr>
              <w:t>rendimento mediano foi de R$ 1.499</w:t>
            </w:r>
            <w:r w:rsidRPr="0004405A">
              <w:rPr>
                <w:rFonts w:ascii="Arial" w:eastAsia="Arial" w:hAnsi="Arial" w:cs="Arial"/>
                <w:color w:val="000000"/>
                <w:sz w:val="18"/>
                <w:szCs w:val="18"/>
              </w:rPr>
              <w:t xml:space="preserve"> em </w:t>
            </w:r>
            <w:r>
              <w:rPr>
                <w:rFonts w:ascii="Arial" w:eastAsia="Arial" w:hAnsi="Arial" w:cs="Arial"/>
                <w:color w:val="000000"/>
                <w:sz w:val="18"/>
                <w:szCs w:val="18"/>
              </w:rPr>
              <w:t>2023</w:t>
            </w:r>
            <w:r w:rsidRPr="0004405A">
              <w:rPr>
                <w:rFonts w:ascii="Arial" w:eastAsia="Arial" w:hAnsi="Arial" w:cs="Arial"/>
                <w:color w:val="000000"/>
                <w:sz w:val="18"/>
                <w:szCs w:val="18"/>
              </w:rPr>
              <w:t xml:space="preserve"> e R$ 1.667 em </w:t>
            </w:r>
            <w:r>
              <w:rPr>
                <w:rFonts w:ascii="Arial" w:eastAsia="Arial" w:hAnsi="Arial" w:cs="Arial"/>
                <w:color w:val="000000"/>
                <w:sz w:val="18"/>
                <w:szCs w:val="18"/>
              </w:rPr>
              <w:t>2024</w:t>
            </w:r>
            <w:r w:rsidRPr="0004405A">
              <w:rPr>
                <w:rFonts w:ascii="Arial" w:eastAsia="Arial" w:hAnsi="Arial" w:cs="Arial"/>
                <w:color w:val="000000"/>
                <w:sz w:val="18"/>
                <w:szCs w:val="18"/>
              </w:rPr>
              <w:t>.</w:t>
            </w:r>
          </w:p>
          <w:p w14:paraId="4679DD12" w14:textId="77777777" w:rsidR="001C7E6F" w:rsidRPr="0004405A" w:rsidRDefault="001C7E6F" w:rsidP="00BD3046">
            <w:pPr>
              <w:spacing w:after="0" w:line="240" w:lineRule="auto"/>
              <w:rPr>
                <w:rFonts w:ascii="Arial" w:eastAsia="Arial" w:hAnsi="Arial" w:cs="Arial"/>
                <w:color w:val="000000"/>
                <w:sz w:val="18"/>
                <w:szCs w:val="18"/>
              </w:rPr>
            </w:pPr>
            <w:r w:rsidRPr="0004405A">
              <w:rPr>
                <w:rFonts w:ascii="Arial" w:eastAsia="Arial" w:hAnsi="Arial" w:cs="Arial"/>
                <w:color w:val="000000"/>
                <w:sz w:val="18"/>
                <w:szCs w:val="18"/>
              </w:rPr>
              <w:t>• Distribuição de Renda: O Índice de Gini (que mede a concentração de renda) cresceu entre 2012 e 2018 (de 0,511 para 0,538), mas teve uma redução importante para 0,500 em 2022. Este resultado positivo pode ser consequência de diversos fatores, incluindo benefícios sociais.</w:t>
            </w:r>
          </w:p>
          <w:p w14:paraId="4C22C98A" w14:textId="77777777" w:rsidR="001C7E6F" w:rsidRDefault="001C7E6F" w:rsidP="00BD3046">
            <w:pPr>
              <w:spacing w:after="0" w:line="240" w:lineRule="auto"/>
              <w:rPr>
                <w:rFonts w:ascii="Arial" w:eastAsia="Arial" w:hAnsi="Arial" w:cs="Arial"/>
                <w:color w:val="000000"/>
                <w:sz w:val="18"/>
                <w:szCs w:val="18"/>
              </w:rPr>
            </w:pPr>
            <w:r w:rsidRPr="0004405A">
              <w:rPr>
                <w:rFonts w:ascii="Arial" w:eastAsia="Arial" w:hAnsi="Arial" w:cs="Arial"/>
                <w:color w:val="000000"/>
                <w:sz w:val="18"/>
                <w:szCs w:val="18"/>
              </w:rPr>
              <w:t>• Simulações do IBGE demonstraram que a pobreza e os índices de desigualdade respondem positivamente quando da existência de benefícios sociais. Programas de transferência de renda, como o Auxílio Emergencial (em 2020), foram fundamentais para amenizar os impactos da crise</w:t>
            </w:r>
            <w:r>
              <w:rPr>
                <w:rFonts w:ascii="Arial" w:eastAsia="Arial" w:hAnsi="Arial" w:cs="Arial"/>
                <w:color w:val="000000"/>
                <w:sz w:val="18"/>
                <w:szCs w:val="18"/>
              </w:rPr>
              <w:t>.</w:t>
            </w:r>
          </w:p>
          <w:p w14:paraId="6D9A9057" w14:textId="77777777" w:rsidR="001C7E6F" w:rsidRPr="0004405A" w:rsidRDefault="001C7E6F" w:rsidP="00BD3046">
            <w:pPr>
              <w:spacing w:after="0" w:line="240" w:lineRule="auto"/>
              <w:rPr>
                <w:rFonts w:ascii="Arial" w:eastAsia="Arial" w:hAnsi="Arial" w:cs="Arial"/>
                <w:color w:val="000000"/>
                <w:sz w:val="18"/>
                <w:szCs w:val="18"/>
              </w:rPr>
            </w:pPr>
            <w:r w:rsidRPr="0004405A">
              <w:rPr>
                <w:rFonts w:ascii="Arial" w:eastAsia="Arial" w:hAnsi="Arial" w:cs="Arial"/>
                <w:color w:val="000000"/>
                <w:sz w:val="18"/>
                <w:szCs w:val="18"/>
              </w:rPr>
              <w:t>• A pobreza é uma realidade grave e relevante em São Paulo. Dados do CECAD demonstram que, entre dezembro de 2019 e fevereiro de 2023, a população inscrita no CadÚnico cresceu cerca de 30% (pessoas) e 45% (famílias).</w:t>
            </w:r>
          </w:p>
          <w:p w14:paraId="5DA0584F" w14:textId="77777777" w:rsidR="001C7E6F" w:rsidRPr="0004405A" w:rsidRDefault="001C7E6F" w:rsidP="00BD3046">
            <w:pPr>
              <w:spacing w:after="0" w:line="240" w:lineRule="auto"/>
              <w:rPr>
                <w:rFonts w:ascii="Arial" w:eastAsia="Arial" w:hAnsi="Arial" w:cs="Arial"/>
                <w:color w:val="000000"/>
                <w:sz w:val="18"/>
                <w:szCs w:val="18"/>
              </w:rPr>
            </w:pPr>
            <w:r w:rsidRPr="0004405A">
              <w:rPr>
                <w:rFonts w:ascii="Arial" w:eastAsia="Arial" w:hAnsi="Arial" w:cs="Arial"/>
                <w:color w:val="000000"/>
                <w:sz w:val="18"/>
                <w:szCs w:val="18"/>
              </w:rPr>
              <w:t>• Taxa de Pobreza: Em 2020, 18,4% da população de São Paulo estava na faixa de renda equivalente a ½ salário-mínimo per capita (linha de pobreza mais ampla). A proporção de pessoas abaixo da linha de pobreza nacional (US$ 6,85 PPC 2017) era de 16,47% em anos não especificados.</w:t>
            </w:r>
          </w:p>
          <w:p w14:paraId="6B68AE88" w14:textId="77777777" w:rsidR="001C7E6F" w:rsidRPr="0004405A" w:rsidRDefault="001C7E6F" w:rsidP="00BD3046">
            <w:pPr>
              <w:spacing w:after="0" w:line="240" w:lineRule="auto"/>
              <w:rPr>
                <w:rFonts w:ascii="Arial" w:eastAsia="Arial" w:hAnsi="Arial" w:cs="Arial"/>
                <w:color w:val="000000"/>
                <w:sz w:val="18"/>
                <w:szCs w:val="18"/>
              </w:rPr>
            </w:pPr>
            <w:r w:rsidRPr="0004405A">
              <w:rPr>
                <w:rFonts w:ascii="Arial" w:eastAsia="Arial" w:hAnsi="Arial" w:cs="Arial"/>
                <w:color w:val="000000"/>
                <w:sz w:val="18"/>
                <w:szCs w:val="18"/>
              </w:rPr>
              <w:t>• Vagas de Beneficiários e Pobreza: O número de beneficiários de programas sociais estaduais (como Renda Cidadã e Ação Jovem) foi inversamente proporcional ao crescimento acelerado da pobreza e vulnerabilidade social. Isso ocorreu devido ao desligamento de beneficiários que atingiram o tempo máximo de permanência ou que deixaram de cumprir os critérios, aliado ao baixo número de novas contemplações.</w:t>
            </w:r>
          </w:p>
          <w:p w14:paraId="29FC7D76" w14:textId="77777777" w:rsidR="001C7E6F" w:rsidRPr="0004405A" w:rsidRDefault="001C7E6F" w:rsidP="00BD3046">
            <w:pPr>
              <w:spacing w:after="0" w:line="240" w:lineRule="auto"/>
              <w:rPr>
                <w:rFonts w:ascii="Arial" w:eastAsia="Arial" w:hAnsi="Arial" w:cs="Arial"/>
                <w:color w:val="000000"/>
                <w:sz w:val="18"/>
                <w:szCs w:val="18"/>
              </w:rPr>
            </w:pPr>
            <w:r w:rsidRPr="0004405A">
              <w:rPr>
                <w:rFonts w:ascii="Arial" w:eastAsia="Arial" w:hAnsi="Arial" w:cs="Arial"/>
                <w:color w:val="000000"/>
                <w:sz w:val="18"/>
                <w:szCs w:val="18"/>
              </w:rPr>
              <w:t xml:space="preserve">• Público-Alvo e Equidade: As políticas de assistência social, como o Programa 3500 – Política de Assistência Social, têm como objetivo garantir os direitos e o acesso a bens e serviços a cidadãos e grupos em situação de vulnerabilidade, especialmente à </w:t>
            </w:r>
            <w:r w:rsidRPr="0004405A">
              <w:rPr>
                <w:rFonts w:ascii="Arial" w:eastAsia="Arial" w:hAnsi="Arial" w:cs="Arial"/>
                <w:color w:val="000000"/>
                <w:sz w:val="18"/>
                <w:szCs w:val="18"/>
              </w:rPr>
              <w:lastRenderedPageBreak/>
              <w:t>população em situação de rua, com atuação equânime nos diferentes públicos e territórios.</w:t>
            </w:r>
          </w:p>
          <w:p w14:paraId="5665DAA1" w14:textId="77777777" w:rsidR="001C7E6F" w:rsidRPr="0004405A" w:rsidRDefault="001C7E6F" w:rsidP="00BD3046">
            <w:pPr>
              <w:spacing w:after="0" w:line="240" w:lineRule="auto"/>
              <w:rPr>
                <w:rFonts w:ascii="Arial" w:eastAsia="Arial" w:hAnsi="Arial" w:cs="Arial"/>
                <w:color w:val="000000"/>
                <w:sz w:val="18"/>
                <w:szCs w:val="18"/>
              </w:rPr>
            </w:pPr>
            <w:r w:rsidRPr="0004405A">
              <w:rPr>
                <w:rFonts w:ascii="Arial" w:eastAsia="Arial" w:hAnsi="Arial" w:cs="Arial"/>
                <w:color w:val="000000"/>
                <w:sz w:val="18"/>
                <w:szCs w:val="18"/>
              </w:rPr>
              <w:t xml:space="preserve">• Cobertura de Serviços (SUAS): O Estado estabelece metas de investimento e cobertura na rede do Sistema Único de Assistência Social (SUAS). Por exemplo, há metas para o valor de investimento na rede do SUAS (R$ 41.710.880 em 2024, R$ 42.962.206 em 2025). A SEDS também busca a </w:t>
            </w:r>
            <w:r>
              <w:rPr>
                <w:rFonts w:ascii="Arial" w:eastAsia="Arial" w:hAnsi="Arial" w:cs="Arial"/>
                <w:color w:val="000000"/>
                <w:sz w:val="18"/>
                <w:szCs w:val="18"/>
              </w:rPr>
              <w:t>v</w:t>
            </w:r>
            <w:r w:rsidRPr="0004405A">
              <w:rPr>
                <w:rFonts w:ascii="Arial" w:eastAsia="Arial" w:hAnsi="Arial" w:cs="Arial"/>
                <w:color w:val="000000"/>
                <w:sz w:val="18"/>
                <w:szCs w:val="18"/>
              </w:rPr>
              <w:t>iabilização de cofinanciamento eficaz de serviços socioassistenciais de proteção social básica</w:t>
            </w:r>
            <w:r>
              <w:rPr>
                <w:rFonts w:ascii="Arial" w:eastAsia="Arial" w:hAnsi="Arial" w:cs="Arial"/>
                <w:color w:val="000000"/>
                <w:sz w:val="18"/>
                <w:szCs w:val="18"/>
              </w:rPr>
              <w:t xml:space="preserve">, </w:t>
            </w:r>
            <w:r w:rsidRPr="0004405A">
              <w:rPr>
                <w:rFonts w:ascii="Arial" w:eastAsia="Arial" w:hAnsi="Arial" w:cs="Arial"/>
                <w:color w:val="000000"/>
                <w:sz w:val="18"/>
                <w:szCs w:val="18"/>
              </w:rPr>
              <w:t>priorizando os de alta vulnerabilidade social.</w:t>
            </w:r>
          </w:p>
          <w:p w14:paraId="1C812643" w14:textId="77777777" w:rsidR="001C7E6F" w:rsidRPr="0004405A" w:rsidRDefault="001C7E6F" w:rsidP="00BD3046">
            <w:pPr>
              <w:spacing w:after="0" w:line="240" w:lineRule="auto"/>
              <w:rPr>
                <w:rFonts w:ascii="Arial" w:eastAsia="Arial" w:hAnsi="Arial" w:cs="Arial"/>
                <w:color w:val="000000"/>
                <w:sz w:val="18"/>
                <w:szCs w:val="18"/>
              </w:rPr>
            </w:pPr>
            <w:r w:rsidRPr="0004405A">
              <w:rPr>
                <w:rFonts w:ascii="Arial" w:eastAsia="Arial" w:hAnsi="Arial" w:cs="Arial"/>
                <w:color w:val="000000"/>
                <w:sz w:val="18"/>
                <w:szCs w:val="18"/>
              </w:rPr>
              <w:t>• Programas de Segurança Alimentar: O FECOEP</w:t>
            </w:r>
            <w:r>
              <w:rPr>
                <w:rFonts w:ascii="Arial" w:eastAsia="Arial" w:hAnsi="Arial" w:cs="Arial"/>
                <w:color w:val="000000"/>
                <w:sz w:val="18"/>
                <w:szCs w:val="18"/>
              </w:rPr>
              <w:t>-SP</w:t>
            </w:r>
            <w:r w:rsidRPr="0004405A">
              <w:rPr>
                <w:rFonts w:ascii="Arial" w:eastAsia="Arial" w:hAnsi="Arial" w:cs="Arial"/>
                <w:color w:val="000000"/>
                <w:sz w:val="18"/>
                <w:szCs w:val="18"/>
              </w:rPr>
              <w:t xml:space="preserve"> financia programas de grande alcance na área de bem-estar, como </w:t>
            </w:r>
            <w:r>
              <w:rPr>
                <w:rFonts w:ascii="Arial" w:eastAsia="Arial" w:hAnsi="Arial" w:cs="Arial"/>
                <w:color w:val="000000"/>
                <w:sz w:val="18"/>
                <w:szCs w:val="18"/>
              </w:rPr>
              <w:t>Viva L</w:t>
            </w:r>
            <w:r w:rsidRPr="0004405A">
              <w:rPr>
                <w:rFonts w:ascii="Arial" w:eastAsia="Arial" w:hAnsi="Arial" w:cs="Arial"/>
                <w:color w:val="000000"/>
                <w:sz w:val="18"/>
                <w:szCs w:val="18"/>
              </w:rPr>
              <w:t xml:space="preserve">eite (com meta de número de itens distribuídos) e Bom Prato (com metas de número de refeições servidas), que têm como público-alvo a </w:t>
            </w:r>
            <w:r>
              <w:rPr>
                <w:rFonts w:ascii="Arial" w:eastAsia="Arial" w:hAnsi="Arial" w:cs="Arial"/>
                <w:color w:val="000000"/>
                <w:sz w:val="18"/>
                <w:szCs w:val="18"/>
              </w:rPr>
              <w:t>p</w:t>
            </w:r>
            <w:r w:rsidRPr="0004405A">
              <w:rPr>
                <w:rFonts w:ascii="Arial" w:eastAsia="Arial" w:hAnsi="Arial" w:cs="Arial"/>
                <w:color w:val="000000"/>
                <w:sz w:val="18"/>
                <w:szCs w:val="18"/>
              </w:rPr>
              <w:t>opulação em situação de vulnerabilidade social e em situação de rua.</w:t>
            </w:r>
          </w:p>
          <w:p w14:paraId="21A58EAA" w14:textId="77777777" w:rsidR="001C7E6F" w:rsidRDefault="001C7E6F" w:rsidP="00BD3046">
            <w:pPr>
              <w:spacing w:after="0" w:line="240" w:lineRule="auto"/>
              <w:rPr>
                <w:rFonts w:ascii="Arial" w:eastAsia="Arial" w:hAnsi="Arial" w:cs="Arial"/>
                <w:color w:val="000000"/>
                <w:sz w:val="18"/>
                <w:szCs w:val="18"/>
              </w:rPr>
            </w:pPr>
            <w:r w:rsidRPr="0004405A">
              <w:rPr>
                <w:rFonts w:ascii="Arial" w:eastAsia="Arial" w:hAnsi="Arial" w:cs="Arial"/>
                <w:color w:val="000000"/>
                <w:sz w:val="18"/>
                <w:szCs w:val="18"/>
              </w:rPr>
              <w:t>• A carência de uma estrutura adequada e de equipe de profissionais nos CRAS e CREAS (Centros de Referência) prejudicou o atendimento dos usuários durante a pandemia e foi um foco de recomendação corretiva. A falta de investimento na rede de proteção (indicador valor de investimento na rede do SUAS) compromete a eficácia dos serviços.</w:t>
            </w:r>
          </w:p>
          <w:p w14:paraId="675EDDAE" w14:textId="77777777" w:rsidR="001C7E6F" w:rsidRDefault="001C7E6F" w:rsidP="00BD3046">
            <w:pPr>
              <w:spacing w:after="0" w:line="240" w:lineRule="auto"/>
              <w:rPr>
                <w:rFonts w:ascii="Arial" w:eastAsia="Arial" w:hAnsi="Arial" w:cs="Arial"/>
                <w:color w:val="000000"/>
                <w:sz w:val="18"/>
                <w:szCs w:val="18"/>
              </w:rPr>
            </w:pPr>
          </w:p>
        </w:tc>
      </w:tr>
      <w:tr w:rsidR="001C7E6F" w14:paraId="2A2995DD" w14:textId="77777777" w:rsidTr="00BD3046">
        <w:trPr>
          <w:trHeight w:val="20"/>
        </w:trPr>
        <w:tc>
          <w:tcPr>
            <w:tcW w:w="2263" w:type="dxa"/>
            <w:shd w:val="clear" w:color="auto" w:fill="auto"/>
            <w:vAlign w:val="center"/>
          </w:tcPr>
          <w:p w14:paraId="5A3B2663"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3.10 Transparência</w:t>
            </w:r>
          </w:p>
        </w:tc>
        <w:tc>
          <w:tcPr>
            <w:tcW w:w="6798" w:type="dxa"/>
            <w:shd w:val="clear" w:color="auto" w:fill="auto"/>
            <w:vAlign w:val="center"/>
          </w:tcPr>
          <w:p w14:paraId="2A3C835A" w14:textId="77777777" w:rsidR="001C7E6F" w:rsidRPr="00D118D6" w:rsidRDefault="001C7E6F" w:rsidP="00BD3046">
            <w:pPr>
              <w:spacing w:after="0" w:line="240" w:lineRule="auto"/>
              <w:rPr>
                <w:rFonts w:ascii="Arial" w:eastAsia="Arial" w:hAnsi="Arial" w:cs="Arial"/>
                <w:i/>
                <w:color w:val="000000"/>
                <w:sz w:val="18"/>
                <w:szCs w:val="18"/>
              </w:rPr>
            </w:pPr>
            <w:r w:rsidRPr="00D118D6">
              <w:rPr>
                <w:rFonts w:ascii="Arial" w:eastAsia="Arial" w:hAnsi="Arial" w:cs="Arial"/>
                <w:i/>
                <w:color w:val="000000"/>
                <w:sz w:val="18"/>
                <w:szCs w:val="18"/>
              </w:rPr>
              <w:t>Disponibilidade pública dos dados de execução orçamentária, legislação, PA, PAF, metas e relatórios. Rastreabilidade em tempo hábil.</w:t>
            </w:r>
          </w:p>
          <w:p w14:paraId="6E87CFEF" w14:textId="77777777" w:rsidR="001C7E6F" w:rsidRDefault="001C7E6F" w:rsidP="00BD3046">
            <w:pPr>
              <w:spacing w:after="0" w:line="240" w:lineRule="auto"/>
              <w:rPr>
                <w:rFonts w:ascii="Arial" w:eastAsia="Arial" w:hAnsi="Arial" w:cs="Arial"/>
                <w:color w:val="000000"/>
                <w:sz w:val="18"/>
                <w:szCs w:val="18"/>
              </w:rPr>
            </w:pPr>
          </w:p>
          <w:p w14:paraId="6B410586" w14:textId="77777777" w:rsidR="001C7E6F" w:rsidRDefault="001C7E6F" w:rsidP="00BD3046">
            <w:pPr>
              <w:spacing w:after="0" w:line="240" w:lineRule="auto"/>
              <w:rPr>
                <w:rFonts w:ascii="Arial" w:eastAsia="Arial" w:hAnsi="Arial" w:cs="Arial"/>
                <w:color w:val="000000"/>
                <w:sz w:val="18"/>
                <w:szCs w:val="18"/>
              </w:rPr>
            </w:pPr>
            <w:r w:rsidRPr="00D118D6">
              <w:rPr>
                <w:rFonts w:ascii="Arial" w:eastAsia="Arial" w:hAnsi="Arial" w:cs="Arial"/>
                <w:color w:val="000000"/>
                <w:sz w:val="18"/>
                <w:szCs w:val="18"/>
              </w:rPr>
              <w:t>O planejamento (PPA, LDO</w:t>
            </w:r>
            <w:r>
              <w:rPr>
                <w:rFonts w:ascii="Arial" w:eastAsia="Arial" w:hAnsi="Arial" w:cs="Arial"/>
                <w:color w:val="000000"/>
                <w:sz w:val="18"/>
                <w:szCs w:val="18"/>
              </w:rPr>
              <w:t xml:space="preserve"> e</w:t>
            </w:r>
            <w:r w:rsidRPr="00D118D6">
              <w:rPr>
                <w:rFonts w:ascii="Arial" w:eastAsia="Arial" w:hAnsi="Arial" w:cs="Arial"/>
                <w:color w:val="000000"/>
                <w:sz w:val="18"/>
                <w:szCs w:val="18"/>
              </w:rPr>
              <w:t xml:space="preserve"> LOA) e as atividades de governo são disponibilizadas ao público, conforme diretrizes de transparência</w:t>
            </w:r>
            <w:r>
              <w:rPr>
                <w:rFonts w:ascii="Arial" w:eastAsia="Arial" w:hAnsi="Arial" w:cs="Arial"/>
                <w:color w:val="000000"/>
                <w:sz w:val="18"/>
                <w:szCs w:val="18"/>
              </w:rPr>
              <w:t>.</w:t>
            </w:r>
          </w:p>
          <w:p w14:paraId="387DCFB4" w14:textId="77777777" w:rsidR="001C7E6F" w:rsidRDefault="001C7E6F" w:rsidP="00BD3046">
            <w:pPr>
              <w:spacing w:after="0" w:line="240" w:lineRule="auto"/>
              <w:rPr>
                <w:rFonts w:ascii="Arial" w:eastAsia="Arial" w:hAnsi="Arial" w:cs="Arial"/>
                <w:color w:val="000000"/>
                <w:sz w:val="18"/>
                <w:szCs w:val="18"/>
              </w:rPr>
            </w:pPr>
          </w:p>
          <w:p w14:paraId="4D960721" w14:textId="77777777" w:rsidR="001C7E6F" w:rsidRDefault="001C7E6F" w:rsidP="00BD3046">
            <w:pPr>
              <w:spacing w:after="0" w:line="240" w:lineRule="auto"/>
              <w:rPr>
                <w:rFonts w:ascii="Arial" w:eastAsia="Arial" w:hAnsi="Arial" w:cs="Arial"/>
                <w:color w:val="000000"/>
                <w:sz w:val="18"/>
                <w:szCs w:val="18"/>
              </w:rPr>
            </w:pPr>
            <w:r w:rsidRPr="00D118D6">
              <w:rPr>
                <w:rFonts w:ascii="Arial" w:eastAsia="Arial" w:hAnsi="Arial" w:cs="Arial"/>
                <w:color w:val="000000"/>
                <w:sz w:val="18"/>
                <w:szCs w:val="18"/>
              </w:rPr>
              <w:t>O PPA 2024–2027 é o instrumento legal que estabelece as diretrizes, objetivos e metas para as despesas. A lei do PPA exige que o Poder Executivo publique anualmente as metas de resultados de todos os programas e dos indicadores de produtos do PPA para o respectivo exercício</w:t>
            </w:r>
            <w:r>
              <w:rPr>
                <w:rFonts w:ascii="Arial" w:eastAsia="Arial" w:hAnsi="Arial" w:cs="Arial"/>
                <w:color w:val="000000"/>
                <w:sz w:val="18"/>
                <w:szCs w:val="18"/>
              </w:rPr>
              <w:t xml:space="preserve">. </w:t>
            </w:r>
            <w:r w:rsidRPr="00D118D6">
              <w:rPr>
                <w:rFonts w:ascii="Arial" w:eastAsia="Arial" w:hAnsi="Arial" w:cs="Arial"/>
                <w:color w:val="000000"/>
                <w:sz w:val="18"/>
                <w:szCs w:val="18"/>
              </w:rPr>
              <w:t>A rastreabilidade dos dados financeiros e de desempenho é buscada por meio de sistemas e relatórios periódicos</w:t>
            </w:r>
            <w:r>
              <w:rPr>
                <w:rFonts w:ascii="Arial" w:eastAsia="Arial" w:hAnsi="Arial" w:cs="Arial"/>
                <w:color w:val="000000"/>
                <w:sz w:val="18"/>
                <w:szCs w:val="18"/>
              </w:rPr>
              <w:t>.</w:t>
            </w:r>
          </w:p>
          <w:p w14:paraId="0F9C558F" w14:textId="77777777" w:rsidR="001C7E6F" w:rsidRDefault="001C7E6F" w:rsidP="00BD3046">
            <w:pPr>
              <w:spacing w:after="0" w:line="240" w:lineRule="auto"/>
              <w:rPr>
                <w:rFonts w:ascii="Arial" w:eastAsia="Arial" w:hAnsi="Arial" w:cs="Arial"/>
                <w:color w:val="000000"/>
                <w:sz w:val="18"/>
                <w:szCs w:val="18"/>
              </w:rPr>
            </w:pPr>
          </w:p>
          <w:p w14:paraId="7B8AF6E2"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De acordo com a lei do PPA (</w:t>
            </w:r>
            <w:r w:rsidRPr="0067442F">
              <w:rPr>
                <w:rFonts w:ascii="Arial" w:eastAsia="Arial" w:hAnsi="Arial" w:cs="Arial"/>
                <w:color w:val="000000"/>
                <w:sz w:val="18"/>
                <w:szCs w:val="18"/>
              </w:rPr>
              <w:t>Lei nº 17.898-2024</w:t>
            </w:r>
            <w:r>
              <w:rPr>
                <w:rFonts w:ascii="Arial" w:eastAsia="Arial" w:hAnsi="Arial" w:cs="Arial"/>
                <w:color w:val="000000"/>
                <w:sz w:val="18"/>
                <w:szCs w:val="18"/>
              </w:rPr>
              <w:t>, art. 17), o</w:t>
            </w:r>
            <w:r w:rsidRPr="00D118D6">
              <w:rPr>
                <w:rFonts w:ascii="Arial" w:eastAsia="Arial" w:hAnsi="Arial" w:cs="Arial"/>
                <w:color w:val="000000"/>
                <w:sz w:val="18"/>
                <w:szCs w:val="18"/>
              </w:rPr>
              <w:t xml:space="preserve"> Poder Executivo deve manter um sistema integrado de informações para apoio à gestão, que será atualizado permanentemente e que abrangerá a execução financeira dos programas e o acompanhamento do alcance das metas dos in</w:t>
            </w:r>
            <w:r>
              <w:rPr>
                <w:rFonts w:ascii="Arial" w:eastAsia="Arial" w:hAnsi="Arial" w:cs="Arial"/>
                <w:color w:val="000000"/>
                <w:sz w:val="18"/>
                <w:szCs w:val="18"/>
              </w:rPr>
              <w:t xml:space="preserve">dicadores. As informações </w:t>
            </w:r>
            <w:r w:rsidRPr="00D118D6">
              <w:rPr>
                <w:rFonts w:ascii="Arial" w:eastAsia="Arial" w:hAnsi="Arial" w:cs="Arial"/>
                <w:color w:val="000000"/>
                <w:sz w:val="18"/>
                <w:szCs w:val="18"/>
              </w:rPr>
              <w:t>devem ser disponibilizadas em linguagem simples, em sítio eletrônico (portal), na forma de painel de indicadores e arquivos em formato aberto e estruturado, atualizados periodicamente</w:t>
            </w:r>
            <w:r>
              <w:rPr>
                <w:rFonts w:ascii="Arial" w:eastAsia="Arial" w:hAnsi="Arial" w:cs="Arial"/>
                <w:color w:val="000000"/>
                <w:sz w:val="18"/>
                <w:szCs w:val="18"/>
              </w:rPr>
              <w:t>.</w:t>
            </w:r>
          </w:p>
          <w:p w14:paraId="1D2E3530" w14:textId="77777777" w:rsidR="001C7E6F" w:rsidRDefault="001C7E6F" w:rsidP="00BD3046">
            <w:pPr>
              <w:spacing w:after="0" w:line="240" w:lineRule="auto"/>
              <w:rPr>
                <w:rFonts w:ascii="Arial" w:eastAsia="Arial" w:hAnsi="Arial" w:cs="Arial"/>
                <w:color w:val="000000"/>
                <w:sz w:val="18"/>
                <w:szCs w:val="18"/>
              </w:rPr>
            </w:pPr>
          </w:p>
          <w:p w14:paraId="10BB3A4C"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Apesar disso, e</w:t>
            </w:r>
            <w:r w:rsidRPr="0067442F">
              <w:rPr>
                <w:rFonts w:ascii="Arial" w:eastAsia="Arial" w:hAnsi="Arial" w:cs="Arial"/>
                <w:color w:val="000000"/>
                <w:sz w:val="18"/>
                <w:szCs w:val="18"/>
              </w:rPr>
              <w:t>m relação ao FECOEP</w:t>
            </w:r>
            <w:r>
              <w:rPr>
                <w:rFonts w:ascii="Arial" w:eastAsia="Arial" w:hAnsi="Arial" w:cs="Arial"/>
                <w:color w:val="000000"/>
                <w:sz w:val="18"/>
                <w:szCs w:val="18"/>
              </w:rPr>
              <w:t>-SP</w:t>
            </w:r>
            <w:r w:rsidRPr="0067442F">
              <w:rPr>
                <w:rFonts w:ascii="Arial" w:eastAsia="Arial" w:hAnsi="Arial" w:cs="Arial"/>
                <w:color w:val="000000"/>
                <w:sz w:val="18"/>
                <w:szCs w:val="18"/>
              </w:rPr>
              <w:t>, o controle externo identificou deficiências na transparência e exigiu maior detalhamento</w:t>
            </w:r>
            <w:r>
              <w:rPr>
                <w:rFonts w:ascii="Arial" w:eastAsia="Arial" w:hAnsi="Arial" w:cs="Arial"/>
                <w:color w:val="000000"/>
                <w:sz w:val="18"/>
                <w:szCs w:val="18"/>
              </w:rPr>
              <w:t xml:space="preserve">. </w:t>
            </w:r>
            <w:r w:rsidRPr="0067442F">
              <w:rPr>
                <w:rFonts w:ascii="Arial" w:eastAsia="Arial" w:hAnsi="Arial" w:cs="Arial"/>
                <w:color w:val="000000"/>
                <w:sz w:val="18"/>
                <w:szCs w:val="18"/>
              </w:rPr>
              <w:t>Foi feita a recomendação para que o Governo "Amplie o detalhamento dos dados divulgados na página da transparência" do FECOEP</w:t>
            </w:r>
            <w:r>
              <w:rPr>
                <w:rFonts w:ascii="Arial" w:eastAsia="Arial" w:hAnsi="Arial" w:cs="Arial"/>
                <w:color w:val="000000"/>
                <w:sz w:val="18"/>
                <w:szCs w:val="18"/>
              </w:rPr>
              <w:t xml:space="preserve">-SP. </w:t>
            </w:r>
            <w:r w:rsidRPr="0067442F">
              <w:rPr>
                <w:rFonts w:ascii="Arial" w:eastAsia="Arial" w:hAnsi="Arial" w:cs="Arial"/>
                <w:color w:val="000000"/>
                <w:sz w:val="18"/>
                <w:szCs w:val="18"/>
              </w:rPr>
              <w:t>A transparência do Fundo deve contemplar:</w:t>
            </w:r>
            <w:r>
              <w:rPr>
                <w:rFonts w:ascii="Arial" w:eastAsia="Arial" w:hAnsi="Arial" w:cs="Arial"/>
                <w:color w:val="000000"/>
                <w:sz w:val="18"/>
                <w:szCs w:val="18"/>
              </w:rPr>
              <w:t xml:space="preserve"> h</w:t>
            </w:r>
            <w:r w:rsidRPr="0067442F">
              <w:rPr>
                <w:rFonts w:ascii="Arial" w:eastAsia="Arial" w:hAnsi="Arial" w:cs="Arial"/>
                <w:color w:val="000000"/>
                <w:sz w:val="18"/>
                <w:szCs w:val="18"/>
              </w:rPr>
              <w:t>istórico da arrecadação;</w:t>
            </w:r>
            <w:r>
              <w:rPr>
                <w:rFonts w:ascii="Arial" w:eastAsia="Arial" w:hAnsi="Arial" w:cs="Arial"/>
                <w:color w:val="000000"/>
                <w:sz w:val="18"/>
                <w:szCs w:val="18"/>
              </w:rPr>
              <w:t xml:space="preserve"> a</w:t>
            </w:r>
            <w:r w:rsidRPr="0067442F">
              <w:rPr>
                <w:rFonts w:ascii="Arial" w:eastAsia="Arial" w:hAnsi="Arial" w:cs="Arial"/>
                <w:color w:val="000000"/>
                <w:sz w:val="18"/>
                <w:szCs w:val="18"/>
              </w:rPr>
              <w:t>s deliberações realizadas pelo COA (Conselho);</w:t>
            </w:r>
            <w:r>
              <w:rPr>
                <w:rFonts w:ascii="Arial" w:eastAsia="Arial" w:hAnsi="Arial" w:cs="Arial"/>
                <w:color w:val="000000"/>
                <w:sz w:val="18"/>
                <w:szCs w:val="18"/>
              </w:rPr>
              <w:t xml:space="preserve"> as notícias relacionadas ao F</w:t>
            </w:r>
            <w:r w:rsidRPr="0067442F">
              <w:rPr>
                <w:rFonts w:ascii="Arial" w:eastAsia="Arial" w:hAnsi="Arial" w:cs="Arial"/>
                <w:color w:val="000000"/>
                <w:sz w:val="18"/>
                <w:szCs w:val="18"/>
              </w:rPr>
              <w:t>undo;</w:t>
            </w:r>
            <w:r>
              <w:rPr>
                <w:rFonts w:ascii="Arial" w:eastAsia="Arial" w:hAnsi="Arial" w:cs="Arial"/>
                <w:color w:val="000000"/>
                <w:sz w:val="18"/>
                <w:szCs w:val="18"/>
              </w:rPr>
              <w:t xml:space="preserve"> a</w:t>
            </w:r>
            <w:r w:rsidRPr="0067442F">
              <w:rPr>
                <w:rFonts w:ascii="Arial" w:eastAsia="Arial" w:hAnsi="Arial" w:cs="Arial"/>
                <w:color w:val="000000"/>
                <w:sz w:val="18"/>
                <w:szCs w:val="18"/>
              </w:rPr>
              <w:t xml:space="preserve"> execução orçamentária dos recursos;</w:t>
            </w:r>
            <w:r>
              <w:rPr>
                <w:rFonts w:ascii="Arial" w:eastAsia="Arial" w:hAnsi="Arial" w:cs="Arial"/>
                <w:color w:val="000000"/>
                <w:sz w:val="18"/>
                <w:szCs w:val="18"/>
              </w:rPr>
              <w:t xml:space="preserve"> e a</w:t>
            </w:r>
            <w:r w:rsidRPr="0067442F">
              <w:rPr>
                <w:rFonts w:ascii="Arial" w:eastAsia="Arial" w:hAnsi="Arial" w:cs="Arial"/>
                <w:color w:val="000000"/>
                <w:sz w:val="18"/>
                <w:szCs w:val="18"/>
              </w:rPr>
              <w:t xml:space="preserve"> descrição dos programas e ações beneficiados, incluindo público-alvo, produtos entregues e metas estabelecidas pelo COA ou pela legislação orçamentária.</w:t>
            </w:r>
          </w:p>
          <w:p w14:paraId="79B83080" w14:textId="77777777" w:rsidR="001C7E6F" w:rsidRDefault="001C7E6F" w:rsidP="00BD3046">
            <w:pPr>
              <w:spacing w:after="0" w:line="240" w:lineRule="auto"/>
              <w:rPr>
                <w:rFonts w:ascii="Arial" w:eastAsia="Arial" w:hAnsi="Arial" w:cs="Arial"/>
                <w:color w:val="000000"/>
                <w:sz w:val="18"/>
                <w:szCs w:val="18"/>
              </w:rPr>
            </w:pPr>
          </w:p>
        </w:tc>
      </w:tr>
      <w:tr w:rsidR="001C7E6F" w14:paraId="226B046B" w14:textId="77777777" w:rsidTr="00BD3046">
        <w:trPr>
          <w:trHeight w:val="20"/>
        </w:trPr>
        <w:tc>
          <w:tcPr>
            <w:tcW w:w="2263" w:type="dxa"/>
            <w:shd w:val="clear" w:color="auto" w:fill="auto"/>
            <w:vAlign w:val="center"/>
          </w:tcPr>
          <w:p w14:paraId="18670067"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3.11 Participação social na execução</w:t>
            </w:r>
          </w:p>
        </w:tc>
        <w:tc>
          <w:tcPr>
            <w:tcW w:w="6798" w:type="dxa"/>
            <w:shd w:val="clear" w:color="auto" w:fill="auto"/>
            <w:vAlign w:val="center"/>
          </w:tcPr>
          <w:p w14:paraId="42871CF9" w14:textId="77777777" w:rsidR="001C7E6F" w:rsidRPr="0067442F" w:rsidRDefault="001C7E6F" w:rsidP="00BD3046">
            <w:pPr>
              <w:spacing w:after="0" w:line="240" w:lineRule="auto"/>
              <w:rPr>
                <w:rFonts w:ascii="Arial" w:eastAsia="Arial" w:hAnsi="Arial" w:cs="Arial"/>
                <w:i/>
                <w:color w:val="000000"/>
                <w:sz w:val="18"/>
                <w:szCs w:val="18"/>
              </w:rPr>
            </w:pPr>
            <w:r w:rsidRPr="0067442F">
              <w:rPr>
                <w:rFonts w:ascii="Arial" w:eastAsia="Arial" w:hAnsi="Arial" w:cs="Arial"/>
                <w:i/>
                <w:color w:val="000000"/>
                <w:sz w:val="18"/>
                <w:szCs w:val="18"/>
              </w:rPr>
              <w:t xml:space="preserve">Participação in itinere ou ex post. Verifica se a sociedade acompanha e cobra a entrega do que foi planejado, monitorando empenho, liquidação, pagamento, reprogramações, contingenciamentos e prestações de contas. Mede-se a transparência e tempestividade dos dados e a capacidade de acionamento corretivo (ouvidoria e canais de denúncias). A sociedade verifica “como” foi realizado o gasto e “o quê” foi entregue como resultado. </w:t>
            </w:r>
          </w:p>
          <w:p w14:paraId="546F6714" w14:textId="77777777" w:rsidR="001C7E6F" w:rsidRDefault="001C7E6F" w:rsidP="00BD3046">
            <w:pPr>
              <w:spacing w:after="0" w:line="240" w:lineRule="auto"/>
              <w:rPr>
                <w:rFonts w:ascii="Arial" w:eastAsia="Arial" w:hAnsi="Arial" w:cs="Arial"/>
                <w:color w:val="000000"/>
                <w:sz w:val="18"/>
                <w:szCs w:val="18"/>
              </w:rPr>
            </w:pPr>
          </w:p>
          <w:p w14:paraId="50D25650" w14:textId="77777777" w:rsidR="001C7E6F" w:rsidRDefault="001C7E6F" w:rsidP="00BD3046">
            <w:pPr>
              <w:spacing w:after="0" w:line="240" w:lineRule="auto"/>
              <w:rPr>
                <w:rFonts w:ascii="Arial" w:eastAsia="Arial" w:hAnsi="Arial" w:cs="Arial"/>
                <w:color w:val="000000"/>
                <w:sz w:val="18"/>
                <w:szCs w:val="18"/>
              </w:rPr>
            </w:pPr>
            <w:r w:rsidRPr="0067442F">
              <w:rPr>
                <w:rFonts w:ascii="Arial" w:eastAsia="Arial" w:hAnsi="Arial" w:cs="Arial"/>
                <w:color w:val="000000"/>
                <w:sz w:val="18"/>
                <w:szCs w:val="18"/>
              </w:rPr>
              <w:t>O Estado de São Paulo possui mecanismos formais para a participação social na execução (</w:t>
            </w:r>
            <w:r w:rsidRPr="0067442F">
              <w:rPr>
                <w:rFonts w:ascii="Arial" w:eastAsia="Arial" w:hAnsi="Arial" w:cs="Arial"/>
                <w:i/>
                <w:color w:val="000000"/>
                <w:sz w:val="18"/>
                <w:szCs w:val="18"/>
              </w:rPr>
              <w:t>in itinere</w:t>
            </w:r>
            <w:r w:rsidRPr="0067442F">
              <w:rPr>
                <w:rFonts w:ascii="Arial" w:eastAsia="Arial" w:hAnsi="Arial" w:cs="Arial"/>
                <w:color w:val="000000"/>
                <w:sz w:val="18"/>
                <w:szCs w:val="18"/>
              </w:rPr>
              <w:t xml:space="preserve"> ou </w:t>
            </w:r>
            <w:r w:rsidRPr="0067442F">
              <w:rPr>
                <w:rFonts w:ascii="Arial" w:eastAsia="Arial" w:hAnsi="Arial" w:cs="Arial"/>
                <w:i/>
                <w:color w:val="000000"/>
                <w:sz w:val="18"/>
                <w:szCs w:val="18"/>
              </w:rPr>
              <w:t>ex post</w:t>
            </w:r>
            <w:r w:rsidRPr="0067442F">
              <w:rPr>
                <w:rFonts w:ascii="Arial" w:eastAsia="Arial" w:hAnsi="Arial" w:cs="Arial"/>
                <w:color w:val="000000"/>
                <w:sz w:val="18"/>
                <w:szCs w:val="18"/>
              </w:rPr>
              <w:t>) dos gastos públicos, com estruturas destinadas ao monitoramento, à transparência e ao acionamento corretivo. No entanto, o controle externo identificou falhas que limitam a capacidade da sociedade (especialmente em Conselhos) de verificar efetivamente "o quê foi entregue como resultado", em vez de apenas "como" o dinheiro foi gasto.</w:t>
            </w:r>
            <w:r>
              <w:rPr>
                <w:rFonts w:ascii="Arial" w:eastAsia="Arial" w:hAnsi="Arial" w:cs="Arial"/>
                <w:color w:val="000000"/>
                <w:sz w:val="18"/>
                <w:szCs w:val="18"/>
              </w:rPr>
              <w:t xml:space="preserve"> </w:t>
            </w:r>
            <w:r w:rsidRPr="0067442F">
              <w:rPr>
                <w:rFonts w:ascii="Arial" w:eastAsia="Arial" w:hAnsi="Arial" w:cs="Arial"/>
                <w:color w:val="000000"/>
                <w:sz w:val="18"/>
                <w:szCs w:val="18"/>
              </w:rPr>
              <w:t>A sociedade tem acesso a dados financeiros por meio de portais de transparência, mas a rastreabilidade em tempo hábil enfrenta desafios</w:t>
            </w:r>
            <w:r>
              <w:rPr>
                <w:rFonts w:ascii="Arial" w:eastAsia="Arial" w:hAnsi="Arial" w:cs="Arial"/>
                <w:color w:val="000000"/>
                <w:sz w:val="18"/>
                <w:szCs w:val="18"/>
              </w:rPr>
              <w:t xml:space="preserve"> inerentes ao processo contábil.</w:t>
            </w:r>
          </w:p>
          <w:p w14:paraId="3046120E" w14:textId="77777777" w:rsidR="001C7E6F" w:rsidRDefault="001C7E6F" w:rsidP="00BD3046">
            <w:pPr>
              <w:spacing w:after="0" w:line="240" w:lineRule="auto"/>
              <w:rPr>
                <w:rFonts w:ascii="Arial" w:eastAsia="Arial" w:hAnsi="Arial" w:cs="Arial"/>
                <w:color w:val="000000"/>
                <w:sz w:val="18"/>
                <w:szCs w:val="18"/>
              </w:rPr>
            </w:pPr>
          </w:p>
          <w:p w14:paraId="0B2F7882" w14:textId="77777777" w:rsidR="001C7E6F" w:rsidRPr="005238A8" w:rsidRDefault="001C7E6F" w:rsidP="00BD3046">
            <w:pPr>
              <w:spacing w:after="0" w:line="240" w:lineRule="auto"/>
              <w:rPr>
                <w:rFonts w:ascii="Arial" w:eastAsia="Arial" w:hAnsi="Arial" w:cs="Arial"/>
                <w:color w:val="000000"/>
                <w:sz w:val="18"/>
                <w:szCs w:val="18"/>
              </w:rPr>
            </w:pPr>
            <w:r w:rsidRPr="005238A8">
              <w:rPr>
                <w:rFonts w:ascii="Arial" w:eastAsia="Arial" w:hAnsi="Arial" w:cs="Arial"/>
                <w:color w:val="000000"/>
                <w:sz w:val="18"/>
                <w:szCs w:val="18"/>
              </w:rPr>
              <w:t xml:space="preserve">O Estado oferece canais formais para acionamento corretivo e monitora sua responsividade. A Controladoria Geral do Estado (CGE) é responsável pelo Sistema de Transparência e do Sistema de Integridade, buscando o aprimoramento dos canais de comunicação com a sociedade. O Estado mede a eficácia da Ouvidoria monitorando o “percentual de tratamento das manifestações dos cidadãos nas ouvidorias estaduais” </w:t>
            </w:r>
            <w:r w:rsidRPr="005238A8">
              <w:rPr>
                <w:rFonts w:ascii="Arial" w:eastAsia="Arial" w:hAnsi="Arial" w:cs="Arial"/>
                <w:color w:val="000000"/>
                <w:sz w:val="18"/>
                <w:szCs w:val="18"/>
              </w:rPr>
              <w:lastRenderedPageBreak/>
              <w:t>(com meta de 98%) e o “tempo médio de resposta enquanto instância recursal da lei de acesso à informação” (dia), com meta de 21 dias. A CGE processa denúncias na área correcional, contando com o apoio da área de inteligência, para fortalecer o combate à corrupção e a responsabilização dos envolvidos em atos ilícitos. O Ministério Público (MP) também está apto a receber petições, reclamações, representações ou queixas de qualquer pessoa por desrespeito aos direitos.</w:t>
            </w:r>
          </w:p>
          <w:p w14:paraId="372EC967" w14:textId="77777777" w:rsidR="001C7E6F" w:rsidRDefault="001C7E6F" w:rsidP="00BD3046">
            <w:pPr>
              <w:spacing w:after="0" w:line="240" w:lineRule="auto"/>
              <w:rPr>
                <w:rFonts w:ascii="Arial" w:eastAsia="Arial" w:hAnsi="Arial" w:cs="Arial"/>
                <w:color w:val="000000"/>
                <w:sz w:val="18"/>
                <w:szCs w:val="18"/>
              </w:rPr>
            </w:pPr>
          </w:p>
          <w:p w14:paraId="18F13469"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Não foi localizado um canal específico sobre o FECOEP-SP. Além disso, o</w:t>
            </w:r>
            <w:r w:rsidRPr="0067442F">
              <w:rPr>
                <w:rFonts w:ascii="Arial" w:eastAsia="Arial" w:hAnsi="Arial" w:cs="Arial"/>
                <w:color w:val="000000"/>
                <w:sz w:val="18"/>
                <w:szCs w:val="18"/>
              </w:rPr>
              <w:t xml:space="preserve"> sistema de prestação de contas </w:t>
            </w:r>
            <w:r w:rsidRPr="0067442F">
              <w:rPr>
                <w:rFonts w:ascii="Arial" w:eastAsia="Arial" w:hAnsi="Arial" w:cs="Arial"/>
                <w:i/>
                <w:color w:val="000000"/>
                <w:sz w:val="18"/>
                <w:szCs w:val="18"/>
              </w:rPr>
              <w:t>ex post</w:t>
            </w:r>
            <w:r w:rsidRPr="0067442F">
              <w:rPr>
                <w:rFonts w:ascii="Arial" w:eastAsia="Arial" w:hAnsi="Arial" w:cs="Arial"/>
                <w:color w:val="000000"/>
                <w:sz w:val="18"/>
                <w:szCs w:val="18"/>
              </w:rPr>
              <w:t xml:space="preserve"> nos municípios (relevante para fundos sociais como o FECOEP</w:t>
            </w:r>
            <w:r>
              <w:rPr>
                <w:rFonts w:ascii="Arial" w:eastAsia="Arial" w:hAnsi="Arial" w:cs="Arial"/>
                <w:color w:val="000000"/>
                <w:sz w:val="18"/>
                <w:szCs w:val="18"/>
              </w:rPr>
              <w:t>-SP</w:t>
            </w:r>
            <w:r w:rsidRPr="0067442F">
              <w:rPr>
                <w:rFonts w:ascii="Arial" w:eastAsia="Arial" w:hAnsi="Arial" w:cs="Arial"/>
                <w:color w:val="000000"/>
                <w:sz w:val="18"/>
                <w:szCs w:val="18"/>
              </w:rPr>
              <w:t>) demonstra ser deficiente na aferição de resultados (eficácia e efetividade), limitando a capacidade da sociedade e dos conselheiros de verificar "o quê" foi entregue, restringindo a participação ao monitoramento da conformidade do gasto.</w:t>
            </w:r>
          </w:p>
          <w:p w14:paraId="78745843" w14:textId="77777777" w:rsidR="001C7E6F" w:rsidRDefault="001C7E6F" w:rsidP="00BD3046">
            <w:pPr>
              <w:spacing w:after="0" w:line="240" w:lineRule="auto"/>
              <w:rPr>
                <w:rFonts w:ascii="Arial" w:eastAsia="Arial" w:hAnsi="Arial" w:cs="Arial"/>
                <w:color w:val="000000"/>
                <w:sz w:val="18"/>
                <w:szCs w:val="18"/>
              </w:rPr>
            </w:pPr>
          </w:p>
        </w:tc>
      </w:tr>
      <w:tr w:rsidR="001C7E6F" w14:paraId="488616E0" w14:textId="77777777" w:rsidTr="00BD3046">
        <w:trPr>
          <w:trHeight w:val="20"/>
        </w:trPr>
        <w:tc>
          <w:tcPr>
            <w:tcW w:w="2263" w:type="dxa"/>
            <w:shd w:val="clear" w:color="auto" w:fill="auto"/>
            <w:vAlign w:val="center"/>
          </w:tcPr>
          <w:p w14:paraId="7E953CEE"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3.12 Capacidade institucional</w:t>
            </w:r>
          </w:p>
        </w:tc>
        <w:tc>
          <w:tcPr>
            <w:tcW w:w="6798" w:type="dxa"/>
            <w:shd w:val="clear" w:color="auto" w:fill="auto"/>
            <w:vAlign w:val="center"/>
          </w:tcPr>
          <w:p w14:paraId="3E4F8247" w14:textId="77777777" w:rsidR="001C7E6F" w:rsidRPr="00331E78" w:rsidRDefault="001C7E6F" w:rsidP="00BD3046">
            <w:pPr>
              <w:spacing w:after="0" w:line="240" w:lineRule="auto"/>
              <w:rPr>
                <w:rFonts w:ascii="Arial" w:eastAsia="Arial" w:hAnsi="Arial" w:cs="Arial"/>
                <w:i/>
                <w:color w:val="000000"/>
                <w:sz w:val="18"/>
                <w:szCs w:val="18"/>
              </w:rPr>
            </w:pPr>
            <w:r w:rsidRPr="00331E78">
              <w:rPr>
                <w:rFonts w:ascii="Arial" w:eastAsia="Arial" w:hAnsi="Arial" w:cs="Arial"/>
                <w:i/>
                <w:color w:val="000000"/>
                <w:sz w:val="18"/>
                <w:szCs w:val="18"/>
              </w:rPr>
              <w:t xml:space="preserve">Governança (equipe, processos e sistemas) suficiente para executar os recursos do Fundo. Inclui os sistemas de justiça, de controle interno e de controle externo. </w:t>
            </w:r>
          </w:p>
          <w:p w14:paraId="0B45B58A" w14:textId="77777777" w:rsidR="001C7E6F" w:rsidRDefault="001C7E6F" w:rsidP="00BD3046">
            <w:pPr>
              <w:spacing w:after="0" w:line="240" w:lineRule="auto"/>
              <w:rPr>
                <w:rFonts w:ascii="Arial" w:eastAsia="Arial" w:hAnsi="Arial" w:cs="Arial"/>
                <w:color w:val="000000"/>
                <w:sz w:val="18"/>
                <w:szCs w:val="18"/>
              </w:rPr>
            </w:pPr>
          </w:p>
          <w:p w14:paraId="0C521726" w14:textId="77777777" w:rsidR="001C7E6F" w:rsidRDefault="001C7E6F" w:rsidP="00BD3046">
            <w:pPr>
              <w:spacing w:after="0" w:line="240" w:lineRule="auto"/>
              <w:rPr>
                <w:rFonts w:ascii="Arial" w:eastAsia="Arial" w:hAnsi="Arial" w:cs="Arial"/>
                <w:color w:val="000000"/>
                <w:sz w:val="18"/>
                <w:szCs w:val="18"/>
              </w:rPr>
            </w:pPr>
            <w:r w:rsidRPr="00620D5D">
              <w:rPr>
                <w:rFonts w:ascii="Arial" w:eastAsia="Arial" w:hAnsi="Arial" w:cs="Arial"/>
                <w:color w:val="000000"/>
                <w:sz w:val="18"/>
                <w:szCs w:val="18"/>
              </w:rPr>
              <w:t xml:space="preserve">A capacidade institucional para gerir e executar os recursos do </w:t>
            </w:r>
            <w:r>
              <w:rPr>
                <w:rFonts w:ascii="Arial" w:eastAsia="Arial" w:hAnsi="Arial" w:cs="Arial"/>
                <w:color w:val="000000"/>
                <w:sz w:val="18"/>
                <w:szCs w:val="18"/>
              </w:rPr>
              <w:t>FECOEP-SP</w:t>
            </w:r>
            <w:r w:rsidRPr="00620D5D">
              <w:rPr>
                <w:rFonts w:ascii="Arial" w:eastAsia="Arial" w:hAnsi="Arial" w:cs="Arial"/>
                <w:color w:val="000000"/>
                <w:sz w:val="18"/>
                <w:szCs w:val="18"/>
              </w:rPr>
              <w:t xml:space="preserve"> e demais programas sociais no Estado de São Paulo é sustentada por uma estrutura de governança (equipe, processos e sistemas), abrangendo os Poderes Executivo, Legislativo e Judiciário, além dos sistemas de controle interno e externo</w:t>
            </w:r>
            <w:r>
              <w:rPr>
                <w:rFonts w:ascii="Arial" w:eastAsia="Arial" w:hAnsi="Arial" w:cs="Arial"/>
                <w:color w:val="000000"/>
                <w:sz w:val="18"/>
                <w:szCs w:val="18"/>
              </w:rPr>
              <w:t xml:space="preserve">. </w:t>
            </w:r>
            <w:r w:rsidRPr="00620D5D">
              <w:rPr>
                <w:rFonts w:ascii="Arial" w:eastAsia="Arial" w:hAnsi="Arial" w:cs="Arial"/>
                <w:color w:val="000000"/>
                <w:sz w:val="18"/>
                <w:szCs w:val="18"/>
              </w:rPr>
              <w:t>Contudo, a análise revela que, embora a infraestrutura de controle seja ampla, houve deficiências específicas na governança do FECOEP</w:t>
            </w:r>
            <w:r>
              <w:rPr>
                <w:rFonts w:ascii="Arial" w:eastAsia="Arial" w:hAnsi="Arial" w:cs="Arial"/>
                <w:color w:val="000000"/>
                <w:sz w:val="18"/>
                <w:szCs w:val="18"/>
              </w:rPr>
              <w:t>-SP</w:t>
            </w:r>
            <w:r w:rsidRPr="00620D5D">
              <w:rPr>
                <w:rFonts w:ascii="Arial" w:eastAsia="Arial" w:hAnsi="Arial" w:cs="Arial"/>
                <w:color w:val="000000"/>
                <w:sz w:val="18"/>
                <w:szCs w:val="18"/>
              </w:rPr>
              <w:t xml:space="preserve"> e na capacidade de suporte técnico em setores-chave.</w:t>
            </w:r>
          </w:p>
          <w:p w14:paraId="444EC021" w14:textId="77777777" w:rsidR="001C7E6F" w:rsidRDefault="001C7E6F" w:rsidP="00BD3046">
            <w:pPr>
              <w:spacing w:after="0" w:line="240" w:lineRule="auto"/>
              <w:rPr>
                <w:rFonts w:ascii="Arial" w:eastAsia="Arial" w:hAnsi="Arial" w:cs="Arial"/>
                <w:color w:val="000000"/>
                <w:sz w:val="18"/>
                <w:szCs w:val="18"/>
              </w:rPr>
            </w:pPr>
          </w:p>
          <w:p w14:paraId="1C2D9C17" w14:textId="77777777" w:rsidR="001C7E6F" w:rsidRDefault="001C7E6F" w:rsidP="00BD3046">
            <w:pPr>
              <w:spacing w:after="0" w:line="240" w:lineRule="auto"/>
              <w:rPr>
                <w:rFonts w:ascii="Arial" w:eastAsia="Arial" w:hAnsi="Arial" w:cs="Arial"/>
                <w:color w:val="000000"/>
                <w:sz w:val="18"/>
                <w:szCs w:val="18"/>
              </w:rPr>
            </w:pPr>
            <w:r w:rsidRPr="00620D5D">
              <w:rPr>
                <w:rFonts w:ascii="Arial" w:eastAsia="Arial" w:hAnsi="Arial" w:cs="Arial"/>
                <w:color w:val="000000"/>
                <w:sz w:val="18"/>
                <w:szCs w:val="18"/>
              </w:rPr>
              <w:t>O principal ponto de fragilidade na governança é a ausência de critérios claros para seleção de programas e ações beneficiadas, o que levou a recomendações de que o Conselho de Orientação e Acompanhamento (COA) atue de forma estratégica e coordenada</w:t>
            </w:r>
            <w:r>
              <w:rPr>
                <w:rFonts w:ascii="Arial" w:eastAsia="Arial" w:hAnsi="Arial" w:cs="Arial"/>
                <w:color w:val="000000"/>
                <w:sz w:val="18"/>
                <w:szCs w:val="18"/>
              </w:rPr>
              <w:t>.</w:t>
            </w:r>
          </w:p>
          <w:p w14:paraId="1CC9D9A0" w14:textId="77777777" w:rsidR="001C7E6F" w:rsidRDefault="001C7E6F" w:rsidP="00BD3046">
            <w:pPr>
              <w:spacing w:after="0" w:line="240" w:lineRule="auto"/>
              <w:rPr>
                <w:rFonts w:ascii="Arial" w:eastAsia="Arial" w:hAnsi="Arial" w:cs="Arial"/>
                <w:color w:val="000000"/>
                <w:sz w:val="18"/>
                <w:szCs w:val="18"/>
              </w:rPr>
            </w:pPr>
          </w:p>
          <w:p w14:paraId="06AE9C9B" w14:textId="77777777" w:rsidR="001C7E6F" w:rsidRDefault="001C7E6F" w:rsidP="00BD3046">
            <w:pPr>
              <w:spacing w:after="0" w:line="240" w:lineRule="auto"/>
              <w:rPr>
                <w:rFonts w:ascii="Arial" w:eastAsia="Arial" w:hAnsi="Arial" w:cs="Arial"/>
                <w:color w:val="000000"/>
                <w:sz w:val="18"/>
                <w:szCs w:val="18"/>
              </w:rPr>
            </w:pPr>
            <w:r w:rsidRPr="00620D5D">
              <w:rPr>
                <w:rFonts w:ascii="Arial" w:eastAsia="Arial" w:hAnsi="Arial" w:cs="Arial"/>
                <w:color w:val="000000"/>
                <w:sz w:val="18"/>
                <w:szCs w:val="18"/>
              </w:rPr>
              <w:t>Na execução de políticas sociais, a Secre</w:t>
            </w:r>
            <w:r>
              <w:rPr>
                <w:rFonts w:ascii="Arial" w:eastAsia="Arial" w:hAnsi="Arial" w:cs="Arial"/>
                <w:color w:val="000000"/>
                <w:sz w:val="18"/>
                <w:szCs w:val="18"/>
              </w:rPr>
              <w:t>taria de Desenvolvimento Social</w:t>
            </w:r>
            <w:r w:rsidRPr="00620D5D">
              <w:rPr>
                <w:rFonts w:ascii="Arial" w:eastAsia="Arial" w:hAnsi="Arial" w:cs="Arial"/>
                <w:color w:val="000000"/>
                <w:sz w:val="18"/>
                <w:szCs w:val="18"/>
              </w:rPr>
              <w:t xml:space="preserve">, responsável pela coordenação regional, apresentou atuação inadequada e/ou insuficiente na realização de atividades de apoio técnico aos municípios, o que é crítico, visto que a execução de serviços é municipalizada. Verificou-se que a maioria dos Centros de Referência (CRAS e CREAS) não tinha um canal de consulta com a SEDS sobre suas necessidades de capacitações. </w:t>
            </w:r>
            <w:r>
              <w:rPr>
                <w:rFonts w:ascii="Arial" w:eastAsia="Arial" w:hAnsi="Arial" w:cs="Arial"/>
                <w:color w:val="000000"/>
                <w:sz w:val="18"/>
                <w:szCs w:val="18"/>
              </w:rPr>
              <w:t xml:space="preserve">O TCE-SP recomendou a </w:t>
            </w:r>
            <w:r w:rsidRPr="00620D5D">
              <w:rPr>
                <w:rFonts w:ascii="Arial" w:eastAsia="Arial" w:hAnsi="Arial" w:cs="Arial"/>
                <w:color w:val="000000"/>
                <w:sz w:val="18"/>
                <w:szCs w:val="18"/>
              </w:rPr>
              <w:t>institui</w:t>
            </w:r>
            <w:r>
              <w:rPr>
                <w:rFonts w:ascii="Arial" w:eastAsia="Arial" w:hAnsi="Arial" w:cs="Arial"/>
                <w:color w:val="000000"/>
                <w:sz w:val="18"/>
                <w:szCs w:val="18"/>
              </w:rPr>
              <w:t xml:space="preserve">ção de </w:t>
            </w:r>
            <w:r w:rsidRPr="00620D5D">
              <w:rPr>
                <w:rFonts w:ascii="Arial" w:eastAsia="Arial" w:hAnsi="Arial" w:cs="Arial"/>
                <w:color w:val="000000"/>
                <w:sz w:val="18"/>
                <w:szCs w:val="18"/>
              </w:rPr>
              <w:t>um plano estadual de capacitação e educação permanente.</w:t>
            </w:r>
          </w:p>
          <w:p w14:paraId="73BA92BD" w14:textId="77777777" w:rsidR="001C7E6F" w:rsidRDefault="001C7E6F" w:rsidP="00BD3046">
            <w:pPr>
              <w:spacing w:after="0" w:line="240" w:lineRule="auto"/>
              <w:rPr>
                <w:rFonts w:ascii="Arial" w:eastAsia="Arial" w:hAnsi="Arial" w:cs="Arial"/>
                <w:color w:val="000000"/>
                <w:sz w:val="18"/>
                <w:szCs w:val="18"/>
              </w:rPr>
            </w:pPr>
          </w:p>
          <w:p w14:paraId="579C51D9" w14:textId="77777777" w:rsidR="001C7E6F" w:rsidRDefault="001C7E6F" w:rsidP="00BD3046">
            <w:pPr>
              <w:spacing w:after="0" w:line="240" w:lineRule="auto"/>
              <w:rPr>
                <w:rFonts w:ascii="Arial" w:eastAsia="Arial" w:hAnsi="Arial" w:cs="Arial"/>
                <w:color w:val="000000"/>
                <w:sz w:val="18"/>
                <w:szCs w:val="18"/>
              </w:rPr>
            </w:pPr>
            <w:r w:rsidRPr="00620D5D">
              <w:rPr>
                <w:rFonts w:ascii="Arial" w:eastAsia="Arial" w:hAnsi="Arial" w:cs="Arial"/>
                <w:color w:val="000000"/>
                <w:sz w:val="18"/>
                <w:szCs w:val="18"/>
              </w:rPr>
              <w:t>Os sistemas de controle em São Paulo são estruturados e financiados para fiscalizar o gasto público, incluindo fundos.</w:t>
            </w:r>
          </w:p>
          <w:p w14:paraId="22FCCEF8" w14:textId="77777777" w:rsidR="001C7E6F" w:rsidRDefault="001C7E6F" w:rsidP="00BD3046">
            <w:pPr>
              <w:spacing w:after="0" w:line="240" w:lineRule="auto"/>
              <w:rPr>
                <w:rFonts w:ascii="Arial" w:eastAsia="Arial" w:hAnsi="Arial" w:cs="Arial"/>
                <w:color w:val="000000"/>
                <w:sz w:val="18"/>
                <w:szCs w:val="18"/>
              </w:rPr>
            </w:pPr>
          </w:p>
          <w:p w14:paraId="579CD177" w14:textId="77777777" w:rsidR="001C7E6F" w:rsidRDefault="001C7E6F" w:rsidP="00BD3046">
            <w:pPr>
              <w:spacing w:after="0" w:line="240" w:lineRule="auto"/>
              <w:rPr>
                <w:rFonts w:ascii="Arial" w:eastAsia="Arial" w:hAnsi="Arial" w:cs="Arial"/>
                <w:color w:val="000000"/>
                <w:sz w:val="18"/>
                <w:szCs w:val="18"/>
              </w:rPr>
            </w:pPr>
            <w:r w:rsidRPr="00620D5D">
              <w:rPr>
                <w:rFonts w:ascii="Arial" w:eastAsia="Arial" w:hAnsi="Arial" w:cs="Arial"/>
                <w:color w:val="000000"/>
                <w:sz w:val="18"/>
                <w:szCs w:val="18"/>
              </w:rPr>
              <w:t>O controle interno deve avaliar o cumprimento das metas do PPA, comprovar a legalidade e avaliar os resultados quanto à eficácia e eficiência da gestão. A CGE é responsável por fiscalizar o atendimento dos limites constitucionais e legais de aplicação de recursos públicos em finalidades específicas</w:t>
            </w:r>
            <w:r>
              <w:rPr>
                <w:rFonts w:ascii="Arial" w:eastAsia="Arial" w:hAnsi="Arial" w:cs="Arial"/>
                <w:color w:val="000000"/>
                <w:sz w:val="18"/>
                <w:szCs w:val="18"/>
              </w:rPr>
              <w:t>.</w:t>
            </w:r>
          </w:p>
          <w:p w14:paraId="361CA61C" w14:textId="77777777" w:rsidR="001C7E6F" w:rsidRDefault="001C7E6F" w:rsidP="00BD3046">
            <w:pPr>
              <w:spacing w:after="0" w:line="240" w:lineRule="auto"/>
              <w:rPr>
                <w:rFonts w:ascii="Arial" w:eastAsia="Arial" w:hAnsi="Arial" w:cs="Arial"/>
                <w:color w:val="000000"/>
                <w:sz w:val="18"/>
                <w:szCs w:val="18"/>
              </w:rPr>
            </w:pPr>
          </w:p>
          <w:p w14:paraId="041D5EE3" w14:textId="77777777" w:rsidR="001C7E6F" w:rsidRDefault="001C7E6F" w:rsidP="00BD3046">
            <w:pPr>
              <w:spacing w:after="0" w:line="240" w:lineRule="auto"/>
              <w:rPr>
                <w:rFonts w:ascii="Arial" w:eastAsia="Arial" w:hAnsi="Arial" w:cs="Arial"/>
                <w:color w:val="000000"/>
                <w:sz w:val="18"/>
                <w:szCs w:val="18"/>
              </w:rPr>
            </w:pPr>
            <w:r w:rsidRPr="00620D5D">
              <w:rPr>
                <w:rFonts w:ascii="Arial" w:eastAsia="Arial" w:hAnsi="Arial" w:cs="Arial"/>
                <w:color w:val="000000"/>
                <w:sz w:val="18"/>
                <w:szCs w:val="18"/>
              </w:rPr>
              <w:t>O TCE-SP pode aplicar sanções, assinar prazo para que o órgão ou entidade adote as providências necessárias ao exato cumprimento da lei, e representar ao Poder competente sobre irregularidades ou abusos apurados</w:t>
            </w:r>
            <w:r>
              <w:rPr>
                <w:rFonts w:ascii="Arial" w:eastAsia="Arial" w:hAnsi="Arial" w:cs="Arial"/>
                <w:color w:val="000000"/>
                <w:sz w:val="18"/>
                <w:szCs w:val="18"/>
              </w:rPr>
              <w:t>.</w:t>
            </w:r>
          </w:p>
          <w:p w14:paraId="75CDCE5A" w14:textId="77777777" w:rsidR="001C7E6F" w:rsidRDefault="001C7E6F" w:rsidP="00BD3046">
            <w:pPr>
              <w:spacing w:after="0" w:line="240" w:lineRule="auto"/>
              <w:rPr>
                <w:rFonts w:ascii="Arial" w:eastAsia="Arial" w:hAnsi="Arial" w:cs="Arial"/>
                <w:color w:val="000000"/>
                <w:sz w:val="18"/>
                <w:szCs w:val="18"/>
              </w:rPr>
            </w:pPr>
          </w:p>
          <w:p w14:paraId="7372531F" w14:textId="77777777" w:rsidR="001C7E6F" w:rsidRDefault="001C7E6F" w:rsidP="00BD3046">
            <w:pPr>
              <w:spacing w:after="0" w:line="240" w:lineRule="auto"/>
              <w:rPr>
                <w:rFonts w:ascii="Arial" w:eastAsia="Arial" w:hAnsi="Arial" w:cs="Arial"/>
                <w:color w:val="000000"/>
                <w:sz w:val="18"/>
                <w:szCs w:val="18"/>
              </w:rPr>
            </w:pPr>
            <w:r w:rsidRPr="00620D5D">
              <w:rPr>
                <w:rFonts w:ascii="Arial" w:eastAsia="Arial" w:hAnsi="Arial" w:cs="Arial"/>
                <w:color w:val="000000"/>
                <w:sz w:val="18"/>
                <w:szCs w:val="18"/>
              </w:rPr>
              <w:t>O sistema de justiça (Tribunal de Justiça, Ministério Público e Defensoria Pública) possui autonomia administrativa e financeira e investe em tecnologia e capacitação para dar suporte ao</w:t>
            </w:r>
            <w:r>
              <w:rPr>
                <w:rFonts w:ascii="Arial" w:eastAsia="Arial" w:hAnsi="Arial" w:cs="Arial"/>
                <w:color w:val="000000"/>
                <w:sz w:val="18"/>
                <w:szCs w:val="18"/>
              </w:rPr>
              <w:t xml:space="preserve"> controle social e à legalidade. O </w:t>
            </w:r>
            <w:r w:rsidRPr="00620D5D">
              <w:rPr>
                <w:rFonts w:ascii="Arial" w:eastAsia="Arial" w:hAnsi="Arial" w:cs="Arial"/>
                <w:color w:val="000000"/>
                <w:sz w:val="18"/>
                <w:szCs w:val="18"/>
              </w:rPr>
              <w:t xml:space="preserve">Ministério Público tem a atribuição de defender os interesses sociais e individuais indisponíveis e exercer a fiscalização dos estabelecimentos abriguem idosos, menores ou incapazes. </w:t>
            </w:r>
            <w:r>
              <w:rPr>
                <w:rFonts w:ascii="Arial" w:eastAsia="Arial" w:hAnsi="Arial" w:cs="Arial"/>
                <w:color w:val="000000"/>
                <w:sz w:val="18"/>
                <w:szCs w:val="18"/>
              </w:rPr>
              <w:t xml:space="preserve">A </w:t>
            </w:r>
            <w:r w:rsidRPr="00620D5D">
              <w:rPr>
                <w:rFonts w:ascii="Arial" w:eastAsia="Arial" w:hAnsi="Arial" w:cs="Arial"/>
                <w:color w:val="000000"/>
                <w:sz w:val="18"/>
                <w:szCs w:val="18"/>
              </w:rPr>
              <w:t xml:space="preserve">Procuradoria Geral do Estado atua na Advocacia do Estado e no contencioso tributário. É o órgão que representa judicial e extrajudicialmente o Estado, sendo responsável por assessorar o Governador na verificação prévia da legalidade dos atos de </w:t>
            </w:r>
            <w:r>
              <w:rPr>
                <w:rFonts w:ascii="Arial" w:eastAsia="Arial" w:hAnsi="Arial" w:cs="Arial"/>
                <w:color w:val="000000"/>
                <w:sz w:val="18"/>
                <w:szCs w:val="18"/>
              </w:rPr>
              <w:t>gestão</w:t>
            </w:r>
            <w:r w:rsidRPr="00620D5D">
              <w:rPr>
                <w:rFonts w:ascii="Arial" w:eastAsia="Arial" w:hAnsi="Arial" w:cs="Arial"/>
                <w:color w:val="000000"/>
                <w:sz w:val="18"/>
                <w:szCs w:val="18"/>
              </w:rPr>
              <w:t>.</w:t>
            </w:r>
            <w:r>
              <w:rPr>
                <w:rFonts w:ascii="Arial" w:eastAsia="Arial" w:hAnsi="Arial" w:cs="Arial"/>
                <w:color w:val="000000"/>
                <w:sz w:val="18"/>
                <w:szCs w:val="18"/>
              </w:rPr>
              <w:t xml:space="preserve"> Já a </w:t>
            </w:r>
            <w:r w:rsidRPr="00620D5D">
              <w:rPr>
                <w:rFonts w:ascii="Arial" w:eastAsia="Arial" w:hAnsi="Arial" w:cs="Arial"/>
                <w:color w:val="000000"/>
                <w:sz w:val="18"/>
                <w:szCs w:val="18"/>
              </w:rPr>
              <w:t xml:space="preserve">Defensoria Pública, com autonomia funcional e administrativa, </w:t>
            </w:r>
            <w:r>
              <w:rPr>
                <w:rFonts w:ascii="Arial" w:eastAsia="Arial" w:hAnsi="Arial" w:cs="Arial"/>
                <w:color w:val="000000"/>
                <w:sz w:val="18"/>
                <w:szCs w:val="18"/>
              </w:rPr>
              <w:t xml:space="preserve">tem como </w:t>
            </w:r>
            <w:r w:rsidRPr="00620D5D">
              <w:rPr>
                <w:rFonts w:ascii="Arial" w:eastAsia="Arial" w:hAnsi="Arial" w:cs="Arial"/>
                <w:color w:val="000000"/>
                <w:sz w:val="18"/>
                <w:szCs w:val="18"/>
              </w:rPr>
              <w:t>principal missão garantir o acesso à justiça para a população vulnerável.</w:t>
            </w:r>
          </w:p>
          <w:p w14:paraId="03EBB2FE" w14:textId="77777777" w:rsidR="001C7E6F" w:rsidRPr="00620D5D" w:rsidRDefault="001C7E6F" w:rsidP="00BD3046">
            <w:pPr>
              <w:spacing w:after="0" w:line="240" w:lineRule="auto"/>
              <w:rPr>
                <w:rFonts w:ascii="Arial" w:eastAsia="Arial" w:hAnsi="Arial" w:cs="Arial"/>
                <w:color w:val="000000"/>
                <w:sz w:val="18"/>
                <w:szCs w:val="18"/>
              </w:rPr>
            </w:pPr>
          </w:p>
          <w:p w14:paraId="043E6EF4"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Dessa forma, São Paulo possui</w:t>
            </w:r>
            <w:r w:rsidRPr="00620D5D">
              <w:rPr>
                <w:rFonts w:ascii="Arial" w:eastAsia="Arial" w:hAnsi="Arial" w:cs="Arial"/>
                <w:color w:val="000000"/>
                <w:sz w:val="18"/>
                <w:szCs w:val="18"/>
              </w:rPr>
              <w:t xml:space="preserve"> capacidade instituc</w:t>
            </w:r>
            <w:r>
              <w:rPr>
                <w:rFonts w:ascii="Arial" w:eastAsia="Arial" w:hAnsi="Arial" w:cs="Arial"/>
                <w:color w:val="000000"/>
                <w:sz w:val="18"/>
                <w:szCs w:val="18"/>
              </w:rPr>
              <w:t xml:space="preserve">ional, tecnológica e financeira </w:t>
            </w:r>
            <w:r w:rsidRPr="00620D5D">
              <w:rPr>
                <w:rFonts w:ascii="Arial" w:eastAsia="Arial" w:hAnsi="Arial" w:cs="Arial"/>
                <w:color w:val="000000"/>
                <w:sz w:val="18"/>
                <w:szCs w:val="18"/>
              </w:rPr>
              <w:t>necessária e bem financiada para executar e controlar os recursos do Fundo. No entanto, a eficácia dessa capacidade em relação ao FECOEP</w:t>
            </w:r>
            <w:r>
              <w:rPr>
                <w:rFonts w:ascii="Arial" w:eastAsia="Arial" w:hAnsi="Arial" w:cs="Arial"/>
                <w:color w:val="000000"/>
                <w:sz w:val="18"/>
                <w:szCs w:val="18"/>
              </w:rPr>
              <w:t>-SP</w:t>
            </w:r>
            <w:r w:rsidRPr="00620D5D">
              <w:rPr>
                <w:rFonts w:ascii="Arial" w:eastAsia="Arial" w:hAnsi="Arial" w:cs="Arial"/>
                <w:color w:val="000000"/>
                <w:sz w:val="18"/>
                <w:szCs w:val="18"/>
              </w:rPr>
              <w:t xml:space="preserve"> foi comprometida pela falta de rigor nos processos de governança (critérios de alocação) e na capacidade de suporte técnico setorial (SEDS), o que exigiu intervenção corretiva dos órgãos de controle para garantir a probidade e a conformidade.</w:t>
            </w:r>
          </w:p>
          <w:p w14:paraId="6A332E5A" w14:textId="77777777" w:rsidR="001C7E6F" w:rsidRDefault="001C7E6F" w:rsidP="00BD3046">
            <w:pPr>
              <w:spacing w:after="0" w:line="240" w:lineRule="auto"/>
              <w:rPr>
                <w:rFonts w:ascii="Arial" w:eastAsia="Arial" w:hAnsi="Arial" w:cs="Arial"/>
                <w:color w:val="000000"/>
                <w:sz w:val="18"/>
                <w:szCs w:val="18"/>
              </w:rPr>
            </w:pPr>
          </w:p>
        </w:tc>
      </w:tr>
      <w:tr w:rsidR="001C7E6F" w14:paraId="37819E5A" w14:textId="77777777" w:rsidTr="00BD3046">
        <w:trPr>
          <w:trHeight w:val="397"/>
        </w:trPr>
        <w:tc>
          <w:tcPr>
            <w:tcW w:w="9061" w:type="dxa"/>
            <w:gridSpan w:val="2"/>
            <w:shd w:val="clear" w:color="auto" w:fill="auto"/>
            <w:vAlign w:val="center"/>
          </w:tcPr>
          <w:p w14:paraId="5B286398" w14:textId="77777777" w:rsidR="001C7E6F" w:rsidRDefault="001C7E6F" w:rsidP="00BD3046">
            <w:pPr>
              <w:spacing w:after="0" w:line="240" w:lineRule="auto"/>
              <w:jc w:val="center"/>
              <w:rPr>
                <w:rFonts w:ascii="Arial" w:eastAsia="Arial" w:hAnsi="Arial" w:cs="Arial"/>
                <w:color w:val="000000"/>
                <w:sz w:val="18"/>
                <w:szCs w:val="18"/>
              </w:rPr>
            </w:pPr>
            <w:r>
              <w:rPr>
                <w:rFonts w:ascii="Arial" w:eastAsia="Arial" w:hAnsi="Arial" w:cs="Arial"/>
                <w:b/>
                <w:color w:val="000000"/>
                <w:sz w:val="18"/>
                <w:szCs w:val="18"/>
              </w:rPr>
              <w:lastRenderedPageBreak/>
              <w:t>Diagnóstico do Fundo de Combate à Pobreza</w:t>
            </w:r>
          </w:p>
        </w:tc>
      </w:tr>
      <w:tr w:rsidR="001C7E6F" w14:paraId="01CA64C0" w14:textId="77777777" w:rsidTr="00BD3046">
        <w:trPr>
          <w:trHeight w:val="20"/>
        </w:trPr>
        <w:tc>
          <w:tcPr>
            <w:tcW w:w="2263" w:type="dxa"/>
            <w:shd w:val="clear" w:color="auto" w:fill="auto"/>
            <w:vAlign w:val="center"/>
          </w:tcPr>
          <w:p w14:paraId="02A4BE43"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Perfil dos Eixos e Dimensões do Fundo</w:t>
            </w:r>
          </w:p>
        </w:tc>
        <w:tc>
          <w:tcPr>
            <w:tcW w:w="6798" w:type="dxa"/>
            <w:shd w:val="clear" w:color="auto" w:fill="auto"/>
            <w:vAlign w:val="center"/>
          </w:tcPr>
          <w:p w14:paraId="0523C279" w14:textId="77777777" w:rsidR="001C7E6F" w:rsidRDefault="001C7E6F" w:rsidP="00BD3046">
            <w:pPr>
              <w:spacing w:after="0" w:line="240" w:lineRule="auto"/>
              <w:rPr>
                <w:rFonts w:ascii="Arial" w:eastAsia="Arial" w:hAnsi="Arial" w:cs="Arial"/>
                <w:i/>
                <w:color w:val="000000"/>
                <w:sz w:val="18"/>
                <w:szCs w:val="18"/>
              </w:rPr>
            </w:pPr>
            <w:r w:rsidRPr="005238A8">
              <w:rPr>
                <w:rFonts w:ascii="Arial" w:eastAsia="Arial" w:hAnsi="Arial" w:cs="Arial"/>
                <w:i/>
                <w:color w:val="000000"/>
                <w:sz w:val="18"/>
                <w:szCs w:val="18"/>
              </w:rPr>
              <w:t>Identificação d</w:t>
            </w:r>
            <w:r w:rsidRPr="005238A8">
              <w:rPr>
                <w:rFonts w:ascii="Arial" w:eastAsia="Arial" w:hAnsi="Arial" w:cs="Arial"/>
                <w:i/>
                <w:sz w:val="18"/>
                <w:szCs w:val="18"/>
              </w:rPr>
              <w:t>os</w:t>
            </w:r>
            <w:r w:rsidRPr="005238A8">
              <w:rPr>
                <w:rFonts w:ascii="Arial" w:eastAsia="Arial" w:hAnsi="Arial" w:cs="Arial"/>
                <w:i/>
                <w:color w:val="000000"/>
                <w:sz w:val="18"/>
                <w:szCs w:val="18"/>
              </w:rPr>
              <w:t xml:space="preserve"> gargalos estruturais, separa causas de sintomas e cria uma linha de base mensurável, possibilitando priorizar as ações preventivas e de contingências por criticidade e impacto. Em termos metodológicos, o perfil é a leitura granular do Fundo, identificando forças e fragilidades por eixo e dimensão.</w:t>
            </w:r>
          </w:p>
          <w:p w14:paraId="47E83CED" w14:textId="77777777" w:rsidR="001C7E6F" w:rsidRDefault="001C7E6F" w:rsidP="00BD3046">
            <w:pPr>
              <w:spacing w:after="0" w:line="240" w:lineRule="auto"/>
              <w:rPr>
                <w:rFonts w:ascii="Arial" w:eastAsia="Arial" w:hAnsi="Arial" w:cs="Arial"/>
                <w:i/>
                <w:color w:val="000000"/>
                <w:sz w:val="18"/>
                <w:szCs w:val="18"/>
              </w:rPr>
            </w:pPr>
          </w:p>
          <w:p w14:paraId="33763DEF" w14:textId="77777777" w:rsidR="001C7E6F" w:rsidRPr="005238A8" w:rsidRDefault="001C7E6F" w:rsidP="00BD3046">
            <w:pPr>
              <w:spacing w:after="0" w:line="240" w:lineRule="auto"/>
              <w:rPr>
                <w:rFonts w:ascii="Arial" w:eastAsia="Arial" w:hAnsi="Arial" w:cs="Arial"/>
                <w:i/>
                <w:color w:val="000000"/>
                <w:sz w:val="18"/>
                <w:szCs w:val="18"/>
              </w:rPr>
            </w:pPr>
          </w:p>
          <w:p w14:paraId="5A32CF51" w14:textId="77777777" w:rsidR="001C7E6F" w:rsidRDefault="001C7E6F" w:rsidP="00BD3046">
            <w:pPr>
              <w:spacing w:after="0" w:line="240" w:lineRule="auto"/>
              <w:rPr>
                <w:rFonts w:ascii="Arial" w:eastAsia="Arial" w:hAnsi="Arial" w:cs="Arial"/>
                <w:color w:val="000000"/>
                <w:sz w:val="18"/>
                <w:szCs w:val="18"/>
              </w:rPr>
            </w:pPr>
          </w:p>
          <w:p w14:paraId="6A4839EE" w14:textId="77777777" w:rsidR="001C7E6F" w:rsidRPr="00ED5BA3" w:rsidRDefault="001C7E6F" w:rsidP="00BD3046">
            <w:pPr>
              <w:spacing w:after="0" w:line="240" w:lineRule="auto"/>
              <w:rPr>
                <w:rFonts w:ascii="Arial" w:eastAsia="Arial" w:hAnsi="Arial" w:cs="Arial"/>
                <w:color w:val="000000"/>
                <w:sz w:val="18"/>
                <w:szCs w:val="18"/>
              </w:rPr>
            </w:pPr>
            <w:r>
              <w:rPr>
                <w:rFonts w:ascii="Arial" w:eastAsia="Arial" w:hAnsi="Arial" w:cs="Arial"/>
                <w:b/>
                <w:color w:val="000000"/>
                <w:sz w:val="18"/>
                <w:szCs w:val="18"/>
              </w:rPr>
              <w:t xml:space="preserve">1. </w:t>
            </w:r>
            <w:r w:rsidRPr="00ED5BA3">
              <w:rPr>
                <w:rFonts w:ascii="Arial" w:eastAsia="Arial" w:hAnsi="Arial" w:cs="Arial"/>
                <w:b/>
                <w:color w:val="000000"/>
                <w:sz w:val="18"/>
                <w:szCs w:val="18"/>
              </w:rPr>
              <w:t>Eixo de Responsabilidade Arrecadatória</w:t>
            </w:r>
            <w:r>
              <w:rPr>
                <w:rFonts w:ascii="Arial" w:eastAsia="Arial" w:hAnsi="Arial" w:cs="Arial"/>
                <w:color w:val="000000"/>
                <w:sz w:val="18"/>
                <w:szCs w:val="18"/>
              </w:rPr>
              <w:t xml:space="preserve"> - </w:t>
            </w:r>
            <w:r w:rsidRPr="00ED5BA3">
              <w:rPr>
                <w:rFonts w:ascii="Arial" w:eastAsia="Arial" w:hAnsi="Arial" w:cs="Arial"/>
                <w:color w:val="000000"/>
                <w:sz w:val="18"/>
                <w:szCs w:val="18"/>
              </w:rPr>
              <w:t>88% (perfil Pleno).</w:t>
            </w:r>
          </w:p>
          <w:p w14:paraId="6FE341B0" w14:textId="77777777" w:rsidR="001C7E6F" w:rsidRPr="00ED5BA3" w:rsidRDefault="001C7E6F" w:rsidP="00BD3046">
            <w:pPr>
              <w:spacing w:after="0" w:line="240" w:lineRule="auto"/>
              <w:rPr>
                <w:rFonts w:ascii="Arial" w:eastAsia="Arial" w:hAnsi="Arial" w:cs="Arial"/>
                <w:color w:val="000000"/>
                <w:sz w:val="18"/>
                <w:szCs w:val="18"/>
              </w:rPr>
            </w:pPr>
          </w:p>
          <w:p w14:paraId="7C5C0228" w14:textId="77777777" w:rsidR="001C7E6F" w:rsidRPr="005238A8" w:rsidRDefault="001C7E6F" w:rsidP="0032733E">
            <w:pPr>
              <w:pStyle w:val="PargrafodaLista"/>
              <w:numPr>
                <w:ilvl w:val="0"/>
                <w:numId w:val="11"/>
              </w:numPr>
              <w:spacing w:after="0" w:line="240" w:lineRule="auto"/>
              <w:rPr>
                <w:rFonts w:eastAsia="Arial"/>
                <w:color w:val="000000"/>
                <w:sz w:val="18"/>
                <w:szCs w:val="18"/>
              </w:rPr>
            </w:pPr>
            <w:r w:rsidRPr="005238A8">
              <w:rPr>
                <w:rFonts w:eastAsia="Arial"/>
                <w:color w:val="000000"/>
                <w:sz w:val="18"/>
                <w:szCs w:val="18"/>
              </w:rPr>
              <w:t>Jurídico-Estrutural (100%, Pleno): indica segurança normativa do Fundo, com bases constitucionais e legais bem definidas, assegurando previsibilidade da arrecadação.</w:t>
            </w:r>
          </w:p>
          <w:p w14:paraId="70CBB73B" w14:textId="77777777" w:rsidR="001C7E6F" w:rsidRPr="00ED5BA3" w:rsidRDefault="001C7E6F" w:rsidP="00BD3046">
            <w:pPr>
              <w:spacing w:after="0" w:line="240" w:lineRule="auto"/>
              <w:rPr>
                <w:rFonts w:ascii="Arial" w:eastAsia="Arial" w:hAnsi="Arial" w:cs="Arial"/>
                <w:color w:val="000000"/>
                <w:sz w:val="18"/>
                <w:szCs w:val="18"/>
              </w:rPr>
            </w:pPr>
          </w:p>
          <w:p w14:paraId="524158A1" w14:textId="77777777" w:rsidR="001C7E6F" w:rsidRPr="005238A8" w:rsidRDefault="001C7E6F" w:rsidP="0032733E">
            <w:pPr>
              <w:pStyle w:val="PargrafodaLista"/>
              <w:numPr>
                <w:ilvl w:val="0"/>
                <w:numId w:val="11"/>
              </w:numPr>
              <w:spacing w:after="0" w:line="240" w:lineRule="auto"/>
              <w:rPr>
                <w:rFonts w:eastAsia="Arial"/>
                <w:color w:val="000000"/>
                <w:sz w:val="18"/>
                <w:szCs w:val="18"/>
              </w:rPr>
            </w:pPr>
            <w:r w:rsidRPr="005238A8">
              <w:rPr>
                <w:rFonts w:eastAsia="Arial"/>
                <w:color w:val="000000"/>
                <w:sz w:val="18"/>
                <w:szCs w:val="18"/>
              </w:rPr>
              <w:t>Financeira e Orçamentária (50%, Intermediário): revela fragilidade na regularidade e proporcionalidade da receita, sugerindo riscos de flutuação ou substituição de despesas ordinárias.</w:t>
            </w:r>
          </w:p>
          <w:p w14:paraId="2FF1FE9E" w14:textId="77777777" w:rsidR="001C7E6F" w:rsidRPr="005238A8" w:rsidRDefault="001C7E6F" w:rsidP="0032733E">
            <w:pPr>
              <w:pStyle w:val="PargrafodaLista"/>
              <w:numPr>
                <w:ilvl w:val="0"/>
                <w:numId w:val="11"/>
              </w:numPr>
              <w:spacing w:after="0" w:line="240" w:lineRule="auto"/>
              <w:rPr>
                <w:rFonts w:eastAsia="Arial"/>
                <w:color w:val="000000"/>
                <w:sz w:val="18"/>
                <w:szCs w:val="18"/>
              </w:rPr>
            </w:pPr>
            <w:r w:rsidRPr="005238A8">
              <w:rPr>
                <w:rFonts w:eastAsia="Arial"/>
                <w:color w:val="000000"/>
                <w:sz w:val="18"/>
                <w:szCs w:val="18"/>
              </w:rPr>
              <w:t>Político-Institucional (100%, Pleno): demonstra reconhecimento e legitimidade do Fundo no arranjo federativo e no sistema de políticas sociais.</w:t>
            </w:r>
          </w:p>
          <w:p w14:paraId="71C1BCFA" w14:textId="77777777" w:rsidR="001C7E6F" w:rsidRPr="005238A8" w:rsidRDefault="001C7E6F" w:rsidP="0032733E">
            <w:pPr>
              <w:pStyle w:val="PargrafodaLista"/>
              <w:numPr>
                <w:ilvl w:val="0"/>
                <w:numId w:val="11"/>
              </w:numPr>
              <w:spacing w:after="0" w:line="240" w:lineRule="auto"/>
              <w:rPr>
                <w:rFonts w:eastAsia="Arial"/>
                <w:color w:val="000000"/>
                <w:sz w:val="18"/>
                <w:szCs w:val="18"/>
              </w:rPr>
            </w:pPr>
            <w:r w:rsidRPr="005238A8">
              <w:rPr>
                <w:rFonts w:eastAsia="Arial"/>
                <w:color w:val="000000"/>
                <w:sz w:val="18"/>
                <w:szCs w:val="18"/>
              </w:rPr>
              <w:t>Participativa e de Transparência (100%, Pleno): reforça boas práticas de divulgação e controle social sobre a arrecadação.</w:t>
            </w:r>
          </w:p>
          <w:p w14:paraId="307BAAE6" w14:textId="77777777" w:rsidR="001C7E6F" w:rsidRDefault="001C7E6F" w:rsidP="00BD3046">
            <w:pPr>
              <w:spacing w:after="0" w:line="240" w:lineRule="auto"/>
              <w:rPr>
                <w:rFonts w:ascii="Arial" w:eastAsia="Arial" w:hAnsi="Arial" w:cs="Arial"/>
                <w:color w:val="000000"/>
                <w:sz w:val="18"/>
                <w:szCs w:val="18"/>
              </w:rPr>
            </w:pPr>
          </w:p>
          <w:p w14:paraId="1357F893" w14:textId="77777777" w:rsidR="001C7E6F" w:rsidRDefault="001C7E6F" w:rsidP="00BD3046">
            <w:pPr>
              <w:spacing w:after="0" w:line="240" w:lineRule="auto"/>
              <w:rPr>
                <w:rFonts w:ascii="Arial" w:eastAsia="Arial" w:hAnsi="Arial" w:cs="Arial"/>
                <w:color w:val="000000"/>
                <w:sz w:val="18"/>
                <w:szCs w:val="18"/>
              </w:rPr>
            </w:pPr>
            <w:r w:rsidRPr="00ED5BA3">
              <w:rPr>
                <w:rFonts w:ascii="Arial" w:eastAsia="Arial" w:hAnsi="Arial" w:cs="Arial"/>
                <w:color w:val="000000"/>
                <w:sz w:val="18"/>
                <w:szCs w:val="18"/>
              </w:rPr>
              <w:t>O eixo mostra estrutura normativa e legitimidade consolidadas, mas com vulnerabilidade na dimensão financeira (possível oscilação ou inconsistência nos repasses).</w:t>
            </w:r>
          </w:p>
          <w:p w14:paraId="30E7C9AA" w14:textId="77777777" w:rsidR="001C7E6F" w:rsidRDefault="001C7E6F" w:rsidP="00BD3046">
            <w:pPr>
              <w:spacing w:after="0" w:line="240" w:lineRule="auto"/>
              <w:rPr>
                <w:rFonts w:ascii="Arial" w:eastAsia="Arial" w:hAnsi="Arial" w:cs="Arial"/>
                <w:color w:val="000000"/>
                <w:sz w:val="18"/>
                <w:szCs w:val="18"/>
              </w:rPr>
            </w:pPr>
          </w:p>
          <w:p w14:paraId="47304351" w14:textId="77777777" w:rsidR="001C7E6F" w:rsidRPr="00ED5BA3" w:rsidRDefault="001C7E6F" w:rsidP="00BD3046">
            <w:pPr>
              <w:spacing w:after="0" w:line="240" w:lineRule="auto"/>
              <w:rPr>
                <w:rFonts w:ascii="Arial" w:eastAsia="Arial" w:hAnsi="Arial" w:cs="Arial"/>
                <w:color w:val="000000"/>
                <w:sz w:val="18"/>
                <w:szCs w:val="18"/>
              </w:rPr>
            </w:pPr>
            <w:r>
              <w:rPr>
                <w:rFonts w:ascii="Arial" w:eastAsia="Arial" w:hAnsi="Arial" w:cs="Arial"/>
                <w:b/>
                <w:color w:val="000000"/>
                <w:sz w:val="18"/>
                <w:szCs w:val="18"/>
              </w:rPr>
              <w:t xml:space="preserve">2. </w:t>
            </w:r>
            <w:r w:rsidRPr="00ED5BA3">
              <w:rPr>
                <w:rFonts w:ascii="Arial" w:eastAsia="Arial" w:hAnsi="Arial" w:cs="Arial"/>
                <w:b/>
                <w:color w:val="000000"/>
                <w:sz w:val="18"/>
                <w:szCs w:val="18"/>
              </w:rPr>
              <w:t>Eixo de Planejamento Orçamentário</w:t>
            </w:r>
            <w:r>
              <w:rPr>
                <w:rFonts w:ascii="Arial" w:eastAsia="Arial" w:hAnsi="Arial" w:cs="Arial"/>
                <w:color w:val="000000"/>
                <w:sz w:val="18"/>
                <w:szCs w:val="18"/>
              </w:rPr>
              <w:t xml:space="preserve"> - 54% (</w:t>
            </w:r>
            <w:r w:rsidRPr="00ED5BA3">
              <w:rPr>
                <w:rFonts w:ascii="Arial" w:eastAsia="Arial" w:hAnsi="Arial" w:cs="Arial"/>
                <w:color w:val="000000"/>
                <w:sz w:val="18"/>
                <w:szCs w:val="18"/>
              </w:rPr>
              <w:t>perfil Intermediário</w:t>
            </w:r>
            <w:r>
              <w:rPr>
                <w:rFonts w:ascii="Arial" w:eastAsia="Arial" w:hAnsi="Arial" w:cs="Arial"/>
                <w:color w:val="000000"/>
                <w:sz w:val="18"/>
                <w:szCs w:val="18"/>
              </w:rPr>
              <w:t xml:space="preserve">), com </w:t>
            </w:r>
            <w:r w:rsidRPr="00ED5BA3">
              <w:rPr>
                <w:rFonts w:ascii="Arial" w:eastAsia="Arial" w:hAnsi="Arial" w:cs="Arial"/>
                <w:color w:val="000000"/>
                <w:sz w:val="18"/>
                <w:szCs w:val="18"/>
              </w:rPr>
              <w:t xml:space="preserve">grande heterogeneidade entre </w:t>
            </w:r>
            <w:r>
              <w:rPr>
                <w:rFonts w:ascii="Arial" w:eastAsia="Arial" w:hAnsi="Arial" w:cs="Arial"/>
                <w:color w:val="000000"/>
                <w:sz w:val="18"/>
                <w:szCs w:val="18"/>
              </w:rPr>
              <w:t xml:space="preserve">as </w:t>
            </w:r>
            <w:r w:rsidRPr="00ED5BA3">
              <w:rPr>
                <w:rFonts w:ascii="Arial" w:eastAsia="Arial" w:hAnsi="Arial" w:cs="Arial"/>
                <w:color w:val="000000"/>
                <w:sz w:val="18"/>
                <w:szCs w:val="18"/>
              </w:rPr>
              <w:t>dimensões.</w:t>
            </w:r>
          </w:p>
          <w:p w14:paraId="21935BFC" w14:textId="77777777" w:rsidR="001C7E6F" w:rsidRPr="00ED5BA3" w:rsidRDefault="001C7E6F" w:rsidP="00BD3046">
            <w:pPr>
              <w:spacing w:after="0" w:line="240" w:lineRule="auto"/>
              <w:rPr>
                <w:rFonts w:ascii="Arial" w:eastAsia="Arial" w:hAnsi="Arial" w:cs="Arial"/>
                <w:color w:val="000000"/>
                <w:sz w:val="18"/>
                <w:szCs w:val="18"/>
              </w:rPr>
            </w:pPr>
          </w:p>
          <w:p w14:paraId="2D3C990E" w14:textId="77777777" w:rsidR="001C7E6F" w:rsidRPr="005238A8" w:rsidRDefault="001C7E6F" w:rsidP="0032733E">
            <w:pPr>
              <w:pStyle w:val="PargrafodaLista"/>
              <w:numPr>
                <w:ilvl w:val="0"/>
                <w:numId w:val="12"/>
              </w:numPr>
              <w:spacing w:after="0" w:line="240" w:lineRule="auto"/>
              <w:rPr>
                <w:rFonts w:eastAsia="Arial"/>
                <w:color w:val="000000"/>
                <w:sz w:val="18"/>
                <w:szCs w:val="18"/>
              </w:rPr>
            </w:pPr>
            <w:r w:rsidRPr="005238A8">
              <w:rPr>
                <w:rFonts w:eastAsia="Arial"/>
                <w:color w:val="000000"/>
                <w:sz w:val="18"/>
                <w:szCs w:val="18"/>
              </w:rPr>
              <w:t>Jurídico-Estrutural (67%, Avançado): aponta alinhamento parcial do Plano de Ação/PAF com LOA, LDO e PPA, mas ainda sem plena integração programática.</w:t>
            </w:r>
          </w:p>
          <w:p w14:paraId="08C88502" w14:textId="77777777" w:rsidR="001C7E6F" w:rsidRPr="005238A8" w:rsidRDefault="001C7E6F" w:rsidP="0032733E">
            <w:pPr>
              <w:pStyle w:val="PargrafodaLista"/>
              <w:numPr>
                <w:ilvl w:val="0"/>
                <w:numId w:val="12"/>
              </w:numPr>
              <w:spacing w:after="0" w:line="240" w:lineRule="auto"/>
              <w:rPr>
                <w:rFonts w:eastAsia="Arial"/>
                <w:color w:val="000000"/>
                <w:sz w:val="18"/>
                <w:szCs w:val="18"/>
              </w:rPr>
            </w:pPr>
            <w:r w:rsidRPr="005238A8">
              <w:rPr>
                <w:rFonts w:eastAsia="Arial"/>
                <w:color w:val="000000"/>
                <w:sz w:val="18"/>
                <w:szCs w:val="18"/>
              </w:rPr>
              <w:t>Institucional e Organizacional (55%, Intermediário): revela fragilidades de capacidade técnica e governança, com continuidade institucional apenas parcial.</w:t>
            </w:r>
          </w:p>
          <w:p w14:paraId="0FA345D1" w14:textId="77777777" w:rsidR="001C7E6F" w:rsidRPr="005238A8" w:rsidRDefault="001C7E6F" w:rsidP="0032733E">
            <w:pPr>
              <w:pStyle w:val="PargrafodaLista"/>
              <w:numPr>
                <w:ilvl w:val="0"/>
                <w:numId w:val="12"/>
              </w:numPr>
              <w:spacing w:after="0" w:line="240" w:lineRule="auto"/>
              <w:rPr>
                <w:rFonts w:eastAsia="Arial"/>
                <w:color w:val="000000"/>
                <w:sz w:val="18"/>
                <w:szCs w:val="18"/>
              </w:rPr>
            </w:pPr>
            <w:r w:rsidRPr="005238A8">
              <w:rPr>
                <w:rFonts w:eastAsia="Arial"/>
                <w:color w:val="000000"/>
                <w:sz w:val="18"/>
                <w:szCs w:val="18"/>
              </w:rPr>
              <w:t>Político-Institucional (0%, Inexistente): ausência de articulação política estruturada para sustentar o planejamento do Fundo, revelando risco de fragmentação decisória.</w:t>
            </w:r>
          </w:p>
          <w:p w14:paraId="05BA1D39" w14:textId="77777777" w:rsidR="001C7E6F" w:rsidRPr="005238A8" w:rsidRDefault="001C7E6F" w:rsidP="0032733E">
            <w:pPr>
              <w:pStyle w:val="PargrafodaLista"/>
              <w:numPr>
                <w:ilvl w:val="0"/>
                <w:numId w:val="12"/>
              </w:numPr>
              <w:spacing w:after="0" w:line="240" w:lineRule="auto"/>
              <w:rPr>
                <w:rFonts w:eastAsia="Arial"/>
                <w:color w:val="000000"/>
                <w:sz w:val="18"/>
                <w:szCs w:val="18"/>
              </w:rPr>
            </w:pPr>
            <w:r w:rsidRPr="005238A8">
              <w:rPr>
                <w:rFonts w:eastAsia="Arial"/>
                <w:color w:val="000000"/>
                <w:sz w:val="18"/>
                <w:szCs w:val="18"/>
              </w:rPr>
              <w:t>Financeira e Orçamentária (71%, Avançado): sugere avanços em compatibilização entre dotações, estimativas de custos e metas.</w:t>
            </w:r>
          </w:p>
          <w:p w14:paraId="4FFFD352" w14:textId="77777777" w:rsidR="001C7E6F" w:rsidRPr="005238A8" w:rsidRDefault="001C7E6F" w:rsidP="0032733E">
            <w:pPr>
              <w:pStyle w:val="PargrafodaLista"/>
              <w:numPr>
                <w:ilvl w:val="0"/>
                <w:numId w:val="12"/>
              </w:numPr>
              <w:spacing w:after="0" w:line="240" w:lineRule="auto"/>
              <w:rPr>
                <w:rFonts w:eastAsia="Arial"/>
                <w:color w:val="000000"/>
                <w:sz w:val="18"/>
                <w:szCs w:val="18"/>
              </w:rPr>
            </w:pPr>
            <w:r w:rsidRPr="005238A8">
              <w:rPr>
                <w:rFonts w:eastAsia="Arial"/>
                <w:color w:val="000000"/>
                <w:sz w:val="18"/>
                <w:szCs w:val="18"/>
              </w:rPr>
              <w:t>Avaliativa (50%, Intermediário / 25% Inicial por dimensão): ausência de práticas consistentes de monitoramento ex ante de metas SMART, reduzindo a qualidade avaliativa.</w:t>
            </w:r>
          </w:p>
          <w:p w14:paraId="245AD2CC" w14:textId="77777777" w:rsidR="001C7E6F" w:rsidRPr="005238A8" w:rsidRDefault="001C7E6F" w:rsidP="0032733E">
            <w:pPr>
              <w:pStyle w:val="PargrafodaLista"/>
              <w:numPr>
                <w:ilvl w:val="0"/>
                <w:numId w:val="12"/>
              </w:numPr>
              <w:spacing w:after="0" w:line="240" w:lineRule="auto"/>
              <w:rPr>
                <w:rFonts w:eastAsia="Arial"/>
                <w:color w:val="000000"/>
                <w:sz w:val="18"/>
                <w:szCs w:val="18"/>
              </w:rPr>
            </w:pPr>
            <w:r w:rsidRPr="005238A8">
              <w:rPr>
                <w:rFonts w:eastAsia="Arial"/>
                <w:color w:val="000000"/>
                <w:sz w:val="18"/>
                <w:szCs w:val="18"/>
              </w:rPr>
              <w:t>Histórico-Evolutiva (80%, Avançado): demonstra aprendizado institucional acumulado, mas ainda não convertido em rotina decisória.</w:t>
            </w:r>
          </w:p>
          <w:p w14:paraId="4B55A610" w14:textId="77777777" w:rsidR="001C7E6F" w:rsidRPr="00ED5BA3" w:rsidRDefault="001C7E6F" w:rsidP="00BD3046">
            <w:pPr>
              <w:spacing w:after="0" w:line="240" w:lineRule="auto"/>
              <w:rPr>
                <w:rFonts w:ascii="Arial" w:eastAsia="Arial" w:hAnsi="Arial" w:cs="Arial"/>
                <w:color w:val="000000"/>
                <w:sz w:val="18"/>
                <w:szCs w:val="18"/>
              </w:rPr>
            </w:pPr>
          </w:p>
          <w:p w14:paraId="2FD0985E" w14:textId="77777777" w:rsidR="001C7E6F" w:rsidRDefault="001C7E6F" w:rsidP="00BD3046">
            <w:pPr>
              <w:spacing w:after="0" w:line="240" w:lineRule="auto"/>
              <w:rPr>
                <w:rFonts w:ascii="Arial" w:eastAsia="Arial" w:hAnsi="Arial" w:cs="Arial"/>
                <w:color w:val="000000"/>
                <w:sz w:val="18"/>
                <w:szCs w:val="18"/>
              </w:rPr>
            </w:pPr>
            <w:r>
              <w:rPr>
                <w:rFonts w:ascii="Segoe UI Symbol" w:eastAsia="Arial" w:hAnsi="Segoe UI Symbol" w:cs="Segoe UI Symbol"/>
                <w:color w:val="000000"/>
                <w:sz w:val="18"/>
                <w:szCs w:val="18"/>
              </w:rPr>
              <w:t>O</w:t>
            </w:r>
            <w:r w:rsidRPr="00ED5BA3">
              <w:rPr>
                <w:rFonts w:ascii="Arial" w:eastAsia="Arial" w:hAnsi="Arial" w:cs="Arial"/>
                <w:color w:val="000000"/>
                <w:sz w:val="18"/>
                <w:szCs w:val="18"/>
              </w:rPr>
              <w:t xml:space="preserve"> eixo mostra avanços técnico-normativos, mas fragilidade político-institucional e avaliativa, o que compromete a legitimidade e a efetividade do planejamento.</w:t>
            </w:r>
          </w:p>
          <w:p w14:paraId="70721ED8" w14:textId="77777777" w:rsidR="001C7E6F" w:rsidRDefault="001C7E6F" w:rsidP="00BD3046">
            <w:pPr>
              <w:spacing w:after="0" w:line="240" w:lineRule="auto"/>
              <w:rPr>
                <w:rFonts w:ascii="Arial" w:eastAsia="Arial" w:hAnsi="Arial" w:cs="Arial"/>
                <w:color w:val="000000"/>
                <w:sz w:val="18"/>
                <w:szCs w:val="18"/>
              </w:rPr>
            </w:pPr>
          </w:p>
          <w:p w14:paraId="6516365C" w14:textId="77777777" w:rsidR="001C7E6F" w:rsidRPr="005238A8" w:rsidRDefault="001C7E6F" w:rsidP="00BD3046">
            <w:pPr>
              <w:spacing w:after="0" w:line="240" w:lineRule="auto"/>
              <w:rPr>
                <w:rFonts w:ascii="Arial" w:eastAsia="Arial" w:hAnsi="Arial" w:cs="Arial"/>
                <w:b/>
                <w:color w:val="000000"/>
                <w:sz w:val="18"/>
                <w:szCs w:val="18"/>
              </w:rPr>
            </w:pPr>
            <w:r>
              <w:rPr>
                <w:rFonts w:ascii="Arial" w:eastAsia="Arial" w:hAnsi="Arial" w:cs="Arial"/>
                <w:b/>
                <w:color w:val="000000"/>
                <w:sz w:val="18"/>
                <w:szCs w:val="18"/>
              </w:rPr>
              <w:t xml:space="preserve">3. </w:t>
            </w:r>
            <w:r w:rsidRPr="005238A8">
              <w:rPr>
                <w:rFonts w:ascii="Arial" w:eastAsia="Arial" w:hAnsi="Arial" w:cs="Arial"/>
                <w:b/>
                <w:color w:val="000000"/>
                <w:sz w:val="18"/>
                <w:szCs w:val="18"/>
              </w:rPr>
              <w:t xml:space="preserve">Eixo de Execução Orçamentária e Financeira </w:t>
            </w:r>
            <w:r w:rsidRPr="005238A8">
              <w:rPr>
                <w:rFonts w:ascii="Arial" w:eastAsia="Arial" w:hAnsi="Arial" w:cs="Arial"/>
                <w:color w:val="000000"/>
                <w:sz w:val="18"/>
                <w:szCs w:val="18"/>
              </w:rPr>
              <w:t>- 54% (perfil Intermediário), com assimetrias entre as dimensões.</w:t>
            </w:r>
          </w:p>
          <w:p w14:paraId="203044DC" w14:textId="77777777" w:rsidR="001C7E6F" w:rsidRPr="00ED5BA3" w:rsidRDefault="001C7E6F" w:rsidP="00BD3046">
            <w:pPr>
              <w:spacing w:after="0" w:line="240" w:lineRule="auto"/>
              <w:rPr>
                <w:rFonts w:ascii="Arial" w:eastAsia="Arial" w:hAnsi="Arial" w:cs="Arial"/>
                <w:color w:val="000000"/>
                <w:sz w:val="18"/>
                <w:szCs w:val="18"/>
              </w:rPr>
            </w:pPr>
          </w:p>
          <w:p w14:paraId="76CE72CD" w14:textId="77777777" w:rsidR="001C7E6F" w:rsidRPr="005238A8" w:rsidRDefault="001C7E6F" w:rsidP="0032733E">
            <w:pPr>
              <w:pStyle w:val="PargrafodaLista"/>
              <w:numPr>
                <w:ilvl w:val="0"/>
                <w:numId w:val="13"/>
              </w:numPr>
              <w:spacing w:after="0" w:line="240" w:lineRule="auto"/>
              <w:rPr>
                <w:rFonts w:eastAsia="Arial"/>
                <w:color w:val="000000"/>
                <w:sz w:val="18"/>
                <w:szCs w:val="18"/>
              </w:rPr>
            </w:pPr>
            <w:r w:rsidRPr="005238A8">
              <w:rPr>
                <w:rFonts w:eastAsia="Arial"/>
                <w:color w:val="000000"/>
                <w:sz w:val="18"/>
                <w:szCs w:val="18"/>
              </w:rPr>
              <w:t>Financeira e Orçamentária (63%, Avançado): execução financeira relativamente consistente, mas sem plena aderência entre arrecadação e execução.</w:t>
            </w:r>
          </w:p>
          <w:p w14:paraId="69171C3B" w14:textId="77777777" w:rsidR="001C7E6F" w:rsidRPr="005238A8" w:rsidRDefault="001C7E6F" w:rsidP="0032733E">
            <w:pPr>
              <w:pStyle w:val="PargrafodaLista"/>
              <w:numPr>
                <w:ilvl w:val="0"/>
                <w:numId w:val="13"/>
              </w:numPr>
              <w:spacing w:after="0" w:line="240" w:lineRule="auto"/>
              <w:rPr>
                <w:rFonts w:eastAsia="Arial"/>
                <w:color w:val="000000"/>
                <w:sz w:val="18"/>
                <w:szCs w:val="18"/>
              </w:rPr>
            </w:pPr>
            <w:r w:rsidRPr="005238A8">
              <w:rPr>
                <w:rFonts w:eastAsia="Arial"/>
                <w:color w:val="000000"/>
                <w:sz w:val="18"/>
                <w:szCs w:val="18"/>
              </w:rPr>
              <w:t>Político-Institucional (100%, Pleno): evidencia respaldo político para a execução, sem entraves institucionais significativos.</w:t>
            </w:r>
          </w:p>
          <w:p w14:paraId="36A2E3B8" w14:textId="77777777" w:rsidR="001C7E6F" w:rsidRPr="005238A8" w:rsidRDefault="001C7E6F" w:rsidP="0032733E">
            <w:pPr>
              <w:pStyle w:val="PargrafodaLista"/>
              <w:numPr>
                <w:ilvl w:val="0"/>
                <w:numId w:val="13"/>
              </w:numPr>
              <w:spacing w:after="0" w:line="240" w:lineRule="auto"/>
              <w:rPr>
                <w:rFonts w:eastAsia="Arial"/>
                <w:color w:val="000000"/>
                <w:sz w:val="18"/>
                <w:szCs w:val="18"/>
              </w:rPr>
            </w:pPr>
            <w:r w:rsidRPr="005238A8">
              <w:rPr>
                <w:rFonts w:eastAsia="Arial"/>
                <w:color w:val="000000"/>
                <w:sz w:val="18"/>
                <w:szCs w:val="18"/>
              </w:rPr>
              <w:t>Avaliativa (0%, Inexistente): não há mecanismos sistemáticos e aparentes de avaliação dos resultados do Fundo, custo-benefício ou impacto social.</w:t>
            </w:r>
          </w:p>
          <w:p w14:paraId="2206CCFB" w14:textId="77777777" w:rsidR="001C7E6F" w:rsidRPr="005238A8" w:rsidRDefault="001C7E6F" w:rsidP="0032733E">
            <w:pPr>
              <w:pStyle w:val="PargrafodaLista"/>
              <w:numPr>
                <w:ilvl w:val="0"/>
                <w:numId w:val="13"/>
              </w:numPr>
              <w:spacing w:after="0" w:line="240" w:lineRule="auto"/>
              <w:rPr>
                <w:rFonts w:eastAsia="Arial"/>
                <w:color w:val="000000"/>
                <w:sz w:val="18"/>
                <w:szCs w:val="18"/>
              </w:rPr>
            </w:pPr>
            <w:r w:rsidRPr="005238A8">
              <w:rPr>
                <w:rFonts w:eastAsia="Arial"/>
                <w:color w:val="000000"/>
                <w:sz w:val="18"/>
                <w:szCs w:val="18"/>
              </w:rPr>
              <w:t>Participativa e de Transparência (50%, Intermediário): mecanismos de acompanhamento social existem, mas de forma parcial e pouco influente sobre a execução.</w:t>
            </w:r>
          </w:p>
          <w:p w14:paraId="79F2896E" w14:textId="77777777" w:rsidR="001C7E6F" w:rsidRPr="005238A8" w:rsidRDefault="001C7E6F" w:rsidP="0032733E">
            <w:pPr>
              <w:pStyle w:val="PargrafodaLista"/>
              <w:numPr>
                <w:ilvl w:val="0"/>
                <w:numId w:val="13"/>
              </w:numPr>
              <w:spacing w:after="0" w:line="240" w:lineRule="auto"/>
              <w:rPr>
                <w:rFonts w:eastAsia="Arial"/>
                <w:color w:val="000000"/>
                <w:sz w:val="18"/>
                <w:szCs w:val="18"/>
              </w:rPr>
            </w:pPr>
            <w:r w:rsidRPr="005238A8">
              <w:rPr>
                <w:rFonts w:eastAsia="Arial"/>
                <w:color w:val="000000"/>
                <w:sz w:val="18"/>
                <w:szCs w:val="18"/>
              </w:rPr>
              <w:lastRenderedPageBreak/>
              <w:t>Institucional e Organizacional (56%, Intermediário): estrutura administrativa insuficiente de apoio ao COA, com carência de equipes técnicas ou integração entre órgãos gestores.</w:t>
            </w:r>
          </w:p>
          <w:p w14:paraId="688F2F67" w14:textId="77777777" w:rsidR="001C7E6F" w:rsidRDefault="001C7E6F" w:rsidP="00BD3046">
            <w:pPr>
              <w:spacing w:after="0" w:line="240" w:lineRule="auto"/>
              <w:rPr>
                <w:rFonts w:ascii="Arial" w:eastAsia="Arial" w:hAnsi="Arial" w:cs="Arial"/>
                <w:color w:val="000000"/>
                <w:sz w:val="18"/>
                <w:szCs w:val="18"/>
              </w:rPr>
            </w:pPr>
          </w:p>
          <w:p w14:paraId="581A78BB"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w:t>
            </w:r>
            <w:r w:rsidRPr="00ED5BA3">
              <w:rPr>
                <w:rFonts w:ascii="Arial" w:eastAsia="Arial" w:hAnsi="Arial" w:cs="Arial"/>
                <w:color w:val="000000"/>
                <w:sz w:val="18"/>
                <w:szCs w:val="18"/>
              </w:rPr>
              <w:t xml:space="preserve"> execução financeira atinge patamar aceitável, mas a ausência de avaliação e o déficit de capacidade organizacional comprometem a transformação dos gastos em resultados concretos.</w:t>
            </w:r>
          </w:p>
          <w:p w14:paraId="0A967082" w14:textId="77777777" w:rsidR="001C7E6F" w:rsidRPr="00ED5BA3" w:rsidRDefault="001C7E6F" w:rsidP="00BD3046">
            <w:pPr>
              <w:spacing w:after="0" w:line="240" w:lineRule="auto"/>
              <w:rPr>
                <w:rFonts w:ascii="Arial" w:eastAsia="Arial" w:hAnsi="Arial" w:cs="Arial"/>
                <w:color w:val="000000"/>
                <w:sz w:val="18"/>
                <w:szCs w:val="18"/>
              </w:rPr>
            </w:pPr>
          </w:p>
          <w:p w14:paraId="4866E525" w14:textId="77777777" w:rsidR="001C7E6F" w:rsidRPr="006C7DD1" w:rsidRDefault="001C7E6F" w:rsidP="00BD3046">
            <w:pPr>
              <w:spacing w:after="0" w:line="240" w:lineRule="auto"/>
              <w:rPr>
                <w:rFonts w:ascii="Arial" w:eastAsia="Arial" w:hAnsi="Arial" w:cs="Arial"/>
                <w:color w:val="000000"/>
                <w:sz w:val="18"/>
                <w:szCs w:val="18"/>
              </w:rPr>
            </w:pPr>
            <w:r w:rsidRPr="005238A8">
              <w:rPr>
                <w:rFonts w:ascii="Arial" w:eastAsia="Arial" w:hAnsi="Arial" w:cs="Arial"/>
                <w:color w:val="000000"/>
                <w:sz w:val="18"/>
                <w:szCs w:val="18"/>
              </w:rPr>
              <w:t xml:space="preserve">O </w:t>
            </w:r>
            <w:r w:rsidRPr="005238A8">
              <w:rPr>
                <w:rFonts w:ascii="Arial" w:eastAsia="Arial" w:hAnsi="Arial" w:cs="Arial"/>
                <w:b/>
                <w:color w:val="000000"/>
                <w:sz w:val="18"/>
                <w:szCs w:val="18"/>
              </w:rPr>
              <w:t>perfil do FECOEP-SP, avaliado a partir das dimensões</w:t>
            </w:r>
            <w:r w:rsidRPr="005238A8">
              <w:rPr>
                <w:rFonts w:ascii="Arial" w:eastAsia="Arial" w:hAnsi="Arial" w:cs="Arial"/>
                <w:color w:val="000000"/>
                <w:sz w:val="18"/>
                <w:szCs w:val="18"/>
              </w:rPr>
              <w:t>, a</w:t>
            </w:r>
            <w:r>
              <w:rPr>
                <w:rFonts w:ascii="Arial" w:eastAsia="Arial" w:hAnsi="Arial" w:cs="Arial"/>
                <w:color w:val="000000"/>
                <w:sz w:val="18"/>
                <w:szCs w:val="18"/>
              </w:rPr>
              <w:t xml:space="preserve">presenta desempenho heterogêneo: </w:t>
            </w:r>
          </w:p>
          <w:p w14:paraId="2E71A5F1" w14:textId="77777777" w:rsidR="001C7E6F" w:rsidRPr="005238A8" w:rsidRDefault="001C7E6F" w:rsidP="0032733E">
            <w:pPr>
              <w:pStyle w:val="PargrafodaLista"/>
              <w:numPr>
                <w:ilvl w:val="0"/>
                <w:numId w:val="14"/>
              </w:numPr>
              <w:spacing w:after="0" w:line="240" w:lineRule="auto"/>
              <w:rPr>
                <w:rFonts w:eastAsia="Arial"/>
                <w:color w:val="000000"/>
                <w:sz w:val="18"/>
                <w:szCs w:val="18"/>
              </w:rPr>
            </w:pPr>
            <w:r w:rsidRPr="005238A8">
              <w:rPr>
                <w:rFonts w:eastAsia="Arial"/>
                <w:color w:val="000000"/>
                <w:sz w:val="18"/>
                <w:szCs w:val="18"/>
              </w:rPr>
              <w:t>Jurídico-Estrutural – 83% (</w:t>
            </w:r>
            <w:r>
              <w:rPr>
                <w:rFonts w:eastAsia="Arial"/>
                <w:color w:val="000000"/>
                <w:sz w:val="18"/>
                <w:szCs w:val="18"/>
              </w:rPr>
              <w:t>Pleno</w:t>
            </w:r>
            <w:r w:rsidRPr="005238A8">
              <w:rPr>
                <w:rFonts w:eastAsia="Arial"/>
                <w:color w:val="000000"/>
                <w:sz w:val="18"/>
                <w:szCs w:val="18"/>
              </w:rPr>
              <w:t xml:space="preserve">); </w:t>
            </w:r>
          </w:p>
          <w:p w14:paraId="58F7DECC" w14:textId="77777777" w:rsidR="001C7E6F" w:rsidRPr="005238A8" w:rsidRDefault="001C7E6F" w:rsidP="0032733E">
            <w:pPr>
              <w:pStyle w:val="PargrafodaLista"/>
              <w:numPr>
                <w:ilvl w:val="0"/>
                <w:numId w:val="14"/>
              </w:numPr>
              <w:spacing w:after="0" w:line="240" w:lineRule="auto"/>
              <w:rPr>
                <w:rFonts w:eastAsia="Arial"/>
                <w:color w:val="000000"/>
                <w:sz w:val="18"/>
                <w:szCs w:val="18"/>
              </w:rPr>
            </w:pPr>
            <w:r w:rsidRPr="005238A8">
              <w:rPr>
                <w:rFonts w:eastAsia="Arial"/>
                <w:color w:val="000000"/>
                <w:sz w:val="18"/>
                <w:szCs w:val="18"/>
              </w:rPr>
              <w:t>Financeira e Orçamentária – 62% (Avançado);</w:t>
            </w:r>
          </w:p>
          <w:p w14:paraId="382B268E" w14:textId="77777777" w:rsidR="001C7E6F" w:rsidRPr="005238A8" w:rsidRDefault="001C7E6F" w:rsidP="0032733E">
            <w:pPr>
              <w:pStyle w:val="PargrafodaLista"/>
              <w:numPr>
                <w:ilvl w:val="0"/>
                <w:numId w:val="14"/>
              </w:numPr>
              <w:spacing w:after="0" w:line="240" w:lineRule="auto"/>
              <w:rPr>
                <w:rFonts w:eastAsia="Arial"/>
                <w:color w:val="000000"/>
                <w:sz w:val="18"/>
                <w:szCs w:val="18"/>
              </w:rPr>
            </w:pPr>
            <w:r w:rsidRPr="005238A8">
              <w:rPr>
                <w:rFonts w:eastAsia="Arial"/>
                <w:color w:val="000000"/>
                <w:sz w:val="18"/>
                <w:szCs w:val="18"/>
              </w:rPr>
              <w:t>Político-Institucional – 67% (Avançado);</w:t>
            </w:r>
          </w:p>
          <w:p w14:paraId="6A72E562" w14:textId="77777777" w:rsidR="001C7E6F" w:rsidRPr="005238A8" w:rsidRDefault="001C7E6F" w:rsidP="0032733E">
            <w:pPr>
              <w:pStyle w:val="PargrafodaLista"/>
              <w:numPr>
                <w:ilvl w:val="0"/>
                <w:numId w:val="14"/>
              </w:numPr>
              <w:spacing w:after="0" w:line="240" w:lineRule="auto"/>
              <w:rPr>
                <w:rFonts w:eastAsia="Arial"/>
                <w:color w:val="000000"/>
                <w:sz w:val="18"/>
                <w:szCs w:val="18"/>
              </w:rPr>
            </w:pPr>
            <w:r w:rsidRPr="005238A8">
              <w:rPr>
                <w:rFonts w:eastAsia="Arial"/>
                <w:color w:val="000000"/>
                <w:sz w:val="18"/>
                <w:szCs w:val="18"/>
              </w:rPr>
              <w:t>Participativa e de Transparência – 75% (Avançado);</w:t>
            </w:r>
          </w:p>
          <w:p w14:paraId="54D6CB99" w14:textId="77777777" w:rsidR="001C7E6F" w:rsidRPr="005238A8" w:rsidRDefault="001C7E6F" w:rsidP="0032733E">
            <w:pPr>
              <w:pStyle w:val="PargrafodaLista"/>
              <w:numPr>
                <w:ilvl w:val="0"/>
                <w:numId w:val="14"/>
              </w:numPr>
              <w:spacing w:after="0" w:line="240" w:lineRule="auto"/>
              <w:rPr>
                <w:rFonts w:eastAsia="Arial"/>
                <w:color w:val="000000"/>
                <w:sz w:val="18"/>
                <w:szCs w:val="18"/>
              </w:rPr>
            </w:pPr>
            <w:r w:rsidRPr="005238A8">
              <w:rPr>
                <w:rFonts w:eastAsia="Arial"/>
                <w:color w:val="000000"/>
                <w:sz w:val="18"/>
                <w:szCs w:val="18"/>
              </w:rPr>
              <w:t>Institucional e Organizacional – 55% (Intermediário);</w:t>
            </w:r>
          </w:p>
          <w:p w14:paraId="4F4D951B" w14:textId="77777777" w:rsidR="001C7E6F" w:rsidRPr="005238A8" w:rsidRDefault="001C7E6F" w:rsidP="0032733E">
            <w:pPr>
              <w:pStyle w:val="PargrafodaLista"/>
              <w:numPr>
                <w:ilvl w:val="0"/>
                <w:numId w:val="14"/>
              </w:numPr>
              <w:spacing w:after="0" w:line="240" w:lineRule="auto"/>
              <w:rPr>
                <w:rFonts w:eastAsia="Arial"/>
                <w:color w:val="000000"/>
                <w:sz w:val="18"/>
                <w:szCs w:val="18"/>
              </w:rPr>
            </w:pPr>
            <w:r w:rsidRPr="005238A8">
              <w:rPr>
                <w:rFonts w:eastAsia="Arial"/>
                <w:color w:val="000000"/>
                <w:sz w:val="18"/>
                <w:szCs w:val="18"/>
              </w:rPr>
              <w:t>Avaliativa – 25% (Inicial);</w:t>
            </w:r>
          </w:p>
          <w:p w14:paraId="6E5E158E" w14:textId="77777777" w:rsidR="001C7E6F" w:rsidRDefault="001C7E6F" w:rsidP="0032733E">
            <w:pPr>
              <w:pStyle w:val="PargrafodaLista"/>
              <w:numPr>
                <w:ilvl w:val="0"/>
                <w:numId w:val="14"/>
              </w:numPr>
              <w:spacing w:after="0" w:line="240" w:lineRule="auto"/>
              <w:rPr>
                <w:rFonts w:eastAsia="Arial"/>
                <w:color w:val="000000"/>
                <w:sz w:val="18"/>
                <w:szCs w:val="18"/>
              </w:rPr>
            </w:pPr>
            <w:r w:rsidRPr="005238A8">
              <w:rPr>
                <w:rFonts w:eastAsia="Arial"/>
                <w:color w:val="000000"/>
                <w:sz w:val="18"/>
                <w:szCs w:val="18"/>
              </w:rPr>
              <w:t>Histórico-Evolutiva – 80% (Avançado).</w:t>
            </w:r>
          </w:p>
          <w:p w14:paraId="2A6DE63E" w14:textId="77777777" w:rsidR="001C7E6F" w:rsidRDefault="001C7E6F" w:rsidP="00BD3046">
            <w:pPr>
              <w:spacing w:after="0" w:line="240" w:lineRule="auto"/>
              <w:rPr>
                <w:rFonts w:eastAsia="Arial"/>
                <w:color w:val="000000"/>
                <w:sz w:val="18"/>
                <w:szCs w:val="18"/>
              </w:rPr>
            </w:pPr>
          </w:p>
          <w:p w14:paraId="5526A387" w14:textId="77777777" w:rsidR="001C7E6F" w:rsidRPr="005238A8"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De acordo com as dimensões, o </w:t>
            </w:r>
            <w:r w:rsidRPr="005238A8">
              <w:rPr>
                <w:rFonts w:ascii="Arial" w:eastAsia="Arial" w:hAnsi="Arial" w:cs="Arial"/>
                <w:color w:val="000000"/>
                <w:sz w:val="18"/>
                <w:szCs w:val="18"/>
              </w:rPr>
              <w:t xml:space="preserve">Fundo alcançou </w:t>
            </w:r>
            <w:r>
              <w:rPr>
                <w:rFonts w:ascii="Arial" w:eastAsia="Arial" w:hAnsi="Arial" w:cs="Arial"/>
                <w:color w:val="000000"/>
                <w:sz w:val="18"/>
                <w:szCs w:val="18"/>
              </w:rPr>
              <w:t xml:space="preserve">um </w:t>
            </w:r>
            <w:r w:rsidRPr="005238A8">
              <w:rPr>
                <w:rFonts w:ascii="Arial" w:eastAsia="Arial" w:hAnsi="Arial" w:cs="Arial"/>
                <w:color w:val="000000"/>
                <w:sz w:val="18"/>
                <w:szCs w:val="18"/>
              </w:rPr>
              <w:t xml:space="preserve">patamar </w:t>
            </w:r>
            <w:r>
              <w:rPr>
                <w:rFonts w:ascii="Arial" w:eastAsia="Arial" w:hAnsi="Arial" w:cs="Arial"/>
                <w:color w:val="000000"/>
                <w:sz w:val="18"/>
                <w:szCs w:val="18"/>
              </w:rPr>
              <w:t>“</w:t>
            </w:r>
            <w:r w:rsidRPr="005238A8">
              <w:rPr>
                <w:rFonts w:ascii="Arial" w:eastAsia="Arial" w:hAnsi="Arial" w:cs="Arial"/>
                <w:color w:val="000000"/>
                <w:sz w:val="18"/>
                <w:szCs w:val="18"/>
              </w:rPr>
              <w:t>Avançado</w:t>
            </w:r>
            <w:r>
              <w:rPr>
                <w:rFonts w:ascii="Arial" w:eastAsia="Arial" w:hAnsi="Arial" w:cs="Arial"/>
                <w:color w:val="000000"/>
                <w:sz w:val="18"/>
                <w:szCs w:val="18"/>
              </w:rPr>
              <w:t>”</w:t>
            </w:r>
            <w:r w:rsidRPr="005238A8">
              <w:rPr>
                <w:rFonts w:ascii="Arial" w:eastAsia="Arial" w:hAnsi="Arial" w:cs="Arial"/>
                <w:color w:val="000000"/>
                <w:sz w:val="18"/>
                <w:szCs w:val="18"/>
              </w:rPr>
              <w:t>, indicando consistência normativa, relativa estabilidade arrecadatória, legitimidade institucional, práticas de transparência e capacidade organizacional.</w:t>
            </w:r>
          </w:p>
          <w:p w14:paraId="465C4510" w14:textId="77777777" w:rsidR="001C7E6F" w:rsidRPr="005238A8" w:rsidRDefault="001C7E6F" w:rsidP="00BD3046">
            <w:pPr>
              <w:spacing w:after="0" w:line="240" w:lineRule="auto"/>
              <w:rPr>
                <w:rFonts w:ascii="Arial" w:eastAsia="Arial" w:hAnsi="Arial" w:cs="Arial"/>
                <w:color w:val="000000"/>
                <w:sz w:val="18"/>
                <w:szCs w:val="18"/>
              </w:rPr>
            </w:pPr>
          </w:p>
          <w:p w14:paraId="5CD25A8A" w14:textId="77777777" w:rsidR="001C7E6F" w:rsidRPr="005238A8" w:rsidRDefault="001C7E6F" w:rsidP="00BD3046">
            <w:pPr>
              <w:spacing w:after="0" w:line="240" w:lineRule="auto"/>
              <w:rPr>
                <w:rFonts w:ascii="Arial" w:eastAsia="Arial" w:hAnsi="Arial" w:cs="Arial"/>
                <w:color w:val="000000"/>
                <w:sz w:val="18"/>
                <w:szCs w:val="18"/>
              </w:rPr>
            </w:pPr>
            <w:r w:rsidRPr="005238A8">
              <w:rPr>
                <w:rFonts w:ascii="Arial" w:eastAsia="Arial" w:hAnsi="Arial" w:cs="Arial"/>
                <w:color w:val="000000"/>
                <w:sz w:val="18"/>
                <w:szCs w:val="18"/>
              </w:rPr>
              <w:t xml:space="preserve">Em contrapartida, a dimensão Institucional e Organizacional (55%) foi classificada como </w:t>
            </w:r>
            <w:r>
              <w:rPr>
                <w:rFonts w:ascii="Arial" w:eastAsia="Arial" w:hAnsi="Arial" w:cs="Arial"/>
                <w:color w:val="000000"/>
                <w:sz w:val="18"/>
                <w:szCs w:val="18"/>
              </w:rPr>
              <w:t>“</w:t>
            </w:r>
            <w:r w:rsidRPr="005238A8">
              <w:rPr>
                <w:rFonts w:ascii="Arial" w:eastAsia="Arial" w:hAnsi="Arial" w:cs="Arial"/>
                <w:color w:val="000000"/>
                <w:sz w:val="18"/>
                <w:szCs w:val="18"/>
              </w:rPr>
              <w:t>Intermediária</w:t>
            </w:r>
            <w:r>
              <w:rPr>
                <w:rFonts w:ascii="Arial" w:eastAsia="Arial" w:hAnsi="Arial" w:cs="Arial"/>
                <w:color w:val="000000"/>
                <w:sz w:val="18"/>
                <w:szCs w:val="18"/>
              </w:rPr>
              <w:t>”</w:t>
            </w:r>
            <w:r w:rsidRPr="005238A8">
              <w:rPr>
                <w:rFonts w:ascii="Arial" w:eastAsia="Arial" w:hAnsi="Arial" w:cs="Arial"/>
                <w:color w:val="000000"/>
                <w:sz w:val="18"/>
                <w:szCs w:val="18"/>
              </w:rPr>
              <w:t xml:space="preserve">, refletindo limitações na governança e na capacidade técnico-administrativa necessárias para garantir maior previsibilidade ao planejamento e à execução. Já a dimensão Avaliativa (25%) obteve o menor desempenho, situando-se no nível </w:t>
            </w:r>
            <w:r>
              <w:rPr>
                <w:rFonts w:ascii="Arial" w:eastAsia="Arial" w:hAnsi="Arial" w:cs="Arial"/>
                <w:color w:val="000000"/>
                <w:sz w:val="18"/>
                <w:szCs w:val="18"/>
              </w:rPr>
              <w:t>“</w:t>
            </w:r>
            <w:r w:rsidRPr="005238A8">
              <w:rPr>
                <w:rFonts w:ascii="Arial" w:eastAsia="Arial" w:hAnsi="Arial" w:cs="Arial"/>
                <w:color w:val="000000"/>
                <w:sz w:val="18"/>
                <w:szCs w:val="18"/>
              </w:rPr>
              <w:t>Inicial</w:t>
            </w:r>
            <w:r>
              <w:rPr>
                <w:rFonts w:ascii="Arial" w:eastAsia="Arial" w:hAnsi="Arial" w:cs="Arial"/>
                <w:color w:val="000000"/>
                <w:sz w:val="18"/>
                <w:szCs w:val="18"/>
              </w:rPr>
              <w:t>”</w:t>
            </w:r>
            <w:r w:rsidRPr="005238A8">
              <w:rPr>
                <w:rFonts w:ascii="Arial" w:eastAsia="Arial" w:hAnsi="Arial" w:cs="Arial"/>
                <w:color w:val="000000"/>
                <w:sz w:val="18"/>
                <w:szCs w:val="18"/>
              </w:rPr>
              <w:t xml:space="preserve">, o que evidencia a ausência de instrumentos sistemáticos de monitoramento, mensuração de resultados e avaliação de impacto </w:t>
            </w:r>
            <w:r>
              <w:rPr>
                <w:rFonts w:ascii="Arial" w:eastAsia="Arial" w:hAnsi="Arial" w:cs="Arial"/>
                <w:color w:val="000000"/>
                <w:sz w:val="18"/>
                <w:szCs w:val="18"/>
              </w:rPr>
              <w:t>dos programas e ações governamentais</w:t>
            </w:r>
            <w:r w:rsidRPr="005238A8">
              <w:rPr>
                <w:rFonts w:ascii="Arial" w:eastAsia="Arial" w:hAnsi="Arial" w:cs="Arial"/>
                <w:color w:val="000000"/>
                <w:sz w:val="18"/>
                <w:szCs w:val="18"/>
              </w:rPr>
              <w:t xml:space="preserve"> custeadas.</w:t>
            </w:r>
          </w:p>
          <w:p w14:paraId="0CE85746" w14:textId="77777777" w:rsidR="001C7E6F" w:rsidRPr="005238A8" w:rsidRDefault="001C7E6F" w:rsidP="00BD3046">
            <w:pPr>
              <w:spacing w:after="0" w:line="240" w:lineRule="auto"/>
              <w:rPr>
                <w:rFonts w:ascii="Arial" w:eastAsia="Arial" w:hAnsi="Arial" w:cs="Arial"/>
                <w:color w:val="000000"/>
                <w:sz w:val="18"/>
                <w:szCs w:val="18"/>
              </w:rPr>
            </w:pPr>
          </w:p>
          <w:p w14:paraId="4868C490" w14:textId="77777777" w:rsidR="001C7E6F" w:rsidRPr="005238A8" w:rsidRDefault="001C7E6F" w:rsidP="00BD3046">
            <w:pPr>
              <w:spacing w:after="0" w:line="240" w:lineRule="auto"/>
              <w:rPr>
                <w:rFonts w:ascii="Arial" w:eastAsia="Arial" w:hAnsi="Arial" w:cs="Arial"/>
                <w:color w:val="000000"/>
                <w:sz w:val="18"/>
                <w:szCs w:val="18"/>
              </w:rPr>
            </w:pPr>
            <w:r w:rsidRPr="005238A8">
              <w:rPr>
                <w:rFonts w:ascii="Arial" w:eastAsia="Arial" w:hAnsi="Arial" w:cs="Arial"/>
                <w:color w:val="000000"/>
                <w:sz w:val="18"/>
                <w:szCs w:val="18"/>
              </w:rPr>
              <w:t xml:space="preserve">Esse quadro sugere que, embora o FECOEP-SP apresente avanços expressivos em aspectos normativos, arrecadatórios e de transparência, persiste um déficit institucional e avaliativo que compromete a plena efetividade e a </w:t>
            </w:r>
            <w:r w:rsidRPr="000F33B1">
              <w:rPr>
                <w:rFonts w:ascii="Arial" w:eastAsia="Arial" w:hAnsi="Arial" w:cs="Arial"/>
                <w:i/>
                <w:color w:val="000000"/>
                <w:sz w:val="18"/>
                <w:szCs w:val="18"/>
              </w:rPr>
              <w:t>accountability</w:t>
            </w:r>
            <w:r w:rsidRPr="005238A8">
              <w:rPr>
                <w:rFonts w:ascii="Arial" w:eastAsia="Arial" w:hAnsi="Arial" w:cs="Arial"/>
                <w:color w:val="000000"/>
                <w:sz w:val="18"/>
                <w:szCs w:val="18"/>
              </w:rPr>
              <w:t xml:space="preserve"> do Fundo.</w:t>
            </w:r>
          </w:p>
          <w:p w14:paraId="7649A1A0" w14:textId="77777777" w:rsidR="001C7E6F" w:rsidRDefault="001C7E6F" w:rsidP="00BD3046">
            <w:pPr>
              <w:spacing w:after="0" w:line="240" w:lineRule="auto"/>
              <w:rPr>
                <w:rFonts w:ascii="Arial" w:eastAsia="Arial" w:hAnsi="Arial" w:cs="Arial"/>
                <w:color w:val="000000"/>
                <w:sz w:val="18"/>
                <w:szCs w:val="18"/>
              </w:rPr>
            </w:pPr>
          </w:p>
        </w:tc>
      </w:tr>
      <w:tr w:rsidR="001C7E6F" w14:paraId="1963CBE8" w14:textId="77777777" w:rsidTr="00BD3046">
        <w:trPr>
          <w:trHeight w:val="20"/>
        </w:trPr>
        <w:tc>
          <w:tcPr>
            <w:tcW w:w="2263" w:type="dxa"/>
            <w:shd w:val="clear" w:color="auto" w:fill="auto"/>
            <w:vAlign w:val="center"/>
          </w:tcPr>
          <w:p w14:paraId="4C87C356"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Nível de Maturidade do Fundo</w:t>
            </w:r>
          </w:p>
        </w:tc>
        <w:tc>
          <w:tcPr>
            <w:tcW w:w="6798" w:type="dxa"/>
            <w:shd w:val="clear" w:color="auto" w:fill="auto"/>
            <w:vAlign w:val="center"/>
          </w:tcPr>
          <w:p w14:paraId="0F5D8CD2" w14:textId="77777777" w:rsidR="001C7E6F" w:rsidRPr="00ED5BA3" w:rsidRDefault="001C7E6F" w:rsidP="00BD3046">
            <w:pPr>
              <w:spacing w:after="0" w:line="240" w:lineRule="auto"/>
              <w:rPr>
                <w:rFonts w:ascii="Arial" w:eastAsia="Arial" w:hAnsi="Arial" w:cs="Arial"/>
                <w:i/>
                <w:color w:val="000000"/>
                <w:sz w:val="18"/>
                <w:szCs w:val="18"/>
              </w:rPr>
            </w:pPr>
            <w:r w:rsidRPr="00ED5BA3">
              <w:rPr>
                <w:rFonts w:ascii="Arial" w:eastAsia="Arial" w:hAnsi="Arial" w:cs="Arial"/>
                <w:i/>
                <w:color w:val="000000"/>
                <w:sz w:val="18"/>
                <w:szCs w:val="18"/>
              </w:rPr>
              <w:t>Indicador sintético, calculado por agregado ponderado (pesos/criticidade) dos elementos de verificação do PV. Como regra, usa-se o perfil para priorizar intervenções e o nível global para comunicar o estado geral e comparar o Fundo ao longo do tempo ou entre entes.</w:t>
            </w:r>
          </w:p>
          <w:p w14:paraId="12EFFEDA" w14:textId="77777777" w:rsidR="001C7E6F" w:rsidRDefault="001C7E6F" w:rsidP="00BD3046">
            <w:pPr>
              <w:spacing w:after="0" w:line="240" w:lineRule="auto"/>
              <w:rPr>
                <w:rFonts w:ascii="Arial" w:eastAsia="Arial" w:hAnsi="Arial" w:cs="Arial"/>
                <w:color w:val="000000"/>
                <w:sz w:val="18"/>
                <w:szCs w:val="18"/>
              </w:rPr>
            </w:pPr>
          </w:p>
          <w:p w14:paraId="1C10AB44" w14:textId="77777777" w:rsidR="001C7E6F" w:rsidRPr="00ED5BA3" w:rsidRDefault="001C7E6F" w:rsidP="00BD3046">
            <w:pPr>
              <w:spacing w:after="0" w:line="240" w:lineRule="auto"/>
              <w:rPr>
                <w:rFonts w:ascii="Arial" w:eastAsia="Arial" w:hAnsi="Arial" w:cs="Arial"/>
                <w:color w:val="000000"/>
                <w:sz w:val="18"/>
                <w:szCs w:val="18"/>
              </w:rPr>
            </w:pPr>
            <w:r w:rsidRPr="00ED5BA3">
              <w:rPr>
                <w:rFonts w:ascii="Arial" w:eastAsia="Arial" w:hAnsi="Arial" w:cs="Arial"/>
                <w:b/>
                <w:color w:val="000000"/>
                <w:sz w:val="18"/>
                <w:szCs w:val="18"/>
              </w:rPr>
              <w:t>Nível Geral de Maturidade</w:t>
            </w:r>
            <w:r>
              <w:rPr>
                <w:rFonts w:ascii="Arial" w:eastAsia="Arial" w:hAnsi="Arial" w:cs="Arial"/>
                <w:b/>
                <w:color w:val="000000"/>
                <w:sz w:val="18"/>
                <w:szCs w:val="18"/>
              </w:rPr>
              <w:t xml:space="preserve"> </w:t>
            </w:r>
            <w:r w:rsidRPr="00ED5BA3">
              <w:rPr>
                <w:rFonts w:ascii="Arial" w:eastAsia="Arial" w:hAnsi="Arial" w:cs="Arial"/>
                <w:color w:val="000000"/>
                <w:sz w:val="18"/>
                <w:szCs w:val="18"/>
              </w:rPr>
              <w:t xml:space="preserve">- </w:t>
            </w:r>
            <w:r>
              <w:rPr>
                <w:rFonts w:ascii="Arial" w:eastAsia="Arial" w:hAnsi="Arial" w:cs="Arial"/>
                <w:color w:val="000000"/>
                <w:sz w:val="18"/>
                <w:szCs w:val="18"/>
              </w:rPr>
              <w:t>65% (</w:t>
            </w:r>
            <w:r w:rsidRPr="00ED5BA3">
              <w:rPr>
                <w:rFonts w:ascii="Arial" w:eastAsia="Arial" w:hAnsi="Arial" w:cs="Arial"/>
                <w:color w:val="000000"/>
                <w:sz w:val="18"/>
                <w:szCs w:val="18"/>
              </w:rPr>
              <w:t>Boa Maturidade</w:t>
            </w:r>
            <w:r>
              <w:rPr>
                <w:rFonts w:ascii="Arial" w:eastAsia="Arial" w:hAnsi="Arial" w:cs="Arial"/>
                <w:color w:val="000000"/>
                <w:sz w:val="18"/>
                <w:szCs w:val="18"/>
              </w:rPr>
              <w:t xml:space="preserve">), com </w:t>
            </w:r>
            <w:r w:rsidRPr="00ED5BA3">
              <w:rPr>
                <w:rFonts w:ascii="Arial" w:eastAsia="Arial" w:hAnsi="Arial" w:cs="Arial"/>
                <w:color w:val="000000"/>
                <w:sz w:val="18"/>
                <w:szCs w:val="18"/>
              </w:rPr>
              <w:t>p</w:t>
            </w:r>
            <w:r>
              <w:rPr>
                <w:rFonts w:ascii="Arial" w:eastAsia="Arial" w:hAnsi="Arial" w:cs="Arial"/>
                <w:color w:val="000000"/>
                <w:sz w:val="18"/>
                <w:szCs w:val="18"/>
              </w:rPr>
              <w:t>ontuação global: 77/128</w:t>
            </w:r>
            <w:r w:rsidRPr="00ED5BA3">
              <w:rPr>
                <w:rFonts w:ascii="Arial" w:eastAsia="Arial" w:hAnsi="Arial" w:cs="Arial"/>
                <w:color w:val="000000"/>
                <w:sz w:val="18"/>
                <w:szCs w:val="18"/>
              </w:rPr>
              <w:t>.</w:t>
            </w:r>
          </w:p>
          <w:p w14:paraId="468720C7" w14:textId="77777777" w:rsidR="001C7E6F" w:rsidRPr="00ED5BA3" w:rsidRDefault="001C7E6F" w:rsidP="00BD3046">
            <w:pPr>
              <w:spacing w:after="0" w:line="240" w:lineRule="auto"/>
              <w:rPr>
                <w:rFonts w:ascii="Arial" w:eastAsia="Arial" w:hAnsi="Arial" w:cs="Arial"/>
                <w:color w:val="000000"/>
                <w:sz w:val="18"/>
                <w:szCs w:val="18"/>
              </w:rPr>
            </w:pPr>
          </w:p>
          <w:p w14:paraId="49013A4D" w14:textId="77777777" w:rsidR="001C7E6F" w:rsidRPr="00ED5BA3" w:rsidRDefault="001C7E6F" w:rsidP="00BD3046">
            <w:pPr>
              <w:spacing w:after="0" w:line="240" w:lineRule="auto"/>
              <w:rPr>
                <w:rFonts w:ascii="Arial" w:eastAsia="Arial" w:hAnsi="Arial" w:cs="Arial"/>
                <w:color w:val="000000"/>
                <w:sz w:val="18"/>
                <w:szCs w:val="18"/>
              </w:rPr>
            </w:pPr>
            <w:r w:rsidRPr="00ED5BA3">
              <w:rPr>
                <w:rFonts w:ascii="Arial" w:eastAsia="Arial" w:hAnsi="Arial" w:cs="Arial"/>
                <w:color w:val="000000"/>
                <w:sz w:val="18"/>
                <w:szCs w:val="18"/>
              </w:rPr>
              <w:t>Perfil consolidado:</w:t>
            </w:r>
          </w:p>
          <w:p w14:paraId="4F2664CD" w14:textId="77777777" w:rsidR="001C7E6F" w:rsidRPr="00ED5BA3" w:rsidRDefault="001C7E6F" w:rsidP="00BD3046">
            <w:pPr>
              <w:spacing w:after="0" w:line="240" w:lineRule="auto"/>
              <w:rPr>
                <w:rFonts w:ascii="Arial" w:eastAsia="Arial" w:hAnsi="Arial" w:cs="Arial"/>
                <w:color w:val="000000"/>
                <w:sz w:val="18"/>
                <w:szCs w:val="18"/>
              </w:rPr>
            </w:pPr>
            <w:r w:rsidRPr="00ED5BA3">
              <w:rPr>
                <w:rFonts w:ascii="Arial" w:eastAsia="Arial" w:hAnsi="Arial" w:cs="Arial"/>
                <w:color w:val="000000"/>
                <w:sz w:val="18"/>
                <w:szCs w:val="18"/>
              </w:rPr>
              <w:t>Responsabilidade Arrecadatória: Pleno (88%).</w:t>
            </w:r>
          </w:p>
          <w:p w14:paraId="0EF5FB98" w14:textId="77777777" w:rsidR="001C7E6F" w:rsidRPr="00ED5BA3" w:rsidRDefault="001C7E6F" w:rsidP="00BD3046">
            <w:pPr>
              <w:spacing w:after="0" w:line="240" w:lineRule="auto"/>
              <w:rPr>
                <w:rFonts w:ascii="Arial" w:eastAsia="Arial" w:hAnsi="Arial" w:cs="Arial"/>
                <w:color w:val="000000"/>
                <w:sz w:val="18"/>
                <w:szCs w:val="18"/>
              </w:rPr>
            </w:pPr>
            <w:r w:rsidRPr="00ED5BA3">
              <w:rPr>
                <w:rFonts w:ascii="Arial" w:eastAsia="Arial" w:hAnsi="Arial" w:cs="Arial"/>
                <w:color w:val="000000"/>
                <w:sz w:val="18"/>
                <w:szCs w:val="18"/>
              </w:rPr>
              <w:t>Planejamento Orçamentário: Intermediário (54%).</w:t>
            </w:r>
          </w:p>
          <w:p w14:paraId="0DC1B802" w14:textId="77777777" w:rsidR="001C7E6F" w:rsidRPr="00ED5BA3" w:rsidRDefault="001C7E6F" w:rsidP="00BD3046">
            <w:pPr>
              <w:spacing w:after="0" w:line="240" w:lineRule="auto"/>
              <w:rPr>
                <w:rFonts w:ascii="Arial" w:eastAsia="Arial" w:hAnsi="Arial" w:cs="Arial"/>
                <w:color w:val="000000"/>
                <w:sz w:val="18"/>
                <w:szCs w:val="18"/>
              </w:rPr>
            </w:pPr>
            <w:r w:rsidRPr="00ED5BA3">
              <w:rPr>
                <w:rFonts w:ascii="Arial" w:eastAsia="Arial" w:hAnsi="Arial" w:cs="Arial"/>
                <w:color w:val="000000"/>
                <w:sz w:val="18"/>
                <w:szCs w:val="18"/>
              </w:rPr>
              <w:t>Execução Orçamentária e Financeira: Intermediário (54%).</w:t>
            </w:r>
          </w:p>
          <w:p w14:paraId="5BBCEAA2" w14:textId="77777777" w:rsidR="001C7E6F" w:rsidRDefault="001C7E6F" w:rsidP="00BD3046">
            <w:pPr>
              <w:spacing w:after="0" w:line="240" w:lineRule="auto"/>
              <w:rPr>
                <w:rFonts w:ascii="Arial" w:eastAsia="Arial" w:hAnsi="Arial" w:cs="Arial"/>
                <w:color w:val="000000"/>
                <w:sz w:val="18"/>
                <w:szCs w:val="18"/>
              </w:rPr>
            </w:pPr>
          </w:p>
          <w:p w14:paraId="798234BF"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De modo geral, </w:t>
            </w:r>
            <w:r w:rsidRPr="00ED5BA3">
              <w:rPr>
                <w:rFonts w:ascii="Arial" w:eastAsia="Arial" w:hAnsi="Arial" w:cs="Arial"/>
                <w:color w:val="000000"/>
                <w:sz w:val="18"/>
                <w:szCs w:val="18"/>
              </w:rPr>
              <w:t>o FECOEP-SP pode ser classificado como um Fundo de maturidade normativa e arrecadatória plena, mas de capacidade institucional e avaliativa ainda limitada, configurando um arranjo em transição entre a eficiência arrecadatória e a efetividade social.</w:t>
            </w:r>
          </w:p>
          <w:p w14:paraId="132E72CF" w14:textId="77777777" w:rsidR="001C7E6F" w:rsidRDefault="001C7E6F" w:rsidP="00BD3046">
            <w:pPr>
              <w:spacing w:after="0" w:line="240" w:lineRule="auto"/>
              <w:rPr>
                <w:rFonts w:ascii="Arial" w:eastAsia="Arial" w:hAnsi="Arial" w:cs="Arial"/>
                <w:color w:val="000000"/>
                <w:sz w:val="18"/>
                <w:szCs w:val="18"/>
              </w:rPr>
            </w:pPr>
          </w:p>
          <w:p w14:paraId="77F72691" w14:textId="77777777" w:rsidR="001C7E6F" w:rsidRPr="006C7DD1"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Assim, o</w:t>
            </w:r>
            <w:r w:rsidRPr="006C7DD1">
              <w:rPr>
                <w:rFonts w:ascii="Arial" w:eastAsia="Arial" w:hAnsi="Arial" w:cs="Arial"/>
                <w:color w:val="000000"/>
                <w:sz w:val="18"/>
                <w:szCs w:val="18"/>
              </w:rPr>
              <w:t xml:space="preserve">s principais gargalos que impedem o avanço </w:t>
            </w:r>
            <w:r>
              <w:rPr>
                <w:rFonts w:ascii="Arial" w:eastAsia="Arial" w:hAnsi="Arial" w:cs="Arial"/>
                <w:color w:val="000000"/>
                <w:sz w:val="18"/>
                <w:szCs w:val="18"/>
              </w:rPr>
              <w:t xml:space="preserve">do Fundo </w:t>
            </w:r>
            <w:r w:rsidRPr="006C7DD1">
              <w:rPr>
                <w:rFonts w:ascii="Arial" w:eastAsia="Arial" w:hAnsi="Arial" w:cs="Arial"/>
                <w:color w:val="000000"/>
                <w:sz w:val="18"/>
                <w:szCs w:val="18"/>
              </w:rPr>
              <w:t xml:space="preserve">para um nível de Maturidade </w:t>
            </w:r>
            <w:r>
              <w:rPr>
                <w:rFonts w:ascii="Arial" w:eastAsia="Arial" w:hAnsi="Arial" w:cs="Arial"/>
                <w:color w:val="000000"/>
                <w:sz w:val="18"/>
                <w:szCs w:val="18"/>
              </w:rPr>
              <w:t>“Referência”</w:t>
            </w:r>
            <w:r w:rsidRPr="006C7DD1">
              <w:rPr>
                <w:rFonts w:ascii="Arial" w:eastAsia="Arial" w:hAnsi="Arial" w:cs="Arial"/>
                <w:color w:val="000000"/>
                <w:sz w:val="18"/>
                <w:szCs w:val="18"/>
              </w:rPr>
              <w:t>, estão concentrados nas dimensões de natureza estratégica e avaliativa, especificamente:</w:t>
            </w:r>
          </w:p>
          <w:p w14:paraId="5F8F91CB" w14:textId="77777777" w:rsidR="001C7E6F" w:rsidRPr="000F33B1" w:rsidRDefault="001C7E6F" w:rsidP="0032733E">
            <w:pPr>
              <w:pStyle w:val="PargrafodaLista"/>
              <w:numPr>
                <w:ilvl w:val="0"/>
                <w:numId w:val="16"/>
              </w:numPr>
              <w:spacing w:after="0" w:line="240" w:lineRule="auto"/>
              <w:rPr>
                <w:rFonts w:eastAsia="Arial"/>
                <w:color w:val="000000"/>
                <w:sz w:val="18"/>
                <w:szCs w:val="18"/>
              </w:rPr>
            </w:pPr>
            <w:r w:rsidRPr="000F33B1">
              <w:rPr>
                <w:rFonts w:eastAsia="Arial"/>
                <w:color w:val="000000"/>
                <w:sz w:val="18"/>
                <w:szCs w:val="18"/>
              </w:rPr>
              <w:t>Planejamento Político-Institucional (0%): Falha na definição de critérios objetivos para a alocação dos recursos.</w:t>
            </w:r>
          </w:p>
          <w:p w14:paraId="21D9022C" w14:textId="77777777" w:rsidR="001C7E6F" w:rsidRPr="000F33B1" w:rsidRDefault="001C7E6F" w:rsidP="0032733E">
            <w:pPr>
              <w:pStyle w:val="PargrafodaLista"/>
              <w:numPr>
                <w:ilvl w:val="0"/>
                <w:numId w:val="15"/>
              </w:numPr>
              <w:spacing w:after="0" w:line="240" w:lineRule="auto"/>
              <w:rPr>
                <w:rFonts w:eastAsia="Arial"/>
                <w:color w:val="000000"/>
                <w:sz w:val="18"/>
                <w:szCs w:val="18"/>
              </w:rPr>
            </w:pPr>
            <w:r w:rsidRPr="000F33B1">
              <w:rPr>
                <w:rFonts w:eastAsia="Arial"/>
                <w:color w:val="000000"/>
                <w:sz w:val="18"/>
                <w:szCs w:val="18"/>
              </w:rPr>
              <w:t>Execução Avaliativa (0%): Falha na mensuração dos resultados e do impacto social (eficácia e efetividade) dos gastos.</w:t>
            </w:r>
          </w:p>
          <w:p w14:paraId="1D351B44" w14:textId="77777777" w:rsidR="001C7E6F" w:rsidRDefault="001C7E6F" w:rsidP="00BD3046">
            <w:pPr>
              <w:spacing w:after="0" w:line="240" w:lineRule="auto"/>
              <w:rPr>
                <w:rFonts w:ascii="Arial" w:eastAsia="Arial" w:hAnsi="Arial" w:cs="Arial"/>
                <w:color w:val="000000"/>
                <w:sz w:val="18"/>
                <w:szCs w:val="18"/>
              </w:rPr>
            </w:pPr>
          </w:p>
        </w:tc>
      </w:tr>
    </w:tbl>
    <w:p w14:paraId="249252B5" w14:textId="2BC85E07"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Fonte: Elaboração própria.</w:t>
      </w:r>
    </w:p>
    <w:p w14:paraId="6BB1038D" w14:textId="6FE9927B" w:rsidR="001C7E6F" w:rsidRPr="001C7E6F" w:rsidRDefault="001C7E6F" w:rsidP="001C7E6F">
      <w:pPr>
        <w:keepNext/>
        <w:pBdr>
          <w:top w:val="nil"/>
          <w:left w:val="nil"/>
          <w:bottom w:val="nil"/>
          <w:right w:val="nil"/>
          <w:between w:val="nil"/>
        </w:pBdr>
        <w:spacing w:after="0" w:line="360" w:lineRule="auto"/>
        <w:jc w:val="center"/>
        <w:rPr>
          <w:rFonts w:ascii="Arial" w:eastAsia="Arial" w:hAnsi="Arial" w:cs="Arial"/>
          <w:color w:val="000000"/>
          <w:szCs w:val="20"/>
        </w:rPr>
      </w:pPr>
      <w:r>
        <w:rPr>
          <w:rFonts w:ascii="Arial" w:eastAsia="Arial" w:hAnsi="Arial" w:cs="Arial"/>
          <w:color w:val="000000"/>
          <w:szCs w:val="20"/>
        </w:rPr>
        <w:t>ANEXO</w:t>
      </w:r>
      <w:r w:rsidRPr="001C7E6F">
        <w:rPr>
          <w:rFonts w:ascii="Arial" w:eastAsia="Arial" w:hAnsi="Arial" w:cs="Arial"/>
          <w:color w:val="000000"/>
          <w:szCs w:val="20"/>
        </w:rPr>
        <w:t xml:space="preserve"> – MATRIZ DE RECOMENDAÇÃO DO FECOEP-SP</w:t>
      </w:r>
    </w:p>
    <w:tbl>
      <w:tblP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8"/>
        <w:gridCol w:w="3685"/>
        <w:gridCol w:w="3963"/>
      </w:tblGrid>
      <w:tr w:rsidR="001C7E6F" w:rsidRPr="00FC4199" w14:paraId="38007CD1" w14:textId="77777777" w:rsidTr="00BD3046">
        <w:trPr>
          <w:trHeight w:val="20"/>
        </w:trPr>
        <w:tc>
          <w:tcPr>
            <w:tcW w:w="1418" w:type="dxa"/>
            <w:shd w:val="clear" w:color="auto" w:fill="auto"/>
            <w:vAlign w:val="center"/>
            <w:hideMark/>
          </w:tcPr>
          <w:p w14:paraId="00E23030" w14:textId="77777777" w:rsidR="001C7E6F" w:rsidRPr="00FC4199" w:rsidRDefault="001C7E6F" w:rsidP="00BD3046">
            <w:pPr>
              <w:spacing w:after="0" w:line="240" w:lineRule="auto"/>
              <w:jc w:val="center"/>
              <w:rPr>
                <w:rFonts w:ascii="Arial" w:eastAsia="Times New Roman" w:hAnsi="Arial" w:cs="Arial"/>
                <w:b/>
                <w:bCs/>
                <w:color w:val="000000"/>
                <w:sz w:val="18"/>
                <w:szCs w:val="18"/>
                <w:lang w:eastAsia="pt-BR"/>
              </w:rPr>
            </w:pPr>
            <w:r w:rsidRPr="00FC4199">
              <w:rPr>
                <w:rFonts w:ascii="Arial" w:eastAsia="Times New Roman" w:hAnsi="Arial" w:cs="Arial"/>
                <w:b/>
                <w:bCs/>
                <w:color w:val="000000"/>
                <w:sz w:val="18"/>
                <w:szCs w:val="18"/>
                <w:lang w:eastAsia="pt-BR"/>
              </w:rPr>
              <w:t>Responsável</w:t>
            </w:r>
          </w:p>
        </w:tc>
        <w:tc>
          <w:tcPr>
            <w:tcW w:w="3685" w:type="dxa"/>
            <w:shd w:val="clear" w:color="auto" w:fill="auto"/>
            <w:vAlign w:val="center"/>
            <w:hideMark/>
          </w:tcPr>
          <w:p w14:paraId="005F4D93" w14:textId="77777777" w:rsidR="001C7E6F" w:rsidRPr="00FC4199" w:rsidRDefault="001C7E6F" w:rsidP="00BD3046">
            <w:pPr>
              <w:spacing w:after="0" w:line="240" w:lineRule="auto"/>
              <w:jc w:val="center"/>
              <w:rPr>
                <w:rFonts w:ascii="Arial" w:eastAsia="Times New Roman" w:hAnsi="Arial" w:cs="Arial"/>
                <w:b/>
                <w:bCs/>
                <w:color w:val="000000"/>
                <w:sz w:val="18"/>
                <w:szCs w:val="18"/>
                <w:lang w:eastAsia="pt-BR"/>
              </w:rPr>
            </w:pPr>
            <w:r w:rsidRPr="00FC4199">
              <w:rPr>
                <w:rFonts w:ascii="Arial" w:eastAsia="Times New Roman" w:hAnsi="Arial" w:cs="Arial"/>
                <w:b/>
                <w:bCs/>
                <w:color w:val="000000"/>
                <w:sz w:val="18"/>
                <w:szCs w:val="18"/>
                <w:lang w:eastAsia="pt-BR"/>
              </w:rPr>
              <w:t>Ações Preventivas (Riscos associados)</w:t>
            </w:r>
          </w:p>
        </w:tc>
        <w:tc>
          <w:tcPr>
            <w:tcW w:w="3963" w:type="dxa"/>
            <w:shd w:val="clear" w:color="auto" w:fill="auto"/>
            <w:vAlign w:val="center"/>
            <w:hideMark/>
          </w:tcPr>
          <w:p w14:paraId="632FB35A" w14:textId="77777777" w:rsidR="001C7E6F" w:rsidRPr="00FC4199" w:rsidRDefault="001C7E6F" w:rsidP="00BD3046">
            <w:pPr>
              <w:spacing w:after="0" w:line="240" w:lineRule="auto"/>
              <w:jc w:val="center"/>
              <w:rPr>
                <w:rFonts w:ascii="Arial" w:eastAsia="Times New Roman" w:hAnsi="Arial" w:cs="Arial"/>
                <w:b/>
                <w:bCs/>
                <w:color w:val="000000"/>
                <w:sz w:val="18"/>
                <w:szCs w:val="18"/>
                <w:lang w:eastAsia="pt-BR"/>
              </w:rPr>
            </w:pPr>
            <w:r w:rsidRPr="00FC4199">
              <w:rPr>
                <w:rFonts w:ascii="Arial" w:eastAsia="Times New Roman" w:hAnsi="Arial" w:cs="Arial"/>
                <w:b/>
                <w:bCs/>
                <w:color w:val="000000"/>
                <w:sz w:val="18"/>
                <w:szCs w:val="18"/>
                <w:lang w:eastAsia="pt-BR"/>
              </w:rPr>
              <w:t>Ações de Contingência (Riscos associados)</w:t>
            </w:r>
          </w:p>
        </w:tc>
      </w:tr>
      <w:tr w:rsidR="001C7E6F" w:rsidRPr="00FC4199" w14:paraId="65A7E8A8" w14:textId="77777777" w:rsidTr="00BD3046">
        <w:trPr>
          <w:trHeight w:val="20"/>
        </w:trPr>
        <w:tc>
          <w:tcPr>
            <w:tcW w:w="1418" w:type="dxa"/>
            <w:shd w:val="clear" w:color="auto" w:fill="auto"/>
            <w:vAlign w:val="center"/>
            <w:hideMark/>
          </w:tcPr>
          <w:p w14:paraId="05C12855" w14:textId="77777777" w:rsidR="001C7E6F" w:rsidRPr="00FC4199" w:rsidRDefault="001C7E6F" w:rsidP="00BD3046">
            <w:pPr>
              <w:spacing w:after="0" w:line="240" w:lineRule="auto"/>
              <w:rPr>
                <w:rFonts w:ascii="Arial" w:eastAsia="Times New Roman" w:hAnsi="Arial" w:cs="Arial"/>
                <w:b/>
                <w:bCs/>
                <w:color w:val="000000"/>
                <w:sz w:val="18"/>
                <w:szCs w:val="18"/>
                <w:lang w:eastAsia="pt-BR"/>
              </w:rPr>
            </w:pPr>
            <w:r w:rsidRPr="00FC4199">
              <w:rPr>
                <w:rFonts w:ascii="Arial" w:eastAsia="Times New Roman" w:hAnsi="Arial" w:cs="Arial"/>
                <w:b/>
                <w:bCs/>
                <w:color w:val="000000"/>
                <w:sz w:val="18"/>
                <w:szCs w:val="18"/>
                <w:lang w:eastAsia="pt-BR"/>
              </w:rPr>
              <w:t>Conselho Gestor do Fundo (CGF)</w:t>
            </w:r>
          </w:p>
        </w:tc>
        <w:tc>
          <w:tcPr>
            <w:tcW w:w="3685" w:type="dxa"/>
            <w:shd w:val="clear" w:color="auto" w:fill="auto"/>
            <w:vAlign w:val="center"/>
            <w:hideMark/>
          </w:tcPr>
          <w:p w14:paraId="5E350684"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Elaborar e aprovar PA anual (R10, R32).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xml:space="preserve">- Garantir paridade entre governo e sociedade civil (R40).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lastRenderedPageBreak/>
              <w:t>- Aprovar PA/PAF dentro de calendário fixo (R32).</w:t>
            </w:r>
          </w:p>
        </w:tc>
        <w:tc>
          <w:tcPr>
            <w:tcW w:w="3963" w:type="dxa"/>
            <w:shd w:val="clear" w:color="auto" w:fill="auto"/>
            <w:vAlign w:val="center"/>
            <w:hideMark/>
          </w:tcPr>
          <w:p w14:paraId="3347D44A"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lastRenderedPageBreak/>
              <w:t>- Aprovar PA emergencial</w:t>
            </w:r>
            <w:r>
              <w:rPr>
                <w:rFonts w:ascii="Arial" w:eastAsia="Times New Roman" w:hAnsi="Arial" w:cs="Arial"/>
                <w:color w:val="000000"/>
                <w:sz w:val="18"/>
                <w:szCs w:val="18"/>
                <w:lang w:eastAsia="pt-BR"/>
              </w:rPr>
              <w:t>,</w:t>
            </w:r>
            <w:r w:rsidRPr="00FC4199">
              <w:rPr>
                <w:rFonts w:ascii="Arial" w:eastAsia="Times New Roman" w:hAnsi="Arial" w:cs="Arial"/>
                <w:color w:val="000000"/>
                <w:sz w:val="18"/>
                <w:szCs w:val="18"/>
                <w:lang w:eastAsia="pt-BR"/>
              </w:rPr>
              <w:t xml:space="preserve"> em caso de atraso (R10).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Recompor cadeiras</w:t>
            </w:r>
            <w:r>
              <w:rPr>
                <w:rFonts w:ascii="Arial" w:eastAsia="Times New Roman" w:hAnsi="Arial" w:cs="Arial"/>
                <w:color w:val="000000"/>
                <w:sz w:val="18"/>
                <w:szCs w:val="18"/>
                <w:lang w:eastAsia="pt-BR"/>
              </w:rPr>
              <w:t>,</w:t>
            </w:r>
            <w:r w:rsidRPr="00FC4199">
              <w:rPr>
                <w:rFonts w:ascii="Arial" w:eastAsia="Times New Roman" w:hAnsi="Arial" w:cs="Arial"/>
                <w:color w:val="000000"/>
                <w:sz w:val="18"/>
                <w:szCs w:val="18"/>
                <w:lang w:eastAsia="pt-BR"/>
              </w:rPr>
              <w:t xml:space="preserve"> em caso de desequilíbrio </w:t>
            </w:r>
            <w:r w:rsidRPr="00FC4199">
              <w:rPr>
                <w:rFonts w:ascii="Arial" w:eastAsia="Times New Roman" w:hAnsi="Arial" w:cs="Arial"/>
                <w:color w:val="000000"/>
                <w:sz w:val="18"/>
                <w:szCs w:val="18"/>
                <w:lang w:eastAsia="pt-BR"/>
              </w:rPr>
              <w:lastRenderedPageBreak/>
              <w:t xml:space="preserve">de representação (R40).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xml:space="preserve">- Reprogramar ações priorizando </w:t>
            </w:r>
            <w:r>
              <w:rPr>
                <w:rFonts w:ascii="Arial" w:eastAsia="Times New Roman" w:hAnsi="Arial" w:cs="Arial"/>
                <w:color w:val="000000"/>
                <w:sz w:val="18"/>
                <w:szCs w:val="18"/>
                <w:lang w:eastAsia="pt-BR"/>
              </w:rPr>
              <w:t xml:space="preserve">o </w:t>
            </w:r>
            <w:r w:rsidRPr="00FC4199">
              <w:rPr>
                <w:rFonts w:ascii="Arial" w:eastAsia="Times New Roman" w:hAnsi="Arial" w:cs="Arial"/>
                <w:color w:val="000000"/>
                <w:sz w:val="18"/>
                <w:szCs w:val="18"/>
                <w:lang w:eastAsia="pt-BR"/>
              </w:rPr>
              <w:t>foco finalístico em cenários de subexecução (R21, R50).</w:t>
            </w:r>
          </w:p>
        </w:tc>
      </w:tr>
      <w:tr w:rsidR="001C7E6F" w:rsidRPr="00FC4199" w14:paraId="52621666" w14:textId="77777777" w:rsidTr="00BD3046">
        <w:trPr>
          <w:trHeight w:val="20"/>
        </w:trPr>
        <w:tc>
          <w:tcPr>
            <w:tcW w:w="1418" w:type="dxa"/>
            <w:shd w:val="clear" w:color="auto" w:fill="auto"/>
            <w:vAlign w:val="center"/>
            <w:hideMark/>
          </w:tcPr>
          <w:p w14:paraId="759563B3" w14:textId="77777777" w:rsidR="001C7E6F" w:rsidRPr="00FC4199" w:rsidRDefault="001C7E6F" w:rsidP="00BD3046">
            <w:pPr>
              <w:spacing w:after="0" w:line="240" w:lineRule="auto"/>
              <w:rPr>
                <w:rFonts w:ascii="Arial" w:eastAsia="Times New Roman" w:hAnsi="Arial" w:cs="Arial"/>
                <w:b/>
                <w:bCs/>
                <w:color w:val="000000"/>
                <w:sz w:val="18"/>
                <w:szCs w:val="18"/>
                <w:lang w:eastAsia="pt-BR"/>
              </w:rPr>
            </w:pPr>
            <w:r w:rsidRPr="00FC4199">
              <w:rPr>
                <w:rFonts w:ascii="Arial" w:eastAsia="Times New Roman" w:hAnsi="Arial" w:cs="Arial"/>
                <w:b/>
                <w:bCs/>
                <w:color w:val="000000"/>
                <w:sz w:val="18"/>
                <w:szCs w:val="18"/>
                <w:lang w:eastAsia="pt-BR"/>
              </w:rPr>
              <w:lastRenderedPageBreak/>
              <w:t>Órgão Gestor do Fundo (OGF)</w:t>
            </w:r>
          </w:p>
        </w:tc>
        <w:tc>
          <w:tcPr>
            <w:tcW w:w="3685" w:type="dxa"/>
            <w:shd w:val="clear" w:color="auto" w:fill="auto"/>
            <w:vAlign w:val="center"/>
            <w:hideMark/>
          </w:tcPr>
          <w:p w14:paraId="7F1EAEBA"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Assegurar execução financeira regular e vinculada a metas (R21, R23).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xml:space="preserve">- Produzir relatórios quadrimestrais e anuais (R42).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xml:space="preserve">- Implantar painel de monitoramento e indicadores de impacto </w:t>
            </w:r>
            <w:r>
              <w:rPr>
                <w:rFonts w:ascii="Arial" w:eastAsia="Times New Roman" w:hAnsi="Arial" w:cs="Arial"/>
                <w:color w:val="000000"/>
                <w:sz w:val="18"/>
                <w:szCs w:val="18"/>
                <w:lang w:eastAsia="pt-BR"/>
              </w:rPr>
              <w:t xml:space="preserve">social </w:t>
            </w:r>
            <w:r w:rsidRPr="00FC4199">
              <w:rPr>
                <w:rFonts w:ascii="Arial" w:eastAsia="Times New Roman" w:hAnsi="Arial" w:cs="Arial"/>
                <w:color w:val="000000"/>
                <w:sz w:val="18"/>
                <w:szCs w:val="18"/>
                <w:lang w:eastAsia="pt-BR"/>
              </w:rPr>
              <w:t xml:space="preserve">(R49, R53).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Tornar obrigatória a avaliação anual (R52).</w:t>
            </w:r>
          </w:p>
        </w:tc>
        <w:tc>
          <w:tcPr>
            <w:tcW w:w="3963" w:type="dxa"/>
            <w:shd w:val="clear" w:color="auto" w:fill="auto"/>
            <w:vAlign w:val="center"/>
            <w:hideMark/>
          </w:tcPr>
          <w:p w14:paraId="57221A91"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Publicar relatórios retroativos quando houver falhas (R42, R52).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xml:space="preserve">- Revisar metas ou suplementar dotações (R19, R21).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Redesenhar políticas em caso de baixa efetividade (R54).</w:t>
            </w:r>
          </w:p>
        </w:tc>
      </w:tr>
      <w:tr w:rsidR="001C7E6F" w:rsidRPr="00FC4199" w14:paraId="42AD16B1" w14:textId="77777777" w:rsidTr="00BD3046">
        <w:trPr>
          <w:trHeight w:val="20"/>
        </w:trPr>
        <w:tc>
          <w:tcPr>
            <w:tcW w:w="1418" w:type="dxa"/>
            <w:shd w:val="clear" w:color="auto" w:fill="auto"/>
            <w:vAlign w:val="center"/>
            <w:hideMark/>
          </w:tcPr>
          <w:p w14:paraId="18022C36" w14:textId="77777777" w:rsidR="001C7E6F" w:rsidRPr="00FC4199" w:rsidRDefault="001C7E6F" w:rsidP="00BD3046">
            <w:pPr>
              <w:spacing w:after="0" w:line="240" w:lineRule="auto"/>
              <w:rPr>
                <w:rFonts w:ascii="Arial" w:eastAsia="Times New Roman" w:hAnsi="Arial" w:cs="Arial"/>
                <w:b/>
                <w:bCs/>
                <w:color w:val="000000"/>
                <w:sz w:val="18"/>
                <w:szCs w:val="18"/>
                <w:lang w:eastAsia="pt-BR"/>
              </w:rPr>
            </w:pPr>
            <w:r w:rsidRPr="00FC4199">
              <w:rPr>
                <w:rFonts w:ascii="Arial" w:eastAsia="Times New Roman" w:hAnsi="Arial" w:cs="Arial"/>
                <w:b/>
                <w:bCs/>
                <w:color w:val="000000"/>
                <w:sz w:val="18"/>
                <w:szCs w:val="18"/>
                <w:lang w:eastAsia="pt-BR"/>
              </w:rPr>
              <w:t>Secretaria de Planejamento e Gestão (</w:t>
            </w:r>
            <w:r>
              <w:rPr>
                <w:rFonts w:ascii="Arial" w:eastAsia="Times New Roman" w:hAnsi="Arial" w:cs="Arial"/>
                <w:b/>
                <w:bCs/>
                <w:color w:val="000000"/>
                <w:sz w:val="18"/>
                <w:szCs w:val="18"/>
                <w:lang w:eastAsia="pt-BR"/>
              </w:rPr>
              <w:t>ou Órgão equivalente</w:t>
            </w:r>
            <w:r w:rsidRPr="00FC4199">
              <w:rPr>
                <w:rFonts w:ascii="Arial" w:eastAsia="Times New Roman" w:hAnsi="Arial" w:cs="Arial"/>
                <w:b/>
                <w:bCs/>
                <w:color w:val="000000"/>
                <w:sz w:val="18"/>
                <w:szCs w:val="18"/>
                <w:lang w:eastAsia="pt-BR"/>
              </w:rPr>
              <w:t>)</w:t>
            </w:r>
          </w:p>
        </w:tc>
        <w:tc>
          <w:tcPr>
            <w:tcW w:w="3685" w:type="dxa"/>
            <w:shd w:val="clear" w:color="auto" w:fill="auto"/>
            <w:vAlign w:val="center"/>
            <w:hideMark/>
          </w:tcPr>
          <w:p w14:paraId="2666CF56"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Classificar </w:t>
            </w:r>
            <w:r>
              <w:rPr>
                <w:rFonts w:ascii="Arial" w:eastAsia="Times New Roman" w:hAnsi="Arial" w:cs="Arial"/>
                <w:color w:val="000000"/>
                <w:sz w:val="18"/>
                <w:szCs w:val="18"/>
                <w:lang w:eastAsia="pt-BR"/>
              </w:rPr>
              <w:t xml:space="preserve">o detalhamento da natureza das </w:t>
            </w:r>
            <w:r w:rsidRPr="00FC4199">
              <w:rPr>
                <w:rFonts w:ascii="Arial" w:eastAsia="Times New Roman" w:hAnsi="Arial" w:cs="Arial"/>
                <w:color w:val="000000"/>
                <w:sz w:val="18"/>
                <w:szCs w:val="18"/>
                <w:lang w:eastAsia="pt-BR"/>
              </w:rPr>
              <w:t xml:space="preserve">receitas </w:t>
            </w:r>
            <w:r>
              <w:rPr>
                <w:rFonts w:ascii="Arial" w:eastAsia="Times New Roman" w:hAnsi="Arial" w:cs="Arial"/>
                <w:color w:val="000000"/>
                <w:sz w:val="18"/>
                <w:szCs w:val="18"/>
                <w:lang w:eastAsia="pt-BR"/>
              </w:rPr>
              <w:t xml:space="preserve">do Fundo e por </w:t>
            </w:r>
            <w:r w:rsidRPr="00FC4199">
              <w:rPr>
                <w:rFonts w:ascii="Arial" w:eastAsia="Times New Roman" w:hAnsi="Arial" w:cs="Arial"/>
                <w:color w:val="000000"/>
                <w:sz w:val="18"/>
                <w:szCs w:val="18"/>
                <w:lang w:eastAsia="pt-BR"/>
              </w:rPr>
              <w:t>fonte</w:t>
            </w:r>
            <w:r>
              <w:rPr>
                <w:rFonts w:ascii="Arial" w:eastAsia="Times New Roman" w:hAnsi="Arial" w:cs="Arial"/>
                <w:color w:val="000000"/>
                <w:sz w:val="18"/>
                <w:szCs w:val="18"/>
                <w:lang w:eastAsia="pt-BR"/>
              </w:rPr>
              <w:t xml:space="preserve"> de recursos</w:t>
            </w:r>
            <w:r w:rsidRPr="00FC4199">
              <w:rPr>
                <w:rFonts w:ascii="Arial" w:eastAsia="Times New Roman" w:hAnsi="Arial" w:cs="Arial"/>
                <w:color w:val="000000"/>
                <w:sz w:val="18"/>
                <w:szCs w:val="18"/>
                <w:lang w:eastAsia="pt-BR"/>
              </w:rPr>
              <w:t xml:space="preserve"> na LOA (R14).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xml:space="preserve">- Vincular metas do PPA/LDO às fontes do Fundo (R19).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Alinhar cronogramas de execução à arrecadação (R22).</w:t>
            </w:r>
          </w:p>
        </w:tc>
        <w:tc>
          <w:tcPr>
            <w:tcW w:w="3963" w:type="dxa"/>
            <w:shd w:val="clear" w:color="auto" w:fill="auto"/>
            <w:vAlign w:val="center"/>
            <w:hideMark/>
          </w:tcPr>
          <w:p w14:paraId="512CE72A"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Emitir notas técnicas de mapeamento retroativo e ajustes (R14).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Reprogramar dotações e desembolsos priorizando entregas sociais (R21, R23).</w:t>
            </w:r>
          </w:p>
        </w:tc>
      </w:tr>
      <w:tr w:rsidR="001C7E6F" w:rsidRPr="00FC4199" w14:paraId="60028A94" w14:textId="77777777" w:rsidTr="00BD3046">
        <w:trPr>
          <w:trHeight w:val="20"/>
        </w:trPr>
        <w:tc>
          <w:tcPr>
            <w:tcW w:w="1418" w:type="dxa"/>
            <w:shd w:val="clear" w:color="auto" w:fill="auto"/>
            <w:vAlign w:val="center"/>
            <w:hideMark/>
          </w:tcPr>
          <w:p w14:paraId="054C5561" w14:textId="77777777" w:rsidR="001C7E6F" w:rsidRPr="00FC4199" w:rsidRDefault="001C7E6F" w:rsidP="00BD3046">
            <w:pPr>
              <w:spacing w:after="0" w:line="240" w:lineRule="auto"/>
              <w:rPr>
                <w:rFonts w:ascii="Arial" w:eastAsia="Times New Roman" w:hAnsi="Arial" w:cs="Arial"/>
                <w:b/>
                <w:bCs/>
                <w:color w:val="000000"/>
                <w:sz w:val="18"/>
                <w:szCs w:val="18"/>
                <w:lang w:eastAsia="pt-BR"/>
              </w:rPr>
            </w:pPr>
            <w:r w:rsidRPr="00FC4199">
              <w:rPr>
                <w:rFonts w:ascii="Arial" w:eastAsia="Times New Roman" w:hAnsi="Arial" w:cs="Arial"/>
                <w:b/>
                <w:bCs/>
                <w:color w:val="000000"/>
                <w:sz w:val="18"/>
                <w:szCs w:val="18"/>
                <w:lang w:eastAsia="pt-BR"/>
              </w:rPr>
              <w:t>Secretaria d</w:t>
            </w:r>
            <w:r>
              <w:rPr>
                <w:rFonts w:ascii="Arial" w:eastAsia="Times New Roman" w:hAnsi="Arial" w:cs="Arial"/>
                <w:b/>
                <w:bCs/>
                <w:color w:val="000000"/>
                <w:sz w:val="18"/>
                <w:szCs w:val="18"/>
                <w:lang w:eastAsia="pt-BR"/>
              </w:rPr>
              <w:t xml:space="preserve">e Fazenda </w:t>
            </w:r>
          </w:p>
        </w:tc>
        <w:tc>
          <w:tcPr>
            <w:tcW w:w="3685" w:type="dxa"/>
            <w:shd w:val="clear" w:color="auto" w:fill="auto"/>
            <w:vAlign w:val="center"/>
            <w:hideMark/>
          </w:tcPr>
          <w:p w14:paraId="5C740BE1"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Garantir </w:t>
            </w:r>
            <w:r>
              <w:rPr>
                <w:rFonts w:ascii="Arial" w:eastAsia="Times New Roman" w:hAnsi="Arial" w:cs="Arial"/>
                <w:color w:val="000000"/>
                <w:sz w:val="18"/>
                <w:szCs w:val="18"/>
                <w:lang w:eastAsia="pt-BR"/>
              </w:rPr>
              <w:t xml:space="preserve">a </w:t>
            </w:r>
            <w:r w:rsidRPr="00FC4199">
              <w:rPr>
                <w:rFonts w:ascii="Arial" w:eastAsia="Times New Roman" w:hAnsi="Arial" w:cs="Arial"/>
                <w:color w:val="000000"/>
                <w:sz w:val="18"/>
                <w:szCs w:val="18"/>
                <w:lang w:eastAsia="pt-BR"/>
              </w:rPr>
              <w:t xml:space="preserve">correta </w:t>
            </w:r>
            <w:r>
              <w:rPr>
                <w:rFonts w:ascii="Arial" w:eastAsia="Times New Roman" w:hAnsi="Arial" w:cs="Arial"/>
                <w:color w:val="000000"/>
                <w:sz w:val="18"/>
                <w:szCs w:val="18"/>
                <w:lang w:eastAsia="pt-BR"/>
              </w:rPr>
              <w:t xml:space="preserve">identificação da fonte do Fundo, desde a previsão da receita até a execução da despesa </w:t>
            </w:r>
            <w:r w:rsidRPr="00FC4199">
              <w:rPr>
                <w:rFonts w:ascii="Arial" w:eastAsia="Times New Roman" w:hAnsi="Arial" w:cs="Arial"/>
                <w:color w:val="000000"/>
                <w:sz w:val="18"/>
                <w:szCs w:val="18"/>
                <w:lang w:eastAsia="pt-BR"/>
              </w:rPr>
              <w:t xml:space="preserve">(R14).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xml:space="preserve">- Apoiar </w:t>
            </w:r>
            <w:r>
              <w:rPr>
                <w:rFonts w:ascii="Arial" w:eastAsia="Times New Roman" w:hAnsi="Arial" w:cs="Arial"/>
                <w:color w:val="000000"/>
                <w:sz w:val="18"/>
                <w:szCs w:val="18"/>
                <w:lang w:eastAsia="pt-BR"/>
              </w:rPr>
              <w:t xml:space="preserve">o </w:t>
            </w:r>
            <w:r w:rsidRPr="00FC4199">
              <w:rPr>
                <w:rFonts w:ascii="Arial" w:eastAsia="Times New Roman" w:hAnsi="Arial" w:cs="Arial"/>
                <w:color w:val="000000"/>
                <w:sz w:val="18"/>
                <w:szCs w:val="18"/>
                <w:lang w:eastAsia="pt-BR"/>
              </w:rPr>
              <w:t xml:space="preserve">planejamento de pagamentos </w:t>
            </w:r>
            <w:r>
              <w:rPr>
                <w:rFonts w:ascii="Arial" w:eastAsia="Times New Roman" w:hAnsi="Arial" w:cs="Arial"/>
                <w:color w:val="000000"/>
                <w:sz w:val="18"/>
                <w:szCs w:val="18"/>
                <w:lang w:eastAsia="pt-BR"/>
              </w:rPr>
              <w:t xml:space="preserve">com recursos do Fundo </w:t>
            </w:r>
            <w:r w:rsidRPr="00FC4199">
              <w:rPr>
                <w:rFonts w:ascii="Arial" w:eastAsia="Times New Roman" w:hAnsi="Arial" w:cs="Arial"/>
                <w:color w:val="000000"/>
                <w:sz w:val="18"/>
                <w:szCs w:val="18"/>
                <w:lang w:eastAsia="pt-BR"/>
              </w:rPr>
              <w:t>(R23).</w:t>
            </w:r>
          </w:p>
        </w:tc>
        <w:tc>
          <w:tcPr>
            <w:tcW w:w="3963" w:type="dxa"/>
            <w:shd w:val="clear" w:color="auto" w:fill="auto"/>
            <w:vAlign w:val="center"/>
            <w:hideMark/>
          </w:tcPr>
          <w:p w14:paraId="6AF8A5EE"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Ajustar cronogramas de desembolso em caso de descompasso arrecadação × execução (R23).</w:t>
            </w:r>
          </w:p>
        </w:tc>
      </w:tr>
      <w:tr w:rsidR="001C7E6F" w:rsidRPr="00FC4199" w14:paraId="65634A8F" w14:textId="77777777" w:rsidTr="00BD3046">
        <w:trPr>
          <w:trHeight w:val="20"/>
        </w:trPr>
        <w:tc>
          <w:tcPr>
            <w:tcW w:w="1418" w:type="dxa"/>
            <w:shd w:val="clear" w:color="auto" w:fill="auto"/>
            <w:vAlign w:val="center"/>
            <w:hideMark/>
          </w:tcPr>
          <w:p w14:paraId="5C8B37FD" w14:textId="77777777" w:rsidR="001C7E6F" w:rsidRPr="00FC4199" w:rsidRDefault="001C7E6F" w:rsidP="00BD3046">
            <w:pPr>
              <w:spacing w:after="0" w:line="240" w:lineRule="auto"/>
              <w:rPr>
                <w:rFonts w:ascii="Arial" w:eastAsia="Times New Roman" w:hAnsi="Arial" w:cs="Arial"/>
                <w:b/>
                <w:bCs/>
                <w:color w:val="000000"/>
                <w:sz w:val="18"/>
                <w:szCs w:val="18"/>
                <w:lang w:eastAsia="pt-BR"/>
              </w:rPr>
            </w:pPr>
            <w:r>
              <w:rPr>
                <w:rFonts w:ascii="Arial" w:eastAsia="Times New Roman" w:hAnsi="Arial" w:cs="Arial"/>
                <w:b/>
                <w:bCs/>
                <w:color w:val="000000"/>
                <w:sz w:val="18"/>
                <w:szCs w:val="18"/>
                <w:lang w:eastAsia="pt-BR"/>
              </w:rPr>
              <w:t>Controladoria Interna</w:t>
            </w:r>
          </w:p>
        </w:tc>
        <w:tc>
          <w:tcPr>
            <w:tcW w:w="3685" w:type="dxa"/>
            <w:shd w:val="clear" w:color="auto" w:fill="auto"/>
            <w:vAlign w:val="center"/>
            <w:hideMark/>
          </w:tcPr>
          <w:p w14:paraId="63EFD826"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Fortalecer </w:t>
            </w:r>
            <w:r>
              <w:rPr>
                <w:rFonts w:ascii="Arial" w:eastAsia="Times New Roman" w:hAnsi="Arial" w:cs="Arial"/>
                <w:color w:val="000000"/>
                <w:sz w:val="18"/>
                <w:szCs w:val="18"/>
                <w:lang w:eastAsia="pt-BR"/>
              </w:rPr>
              <w:t xml:space="preserve">processos de </w:t>
            </w:r>
            <w:r w:rsidRPr="00FC4199">
              <w:rPr>
                <w:rFonts w:ascii="Arial" w:eastAsia="Times New Roman" w:hAnsi="Arial" w:cs="Arial"/>
                <w:color w:val="000000"/>
                <w:sz w:val="18"/>
                <w:szCs w:val="18"/>
                <w:lang w:eastAsia="pt-BR"/>
              </w:rPr>
              <w:t>controles internos e</w:t>
            </w:r>
            <w:r>
              <w:rPr>
                <w:rFonts w:ascii="Arial" w:eastAsia="Times New Roman" w:hAnsi="Arial" w:cs="Arial"/>
                <w:color w:val="000000"/>
                <w:sz w:val="18"/>
                <w:szCs w:val="18"/>
                <w:lang w:eastAsia="pt-BR"/>
              </w:rPr>
              <w:t xml:space="preserve"> a</w:t>
            </w:r>
            <w:r w:rsidRPr="00FC4199">
              <w:rPr>
                <w:rFonts w:ascii="Arial" w:eastAsia="Times New Roman" w:hAnsi="Arial" w:cs="Arial"/>
                <w:color w:val="000000"/>
                <w:sz w:val="18"/>
                <w:szCs w:val="18"/>
                <w:lang w:eastAsia="pt-BR"/>
              </w:rPr>
              <w:t xml:space="preserve"> cooperação com TC (R46).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xml:space="preserve">- Implementar programa de integridade e canais de denúncia (R48).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Exigir trâmite jurídico prévio de elegibilidade (R51).</w:t>
            </w:r>
          </w:p>
        </w:tc>
        <w:tc>
          <w:tcPr>
            <w:tcW w:w="3963" w:type="dxa"/>
            <w:shd w:val="clear" w:color="auto" w:fill="auto"/>
            <w:vAlign w:val="center"/>
            <w:hideMark/>
          </w:tcPr>
          <w:p w14:paraId="03441196"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Executar planos de saneamento pactuados com TC (R46).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Realizar suspensão cautelar e apuração em casos de fraude ou desvio de finalidade (R48, R51).</w:t>
            </w:r>
          </w:p>
        </w:tc>
      </w:tr>
      <w:tr w:rsidR="001C7E6F" w:rsidRPr="00FC4199" w14:paraId="0DE419CB" w14:textId="77777777" w:rsidTr="00BD3046">
        <w:trPr>
          <w:trHeight w:val="20"/>
        </w:trPr>
        <w:tc>
          <w:tcPr>
            <w:tcW w:w="1418" w:type="dxa"/>
            <w:shd w:val="clear" w:color="auto" w:fill="auto"/>
            <w:vAlign w:val="center"/>
            <w:hideMark/>
          </w:tcPr>
          <w:p w14:paraId="2D302A17" w14:textId="77777777" w:rsidR="001C7E6F" w:rsidRPr="00FC4199" w:rsidRDefault="001C7E6F" w:rsidP="00BD3046">
            <w:pPr>
              <w:spacing w:after="0" w:line="240" w:lineRule="auto"/>
              <w:rPr>
                <w:rFonts w:ascii="Arial" w:eastAsia="Times New Roman" w:hAnsi="Arial" w:cs="Arial"/>
                <w:b/>
                <w:bCs/>
                <w:color w:val="000000"/>
                <w:sz w:val="18"/>
                <w:szCs w:val="18"/>
                <w:lang w:eastAsia="pt-BR"/>
              </w:rPr>
            </w:pPr>
            <w:r>
              <w:rPr>
                <w:rFonts w:ascii="Arial" w:eastAsia="Times New Roman" w:hAnsi="Arial" w:cs="Arial"/>
                <w:b/>
                <w:bCs/>
                <w:color w:val="000000"/>
                <w:sz w:val="18"/>
                <w:szCs w:val="18"/>
                <w:lang w:eastAsia="pt-BR"/>
              </w:rPr>
              <w:t>Tribunal de Contas</w:t>
            </w:r>
          </w:p>
        </w:tc>
        <w:tc>
          <w:tcPr>
            <w:tcW w:w="3685" w:type="dxa"/>
            <w:shd w:val="clear" w:color="auto" w:fill="auto"/>
            <w:vAlign w:val="center"/>
            <w:hideMark/>
          </w:tcPr>
          <w:p w14:paraId="2BCB928B"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Acompanhar </w:t>
            </w:r>
            <w:r>
              <w:rPr>
                <w:rFonts w:ascii="Arial" w:eastAsia="Times New Roman" w:hAnsi="Arial" w:cs="Arial"/>
                <w:color w:val="000000"/>
                <w:sz w:val="18"/>
                <w:szCs w:val="18"/>
                <w:lang w:eastAsia="pt-BR"/>
              </w:rPr>
              <w:t xml:space="preserve">a </w:t>
            </w:r>
            <w:r w:rsidRPr="00FC4199">
              <w:rPr>
                <w:rFonts w:ascii="Arial" w:eastAsia="Times New Roman" w:hAnsi="Arial" w:cs="Arial"/>
                <w:color w:val="000000"/>
                <w:sz w:val="18"/>
                <w:szCs w:val="18"/>
                <w:lang w:eastAsia="pt-BR"/>
              </w:rPr>
              <w:t>execução financeira do Fundo preventivamente (R46).</w:t>
            </w:r>
          </w:p>
        </w:tc>
        <w:tc>
          <w:tcPr>
            <w:tcW w:w="3963" w:type="dxa"/>
            <w:shd w:val="clear" w:color="auto" w:fill="auto"/>
            <w:vAlign w:val="center"/>
            <w:hideMark/>
          </w:tcPr>
          <w:p w14:paraId="3BC19E56"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Determinar planos de saneamento e ajustes corretivos diante de irregularidades (R46).</w:t>
            </w:r>
          </w:p>
        </w:tc>
      </w:tr>
      <w:tr w:rsidR="001C7E6F" w:rsidRPr="00FC4199" w14:paraId="70EA2B16" w14:textId="77777777" w:rsidTr="00BD3046">
        <w:trPr>
          <w:trHeight w:val="20"/>
        </w:trPr>
        <w:tc>
          <w:tcPr>
            <w:tcW w:w="1418" w:type="dxa"/>
            <w:shd w:val="clear" w:color="auto" w:fill="auto"/>
            <w:vAlign w:val="center"/>
            <w:hideMark/>
          </w:tcPr>
          <w:p w14:paraId="02BE3E57" w14:textId="77777777" w:rsidR="001C7E6F" w:rsidRPr="00FC4199" w:rsidRDefault="001C7E6F" w:rsidP="00BD3046">
            <w:pPr>
              <w:spacing w:after="0" w:line="240" w:lineRule="auto"/>
              <w:rPr>
                <w:rFonts w:ascii="Arial" w:eastAsia="Times New Roman" w:hAnsi="Arial" w:cs="Arial"/>
                <w:b/>
                <w:bCs/>
                <w:color w:val="000000"/>
                <w:sz w:val="18"/>
                <w:szCs w:val="18"/>
                <w:lang w:eastAsia="pt-BR"/>
              </w:rPr>
            </w:pPr>
            <w:r w:rsidRPr="00FC4199">
              <w:rPr>
                <w:rFonts w:ascii="Arial" w:eastAsia="Times New Roman" w:hAnsi="Arial" w:cs="Arial"/>
                <w:b/>
                <w:bCs/>
                <w:color w:val="000000"/>
                <w:sz w:val="18"/>
                <w:szCs w:val="18"/>
                <w:lang w:eastAsia="pt-BR"/>
              </w:rPr>
              <w:t>Ministério Público/ Procuradoria</w:t>
            </w:r>
          </w:p>
        </w:tc>
        <w:tc>
          <w:tcPr>
            <w:tcW w:w="3685" w:type="dxa"/>
            <w:shd w:val="clear" w:color="auto" w:fill="auto"/>
            <w:vAlign w:val="center"/>
            <w:hideMark/>
          </w:tcPr>
          <w:p w14:paraId="576A4EEB"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Estimular transparência ativa e prestação de contas proativa </w:t>
            </w:r>
            <w:r>
              <w:rPr>
                <w:rFonts w:ascii="Arial" w:eastAsia="Times New Roman" w:hAnsi="Arial" w:cs="Arial"/>
                <w:color w:val="000000"/>
                <w:sz w:val="18"/>
                <w:szCs w:val="18"/>
                <w:lang w:eastAsia="pt-BR"/>
              </w:rPr>
              <w:t xml:space="preserve">das despesas custeadas com recursos do Fundo </w:t>
            </w:r>
            <w:r w:rsidRPr="00FC4199">
              <w:rPr>
                <w:rFonts w:ascii="Arial" w:eastAsia="Times New Roman" w:hAnsi="Arial" w:cs="Arial"/>
                <w:color w:val="000000"/>
                <w:sz w:val="18"/>
                <w:szCs w:val="18"/>
                <w:lang w:eastAsia="pt-BR"/>
              </w:rPr>
              <w:t>(R47).</w:t>
            </w:r>
          </w:p>
        </w:tc>
        <w:tc>
          <w:tcPr>
            <w:tcW w:w="3963" w:type="dxa"/>
            <w:shd w:val="clear" w:color="auto" w:fill="auto"/>
            <w:vAlign w:val="center"/>
            <w:hideMark/>
          </w:tcPr>
          <w:p w14:paraId="246279DF"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Firmar TACs </w:t>
            </w:r>
            <w:r>
              <w:rPr>
                <w:rFonts w:ascii="Arial" w:eastAsia="Times New Roman" w:hAnsi="Arial" w:cs="Arial"/>
                <w:color w:val="000000"/>
                <w:sz w:val="18"/>
                <w:szCs w:val="18"/>
                <w:lang w:eastAsia="pt-BR"/>
              </w:rPr>
              <w:t>(</w:t>
            </w:r>
            <w:r w:rsidRPr="00FC4199">
              <w:rPr>
                <w:rFonts w:ascii="Arial" w:eastAsia="Times New Roman" w:hAnsi="Arial" w:cs="Arial"/>
                <w:color w:val="000000"/>
                <w:sz w:val="18"/>
                <w:szCs w:val="18"/>
                <w:lang w:eastAsia="pt-BR"/>
              </w:rPr>
              <w:t>ajustes de conduta</w:t>
            </w:r>
            <w:r>
              <w:rPr>
                <w:rFonts w:ascii="Arial" w:eastAsia="Times New Roman" w:hAnsi="Arial" w:cs="Arial"/>
                <w:color w:val="000000"/>
                <w:sz w:val="18"/>
                <w:szCs w:val="18"/>
                <w:lang w:eastAsia="pt-BR"/>
              </w:rPr>
              <w:t>)</w:t>
            </w:r>
            <w:r w:rsidRPr="00FC4199">
              <w:rPr>
                <w:rFonts w:ascii="Arial" w:eastAsia="Times New Roman" w:hAnsi="Arial" w:cs="Arial"/>
                <w:color w:val="000000"/>
                <w:sz w:val="18"/>
                <w:szCs w:val="18"/>
                <w:lang w:eastAsia="pt-BR"/>
              </w:rPr>
              <w:t xml:space="preserve"> (R47, R51).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Atuar em ações corretivas para garantir aplicação legal dos recursos (R47, R51).</w:t>
            </w:r>
          </w:p>
        </w:tc>
      </w:tr>
      <w:tr w:rsidR="001C7E6F" w:rsidRPr="00FC4199" w14:paraId="7994EDDF" w14:textId="77777777" w:rsidTr="00BD3046">
        <w:trPr>
          <w:trHeight w:val="20"/>
        </w:trPr>
        <w:tc>
          <w:tcPr>
            <w:tcW w:w="1418" w:type="dxa"/>
            <w:shd w:val="clear" w:color="auto" w:fill="auto"/>
            <w:vAlign w:val="center"/>
            <w:hideMark/>
          </w:tcPr>
          <w:p w14:paraId="6283EB58" w14:textId="77777777" w:rsidR="001C7E6F" w:rsidRPr="00FC4199" w:rsidRDefault="001C7E6F" w:rsidP="00BD3046">
            <w:pPr>
              <w:spacing w:after="0" w:line="240" w:lineRule="auto"/>
              <w:rPr>
                <w:rFonts w:ascii="Arial" w:eastAsia="Times New Roman" w:hAnsi="Arial" w:cs="Arial"/>
                <w:b/>
                <w:bCs/>
                <w:color w:val="000000"/>
                <w:sz w:val="18"/>
                <w:szCs w:val="18"/>
                <w:lang w:eastAsia="pt-BR"/>
              </w:rPr>
            </w:pPr>
            <w:r w:rsidRPr="00FC4199">
              <w:rPr>
                <w:rFonts w:ascii="Arial" w:eastAsia="Times New Roman" w:hAnsi="Arial" w:cs="Arial"/>
                <w:b/>
                <w:bCs/>
                <w:color w:val="000000"/>
                <w:sz w:val="18"/>
                <w:szCs w:val="18"/>
                <w:lang w:eastAsia="pt-BR"/>
              </w:rPr>
              <w:t>Casa Civil/ Sociedade Civil</w:t>
            </w:r>
          </w:p>
        </w:tc>
        <w:tc>
          <w:tcPr>
            <w:tcW w:w="3685" w:type="dxa"/>
            <w:shd w:val="clear" w:color="auto" w:fill="auto"/>
            <w:vAlign w:val="center"/>
            <w:hideMark/>
          </w:tcPr>
          <w:p w14:paraId="79E86EA6"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Garantir paridade no Conselho Gestor (R40).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Definir critérios públicos de escolha de representantes (R40).</w:t>
            </w:r>
          </w:p>
        </w:tc>
        <w:tc>
          <w:tcPr>
            <w:tcW w:w="3963" w:type="dxa"/>
            <w:shd w:val="clear" w:color="auto" w:fill="auto"/>
            <w:vAlign w:val="center"/>
            <w:hideMark/>
          </w:tcPr>
          <w:p w14:paraId="64E9D4C8"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Convocar processos seletivos e recomposição imediata de cadeiras</w:t>
            </w:r>
            <w:r>
              <w:rPr>
                <w:rFonts w:ascii="Arial" w:eastAsia="Times New Roman" w:hAnsi="Arial" w:cs="Arial"/>
                <w:color w:val="000000"/>
                <w:sz w:val="18"/>
                <w:szCs w:val="18"/>
                <w:lang w:eastAsia="pt-BR"/>
              </w:rPr>
              <w:t>,</w:t>
            </w:r>
            <w:r w:rsidRPr="00FC4199">
              <w:rPr>
                <w:rFonts w:ascii="Arial" w:eastAsia="Times New Roman" w:hAnsi="Arial" w:cs="Arial"/>
                <w:color w:val="000000"/>
                <w:sz w:val="18"/>
                <w:szCs w:val="18"/>
                <w:lang w:eastAsia="pt-BR"/>
              </w:rPr>
              <w:t xml:space="preserve"> em caso de vacância ou desequilíbrio (R40).</w:t>
            </w:r>
          </w:p>
        </w:tc>
      </w:tr>
      <w:tr w:rsidR="001C7E6F" w:rsidRPr="00FC4199" w14:paraId="2D17D44A" w14:textId="77777777" w:rsidTr="00BD3046">
        <w:trPr>
          <w:trHeight w:val="20"/>
        </w:trPr>
        <w:tc>
          <w:tcPr>
            <w:tcW w:w="1418" w:type="dxa"/>
            <w:shd w:val="clear" w:color="auto" w:fill="auto"/>
            <w:vAlign w:val="center"/>
            <w:hideMark/>
          </w:tcPr>
          <w:p w14:paraId="61766F75" w14:textId="77777777" w:rsidR="001C7E6F" w:rsidRPr="00FC4199" w:rsidRDefault="001C7E6F" w:rsidP="00BD3046">
            <w:pPr>
              <w:spacing w:after="0" w:line="240" w:lineRule="auto"/>
              <w:jc w:val="both"/>
              <w:rPr>
                <w:rFonts w:ascii="Arial" w:eastAsia="Times New Roman" w:hAnsi="Arial" w:cs="Arial"/>
                <w:b/>
                <w:bCs/>
                <w:color w:val="000000"/>
                <w:sz w:val="18"/>
                <w:szCs w:val="18"/>
                <w:lang w:eastAsia="pt-BR"/>
              </w:rPr>
            </w:pPr>
            <w:r w:rsidRPr="00FC4199">
              <w:rPr>
                <w:rFonts w:ascii="Arial" w:eastAsia="Times New Roman" w:hAnsi="Arial" w:cs="Arial"/>
                <w:b/>
                <w:bCs/>
                <w:color w:val="000000"/>
                <w:sz w:val="18"/>
                <w:szCs w:val="18"/>
                <w:lang w:eastAsia="pt-BR"/>
              </w:rPr>
              <w:t>Unidades Executoras</w:t>
            </w:r>
            <w:r>
              <w:rPr>
                <w:rFonts w:ascii="Arial" w:eastAsia="Times New Roman" w:hAnsi="Arial" w:cs="Arial"/>
                <w:b/>
                <w:bCs/>
                <w:color w:val="000000"/>
                <w:sz w:val="18"/>
                <w:szCs w:val="18"/>
                <w:lang w:eastAsia="pt-BR"/>
              </w:rPr>
              <w:t>/ S</w:t>
            </w:r>
            <w:r w:rsidRPr="00FC4199">
              <w:rPr>
                <w:rFonts w:ascii="Arial" w:eastAsia="Times New Roman" w:hAnsi="Arial" w:cs="Arial"/>
                <w:b/>
                <w:bCs/>
                <w:color w:val="000000"/>
                <w:sz w:val="18"/>
                <w:szCs w:val="18"/>
                <w:lang w:eastAsia="pt-BR"/>
              </w:rPr>
              <w:t>ecretarias Finalísticas</w:t>
            </w:r>
          </w:p>
        </w:tc>
        <w:tc>
          <w:tcPr>
            <w:tcW w:w="3685" w:type="dxa"/>
            <w:shd w:val="clear" w:color="auto" w:fill="auto"/>
            <w:vAlign w:val="center"/>
            <w:hideMark/>
          </w:tcPr>
          <w:p w14:paraId="179EC7A1"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Preparar carteiras de projetos com cronograma físico-financeiro (R21).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Desenvolver marcos lógicos e indicadores consistentes de resultados sociais (R54).</w:t>
            </w:r>
          </w:p>
        </w:tc>
        <w:tc>
          <w:tcPr>
            <w:tcW w:w="3963" w:type="dxa"/>
            <w:shd w:val="clear" w:color="auto" w:fill="auto"/>
            <w:vAlign w:val="center"/>
            <w:hideMark/>
          </w:tcPr>
          <w:p w14:paraId="415D2316" w14:textId="77777777" w:rsidR="001C7E6F" w:rsidRPr="00FC4199" w:rsidRDefault="001C7E6F" w:rsidP="00BD3046">
            <w:pPr>
              <w:spacing w:after="0" w:line="240" w:lineRule="auto"/>
              <w:rPr>
                <w:rFonts w:ascii="Arial" w:eastAsia="Times New Roman" w:hAnsi="Arial" w:cs="Arial"/>
                <w:color w:val="000000"/>
                <w:sz w:val="18"/>
                <w:szCs w:val="18"/>
                <w:lang w:eastAsia="pt-BR"/>
              </w:rPr>
            </w:pPr>
            <w:r w:rsidRPr="00FC4199">
              <w:rPr>
                <w:rFonts w:ascii="Arial" w:eastAsia="Times New Roman" w:hAnsi="Arial" w:cs="Arial"/>
                <w:color w:val="000000"/>
                <w:sz w:val="18"/>
                <w:szCs w:val="18"/>
                <w:lang w:eastAsia="pt-BR"/>
              </w:rPr>
              <w:t xml:space="preserve">- Executar reprogramações focadas em ações de alto impacto (R21, R50). </w:t>
            </w:r>
            <w:r>
              <w:rPr>
                <w:rFonts w:ascii="Arial" w:eastAsia="Times New Roman" w:hAnsi="Arial" w:cs="Arial"/>
                <w:color w:val="000000"/>
                <w:sz w:val="18"/>
                <w:szCs w:val="18"/>
                <w:lang w:eastAsia="pt-BR"/>
              </w:rPr>
              <w:br/>
            </w:r>
            <w:r w:rsidRPr="00FC4199">
              <w:rPr>
                <w:rFonts w:ascii="Arial" w:eastAsia="Times New Roman" w:hAnsi="Arial" w:cs="Arial"/>
                <w:color w:val="000000"/>
                <w:sz w:val="18"/>
                <w:szCs w:val="18"/>
                <w:lang w:eastAsia="pt-BR"/>
              </w:rPr>
              <w:t>- Implementar pilotos e escalonamento progressivo em caso de baixa efetividade (R54).</w:t>
            </w:r>
          </w:p>
        </w:tc>
      </w:tr>
    </w:tbl>
    <w:p w14:paraId="0637F7CC" w14:textId="56AB9196" w:rsidR="001C7E6F" w:rsidRDefault="001C7E6F" w:rsidP="001C7E6F">
      <w:pPr>
        <w:pBdr>
          <w:top w:val="nil"/>
          <w:left w:val="nil"/>
          <w:bottom w:val="nil"/>
          <w:right w:val="nil"/>
          <w:between w:val="nil"/>
        </w:pBdr>
        <w:spacing w:after="300" w:line="360" w:lineRule="auto"/>
        <w:jc w:val="both"/>
        <w:rPr>
          <w:rFonts w:ascii="Arial" w:eastAsia="Arial" w:hAnsi="Arial" w:cs="Arial"/>
          <w:color w:val="000000"/>
          <w:sz w:val="20"/>
          <w:szCs w:val="20"/>
        </w:rPr>
      </w:pPr>
      <w:r>
        <w:rPr>
          <w:rFonts w:ascii="Arial" w:eastAsia="Arial" w:hAnsi="Arial" w:cs="Arial"/>
          <w:color w:val="000000"/>
          <w:sz w:val="20"/>
          <w:szCs w:val="20"/>
        </w:rPr>
        <w:t>Fonte: Elaboração própria.</w:t>
      </w:r>
    </w:p>
    <w:p w14:paraId="0EFD16FD" w14:textId="1E67A62E" w:rsidR="001C7E6F" w:rsidRDefault="001C7E6F" w:rsidP="001C7E6F">
      <w:pPr>
        <w:pBdr>
          <w:top w:val="nil"/>
          <w:left w:val="nil"/>
          <w:bottom w:val="nil"/>
          <w:right w:val="nil"/>
          <w:between w:val="nil"/>
        </w:pBdr>
        <w:spacing w:after="300" w:line="360" w:lineRule="auto"/>
        <w:jc w:val="both"/>
        <w:rPr>
          <w:rFonts w:ascii="Arial" w:eastAsia="Arial" w:hAnsi="Arial" w:cs="Arial"/>
          <w:color w:val="000000"/>
          <w:sz w:val="20"/>
          <w:szCs w:val="20"/>
        </w:rPr>
      </w:pPr>
    </w:p>
    <w:p w14:paraId="095EE404" w14:textId="185E34DD" w:rsidR="001C7E6F" w:rsidRDefault="001C7E6F" w:rsidP="001C7E6F">
      <w:pPr>
        <w:pBdr>
          <w:top w:val="nil"/>
          <w:left w:val="nil"/>
          <w:bottom w:val="nil"/>
          <w:right w:val="nil"/>
          <w:between w:val="nil"/>
        </w:pBdr>
        <w:spacing w:after="300" w:line="360" w:lineRule="auto"/>
        <w:jc w:val="both"/>
        <w:rPr>
          <w:rFonts w:ascii="Arial" w:eastAsia="Arial" w:hAnsi="Arial" w:cs="Arial"/>
          <w:color w:val="000000"/>
          <w:sz w:val="20"/>
          <w:szCs w:val="20"/>
        </w:rPr>
      </w:pPr>
    </w:p>
    <w:p w14:paraId="711EB9BB" w14:textId="42C824A8" w:rsidR="001C7E6F" w:rsidRDefault="001C7E6F" w:rsidP="001C7E6F">
      <w:pPr>
        <w:pBdr>
          <w:top w:val="nil"/>
          <w:left w:val="nil"/>
          <w:bottom w:val="nil"/>
          <w:right w:val="nil"/>
          <w:between w:val="nil"/>
        </w:pBdr>
        <w:spacing w:after="300" w:line="360" w:lineRule="auto"/>
        <w:jc w:val="both"/>
        <w:rPr>
          <w:rFonts w:ascii="Arial" w:eastAsia="Arial" w:hAnsi="Arial" w:cs="Arial"/>
          <w:color w:val="000000"/>
          <w:sz w:val="20"/>
          <w:szCs w:val="20"/>
        </w:rPr>
      </w:pPr>
    </w:p>
    <w:p w14:paraId="13332643" w14:textId="2C4F9B07" w:rsidR="001C7E6F" w:rsidRDefault="001C7E6F" w:rsidP="001C7E6F">
      <w:pPr>
        <w:pBdr>
          <w:top w:val="nil"/>
          <w:left w:val="nil"/>
          <w:bottom w:val="nil"/>
          <w:right w:val="nil"/>
          <w:between w:val="nil"/>
        </w:pBdr>
        <w:spacing w:after="300" w:line="360" w:lineRule="auto"/>
        <w:jc w:val="both"/>
        <w:rPr>
          <w:rFonts w:ascii="Arial" w:eastAsia="Arial" w:hAnsi="Arial" w:cs="Arial"/>
          <w:color w:val="000000"/>
          <w:sz w:val="20"/>
          <w:szCs w:val="20"/>
        </w:rPr>
      </w:pPr>
    </w:p>
    <w:p w14:paraId="04FB2859" w14:textId="324798C7" w:rsidR="001C7E6F" w:rsidRDefault="001C7E6F" w:rsidP="001C7E6F">
      <w:pPr>
        <w:pBdr>
          <w:top w:val="nil"/>
          <w:left w:val="nil"/>
          <w:bottom w:val="nil"/>
          <w:right w:val="nil"/>
          <w:between w:val="nil"/>
        </w:pBdr>
        <w:spacing w:after="300" w:line="360" w:lineRule="auto"/>
        <w:jc w:val="both"/>
        <w:rPr>
          <w:rFonts w:ascii="Arial" w:eastAsia="Arial" w:hAnsi="Arial" w:cs="Arial"/>
          <w:color w:val="000000"/>
          <w:sz w:val="20"/>
          <w:szCs w:val="20"/>
        </w:rPr>
      </w:pPr>
    </w:p>
    <w:p w14:paraId="0AB1533D" w14:textId="2D0F56D6" w:rsidR="001C7E6F" w:rsidRPr="001C7E6F" w:rsidRDefault="001C7E6F" w:rsidP="001C7E6F">
      <w:pPr>
        <w:keepNext/>
        <w:pBdr>
          <w:top w:val="nil"/>
          <w:left w:val="nil"/>
          <w:bottom w:val="nil"/>
          <w:right w:val="nil"/>
          <w:between w:val="nil"/>
        </w:pBdr>
        <w:spacing w:after="0" w:line="360" w:lineRule="auto"/>
        <w:jc w:val="center"/>
        <w:rPr>
          <w:rFonts w:ascii="Arial" w:eastAsia="Arial" w:hAnsi="Arial" w:cs="Arial"/>
          <w:color w:val="000000"/>
          <w:szCs w:val="20"/>
        </w:rPr>
      </w:pPr>
      <w:r>
        <w:rPr>
          <w:rFonts w:ascii="Arial" w:eastAsia="Arial" w:hAnsi="Arial" w:cs="Arial"/>
          <w:color w:val="000000"/>
          <w:szCs w:val="20"/>
        </w:rPr>
        <w:t>ANEXO</w:t>
      </w:r>
      <w:r w:rsidRPr="001C7E6F">
        <w:rPr>
          <w:rFonts w:ascii="Arial" w:eastAsia="Arial" w:hAnsi="Arial" w:cs="Arial"/>
          <w:color w:val="000000"/>
          <w:szCs w:val="20"/>
        </w:rPr>
        <w:t xml:space="preserve"> – FICHA TÉCNICA DO FUNDO DE COMBATE À POBREZA</w:t>
      </w:r>
      <w:r>
        <w:rPr>
          <w:rFonts w:ascii="Arial" w:eastAsia="Arial" w:hAnsi="Arial" w:cs="Arial"/>
          <w:color w:val="000000"/>
          <w:szCs w:val="20"/>
        </w:rPr>
        <w:t xml:space="preserve"> FECP-RJ</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00" w:firstRow="0" w:lastRow="0" w:firstColumn="0" w:lastColumn="0" w:noHBand="0" w:noVBand="1"/>
      </w:tblPr>
      <w:tblGrid>
        <w:gridCol w:w="1803"/>
        <w:gridCol w:w="7258"/>
      </w:tblGrid>
      <w:tr w:rsidR="001C7E6F" w14:paraId="6A409EC0" w14:textId="77777777" w:rsidTr="00BD3046">
        <w:trPr>
          <w:trHeight w:val="397"/>
        </w:trPr>
        <w:tc>
          <w:tcPr>
            <w:tcW w:w="0" w:type="auto"/>
            <w:gridSpan w:val="2"/>
            <w:shd w:val="clear" w:color="auto" w:fill="auto"/>
            <w:vAlign w:val="center"/>
          </w:tcPr>
          <w:p w14:paraId="4FD2EFA6" w14:textId="77777777" w:rsidR="001C7E6F" w:rsidRDefault="001C7E6F" w:rsidP="00BD3046">
            <w:pP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Eixo 1 – Responsabilidade Arrecadatória</w:t>
            </w:r>
          </w:p>
        </w:tc>
      </w:tr>
      <w:tr w:rsidR="001C7E6F" w14:paraId="287D1355" w14:textId="77777777" w:rsidTr="00BD3046">
        <w:trPr>
          <w:trHeight w:val="20"/>
        </w:trPr>
        <w:tc>
          <w:tcPr>
            <w:tcW w:w="0" w:type="auto"/>
            <w:shd w:val="clear" w:color="auto" w:fill="auto"/>
            <w:vAlign w:val="center"/>
          </w:tcPr>
          <w:p w14:paraId="4C1717B9"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1.1 Base legal</w:t>
            </w:r>
          </w:p>
        </w:tc>
        <w:tc>
          <w:tcPr>
            <w:tcW w:w="0" w:type="auto"/>
            <w:shd w:val="clear" w:color="auto" w:fill="auto"/>
            <w:vAlign w:val="center"/>
          </w:tcPr>
          <w:p w14:paraId="2CF5E43B" w14:textId="77777777" w:rsidR="001C7E6F" w:rsidRPr="002914EF" w:rsidRDefault="001C7E6F" w:rsidP="00BD3046">
            <w:pPr>
              <w:spacing w:after="0" w:line="240" w:lineRule="auto"/>
              <w:rPr>
                <w:rFonts w:ascii="Arial" w:eastAsia="Arial" w:hAnsi="Arial" w:cs="Arial"/>
                <w:i/>
                <w:sz w:val="18"/>
                <w:szCs w:val="18"/>
              </w:rPr>
            </w:pPr>
            <w:r w:rsidRPr="002914EF">
              <w:rPr>
                <w:rFonts w:ascii="Arial" w:eastAsia="Arial" w:hAnsi="Arial" w:cs="Arial"/>
                <w:i/>
                <w:sz w:val="18"/>
                <w:szCs w:val="18"/>
              </w:rPr>
              <w:t>Fundamento jurídico válido, a partir de lei formal de criação, previsão em Constituição Estadual/Lei Orgânica Municipal e regulamentação infralegal (decretos, portarias, resoluções).</w:t>
            </w:r>
          </w:p>
          <w:p w14:paraId="704184F8" w14:textId="77777777" w:rsidR="001C7E6F" w:rsidRDefault="001C7E6F" w:rsidP="00BD3046">
            <w:pPr>
              <w:spacing w:after="0" w:line="240" w:lineRule="auto"/>
              <w:rPr>
                <w:rFonts w:ascii="Arial" w:eastAsia="Arial" w:hAnsi="Arial" w:cs="Arial"/>
                <w:color w:val="000000"/>
                <w:sz w:val="18"/>
                <w:szCs w:val="18"/>
              </w:rPr>
            </w:pPr>
          </w:p>
          <w:p w14:paraId="1C97209F"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O </w:t>
            </w:r>
            <w:r w:rsidRPr="005E7698">
              <w:rPr>
                <w:rFonts w:ascii="Arial" w:eastAsia="Arial" w:hAnsi="Arial" w:cs="Arial"/>
                <w:color w:val="000000"/>
                <w:sz w:val="18"/>
                <w:szCs w:val="18"/>
              </w:rPr>
              <w:t>Fundo de Combate à Pobreza e às Desigualdades Sociais do ERJ</w:t>
            </w:r>
            <w:r>
              <w:rPr>
                <w:rFonts w:ascii="Arial" w:eastAsia="Arial" w:hAnsi="Arial" w:cs="Arial"/>
                <w:color w:val="000000"/>
                <w:sz w:val="18"/>
                <w:szCs w:val="18"/>
              </w:rPr>
              <w:t xml:space="preserve"> (FECP-RJ)</w:t>
            </w:r>
            <w:r w:rsidRPr="005E7698">
              <w:rPr>
                <w:rFonts w:ascii="Arial" w:eastAsia="Arial" w:hAnsi="Arial" w:cs="Arial"/>
                <w:color w:val="000000"/>
                <w:sz w:val="18"/>
                <w:szCs w:val="18"/>
              </w:rPr>
              <w:t xml:space="preserve"> foi criado por meio da Lei Estadual n.º 4.056/02</w:t>
            </w:r>
            <w:r>
              <w:rPr>
                <w:rFonts w:ascii="Arial" w:eastAsia="Arial" w:hAnsi="Arial" w:cs="Arial"/>
                <w:color w:val="000000"/>
                <w:sz w:val="18"/>
                <w:szCs w:val="18"/>
              </w:rPr>
              <w:t xml:space="preserve"> e </w:t>
            </w:r>
            <w:r w:rsidRPr="00D539CB">
              <w:rPr>
                <w:rFonts w:ascii="Arial" w:eastAsia="Arial" w:hAnsi="Arial" w:cs="Arial"/>
                <w:color w:val="000000"/>
                <w:sz w:val="18"/>
                <w:szCs w:val="18"/>
              </w:rPr>
              <w:t xml:space="preserve">reinstituído pela Lei Complementar Estadual nº 210, de 21 de julho de 2023, </w:t>
            </w:r>
            <w:r>
              <w:rPr>
                <w:rFonts w:ascii="Arial" w:eastAsia="Arial" w:hAnsi="Arial" w:cs="Arial"/>
                <w:color w:val="000000"/>
                <w:sz w:val="18"/>
                <w:szCs w:val="18"/>
              </w:rPr>
              <w:t>que</w:t>
            </w:r>
            <w:r w:rsidRPr="00D539CB">
              <w:rPr>
                <w:rFonts w:ascii="Arial" w:eastAsia="Arial" w:hAnsi="Arial" w:cs="Arial"/>
                <w:color w:val="000000"/>
                <w:sz w:val="18"/>
                <w:szCs w:val="18"/>
              </w:rPr>
              <w:t xml:space="preserve"> passou a vigorar em 21/07/2023</w:t>
            </w:r>
            <w:r>
              <w:rPr>
                <w:rFonts w:ascii="Arial" w:eastAsia="Arial" w:hAnsi="Arial" w:cs="Arial"/>
                <w:color w:val="000000"/>
                <w:sz w:val="18"/>
                <w:szCs w:val="18"/>
              </w:rPr>
              <w:t>.</w:t>
            </w:r>
          </w:p>
          <w:p w14:paraId="6CCB376B" w14:textId="77777777" w:rsidR="001C7E6F" w:rsidRDefault="001C7E6F" w:rsidP="00BD3046">
            <w:pPr>
              <w:spacing w:after="0" w:line="240" w:lineRule="auto"/>
              <w:rPr>
                <w:rFonts w:ascii="Arial" w:eastAsia="Arial" w:hAnsi="Arial" w:cs="Arial"/>
                <w:color w:val="000000"/>
                <w:sz w:val="18"/>
                <w:szCs w:val="18"/>
              </w:rPr>
            </w:pPr>
          </w:p>
          <w:p w14:paraId="4B1A04E6" w14:textId="77777777" w:rsidR="001C7E6F"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Além disso, a Constituição Estadual do Rio de Janeiro, em seu Art. 95, inciso XI do ADCT, veda expressamente a desvinculação de receitas ao FECP.</w:t>
            </w:r>
          </w:p>
          <w:p w14:paraId="403ABD4D" w14:textId="77777777" w:rsidR="001C7E6F" w:rsidRDefault="001C7E6F" w:rsidP="00BD3046">
            <w:pPr>
              <w:spacing w:after="0" w:line="240" w:lineRule="auto"/>
              <w:rPr>
                <w:rFonts w:ascii="Arial" w:eastAsia="Arial" w:hAnsi="Arial" w:cs="Arial"/>
                <w:color w:val="000000"/>
                <w:sz w:val="18"/>
                <w:szCs w:val="18"/>
              </w:rPr>
            </w:pPr>
          </w:p>
        </w:tc>
      </w:tr>
      <w:tr w:rsidR="001C7E6F" w14:paraId="2F1123A5" w14:textId="77777777" w:rsidTr="00BD3046">
        <w:trPr>
          <w:trHeight w:val="20"/>
        </w:trPr>
        <w:tc>
          <w:tcPr>
            <w:tcW w:w="0" w:type="auto"/>
            <w:shd w:val="clear" w:color="auto" w:fill="auto"/>
            <w:vAlign w:val="center"/>
          </w:tcPr>
          <w:p w14:paraId="615B6DFB"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1.2 Definição normativa</w:t>
            </w:r>
          </w:p>
        </w:tc>
        <w:tc>
          <w:tcPr>
            <w:tcW w:w="0" w:type="auto"/>
            <w:shd w:val="clear" w:color="auto" w:fill="auto"/>
            <w:vAlign w:val="center"/>
          </w:tcPr>
          <w:p w14:paraId="0B9728AD" w14:textId="77777777" w:rsidR="001C7E6F" w:rsidRPr="002914EF" w:rsidRDefault="001C7E6F" w:rsidP="00BD3046">
            <w:pPr>
              <w:spacing w:after="0" w:line="240" w:lineRule="auto"/>
              <w:rPr>
                <w:rFonts w:ascii="Arial" w:eastAsia="Arial" w:hAnsi="Arial" w:cs="Arial"/>
                <w:i/>
                <w:color w:val="000000"/>
                <w:sz w:val="18"/>
                <w:szCs w:val="18"/>
              </w:rPr>
            </w:pPr>
            <w:r w:rsidRPr="002914EF">
              <w:rPr>
                <w:rFonts w:ascii="Arial" w:eastAsia="Arial" w:hAnsi="Arial" w:cs="Arial"/>
                <w:i/>
                <w:color w:val="000000"/>
                <w:sz w:val="18"/>
                <w:szCs w:val="18"/>
              </w:rPr>
              <w:t>Garanti</w:t>
            </w:r>
            <w:r w:rsidRPr="002914EF">
              <w:rPr>
                <w:rFonts w:ascii="Arial" w:eastAsia="Arial" w:hAnsi="Arial" w:cs="Arial"/>
                <w:i/>
                <w:sz w:val="18"/>
                <w:szCs w:val="18"/>
              </w:rPr>
              <w:t>a de</w:t>
            </w:r>
            <w:r w:rsidRPr="002914EF">
              <w:rPr>
                <w:rFonts w:ascii="Arial" w:eastAsia="Arial" w:hAnsi="Arial" w:cs="Arial"/>
                <w:i/>
                <w:color w:val="000000"/>
                <w:sz w:val="18"/>
                <w:szCs w:val="18"/>
              </w:rPr>
              <w:t xml:space="preserve"> clareza dos objetivos, das fontes de recursos e origens da receita e suas destinações, evitando fungibilidade e desvio de finalidade.</w:t>
            </w:r>
          </w:p>
          <w:p w14:paraId="41003D4E" w14:textId="77777777" w:rsidR="001C7E6F" w:rsidRDefault="001C7E6F" w:rsidP="00BD3046">
            <w:pPr>
              <w:spacing w:after="0" w:line="240" w:lineRule="auto"/>
              <w:rPr>
                <w:rFonts w:ascii="Arial" w:eastAsia="Arial" w:hAnsi="Arial" w:cs="Arial"/>
                <w:color w:val="000000"/>
                <w:sz w:val="18"/>
                <w:szCs w:val="18"/>
              </w:rPr>
            </w:pPr>
          </w:p>
          <w:p w14:paraId="413CA59D" w14:textId="77777777" w:rsidR="001C7E6F"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A legislação define que o objetivo do FECP é viabilizar a todos os fluminenses acesso a níveis dignos de subsistência, visando à melhoria de qualidade de vida, e os recursos devem ser aplicados em iniciativas que beneficiem prioritariamente pessoas e grupos em situação de vulnerabilidade social, contribuindo para a mitigação e superação da pobreza e das desigualdades sociais. A Lei Complementar Estadual nº 210/23 elenca nove áreas de resultado para orientar a aplicação dos recursos</w:t>
            </w:r>
            <w:r>
              <w:rPr>
                <w:rFonts w:ascii="Arial" w:eastAsia="Arial" w:hAnsi="Arial" w:cs="Arial"/>
                <w:color w:val="000000"/>
                <w:sz w:val="18"/>
                <w:szCs w:val="18"/>
              </w:rPr>
              <w:t>:</w:t>
            </w:r>
          </w:p>
          <w:p w14:paraId="4EAA4E6D" w14:textId="77777777" w:rsidR="001C7E6F" w:rsidRDefault="001C7E6F" w:rsidP="00BD3046">
            <w:pPr>
              <w:spacing w:after="0" w:line="240" w:lineRule="auto"/>
              <w:rPr>
                <w:rFonts w:ascii="Arial" w:eastAsia="Arial" w:hAnsi="Arial" w:cs="Arial"/>
                <w:color w:val="000000"/>
                <w:sz w:val="18"/>
                <w:szCs w:val="18"/>
              </w:rPr>
            </w:pPr>
          </w:p>
          <w:p w14:paraId="768F95FE"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Art. 2º Compõem o Fundo Estadual de Combate à Pobreza e às Desigualdades Sociais:</w:t>
            </w:r>
          </w:p>
          <w:p w14:paraId="7D7A2EC6" w14:textId="77777777" w:rsidR="001C7E6F" w:rsidRPr="00592C0B" w:rsidRDefault="001C7E6F" w:rsidP="00BD3046">
            <w:pPr>
              <w:spacing w:after="0" w:line="240" w:lineRule="auto"/>
              <w:rPr>
                <w:rFonts w:ascii="Arial" w:eastAsia="Arial" w:hAnsi="Arial" w:cs="Arial"/>
                <w:color w:val="000000"/>
                <w:sz w:val="18"/>
                <w:szCs w:val="18"/>
              </w:rPr>
            </w:pPr>
          </w:p>
          <w:p w14:paraId="53616BB9"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I – o produto da arrecadação adicional de dois pontos percentuais correspondentes a um adicional geral da alíquota atualmente vigente do Imposto sobre Operações relativas à Circulação de Mercadorias e sobre Prestação de Serviços de Transporte Interestadual e Intermunicipal e de Comunicação – ICMS, ou do imposto que vier a substituí-lo, com exceção:</w:t>
            </w:r>
          </w:p>
          <w:p w14:paraId="5B6E738B" w14:textId="77777777" w:rsidR="001C7E6F" w:rsidRPr="00592C0B" w:rsidRDefault="001C7E6F" w:rsidP="00BD3046">
            <w:pPr>
              <w:spacing w:after="0" w:line="240" w:lineRule="auto"/>
              <w:rPr>
                <w:rFonts w:ascii="Arial" w:eastAsia="Arial" w:hAnsi="Arial" w:cs="Arial"/>
                <w:color w:val="000000"/>
                <w:sz w:val="18"/>
                <w:szCs w:val="18"/>
              </w:rPr>
            </w:pPr>
          </w:p>
          <w:p w14:paraId="37538572"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a) dos gêneros que compõem a Cesta Básica, assim definidos aqueles estabelecidos em estudo da Fundação Getúlio Vargas e em Lei Estadual específica;</w:t>
            </w:r>
          </w:p>
          <w:p w14:paraId="1A333A1D"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b) dos Medicamentos Excepcionais previstos na Portaria nº 1318, de 23 de julho de 2002, do Ministério da Saúde, e suas atualizações e em Lei Estadual específica;</w:t>
            </w:r>
          </w:p>
          <w:p w14:paraId="3A4919E4"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c) do Material Escolar;</w:t>
            </w:r>
          </w:p>
          <w:p w14:paraId="217311E0"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d) do Gás Liquefeito de Petróleo (gás de cozinha);</w:t>
            </w:r>
          </w:p>
          <w:p w14:paraId="5681943E"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e) do fornecimento de energia elétrica residencial até 300 quilowatts/horas mensais;</w:t>
            </w:r>
          </w:p>
          <w:p w14:paraId="4420EE82"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f) consumo residencial de água até 30 m³;</w:t>
            </w:r>
          </w:p>
          <w:p w14:paraId="3E6ABEDA"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g) consumo residencial de telefonia fixa até o valor de uma vez e meia a tarifa básica;</w:t>
            </w:r>
          </w:p>
          <w:p w14:paraId="202891EE"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h) na geração de energia eólica, solar, biomassa, bem como para a energia gerada a partir do lixo, pela coleta do gás metano, e pela incineração, nos termos e condições estabelecidos pelo Poder Executivo;</w:t>
            </w:r>
          </w:p>
          <w:p w14:paraId="4F731E0B" w14:textId="77777777" w:rsidR="001C7E6F" w:rsidRPr="00592C0B" w:rsidRDefault="001C7E6F" w:rsidP="00BD3046">
            <w:pPr>
              <w:spacing w:after="0" w:line="240" w:lineRule="auto"/>
              <w:rPr>
                <w:rFonts w:ascii="Arial" w:eastAsia="Arial" w:hAnsi="Arial" w:cs="Arial"/>
                <w:color w:val="000000"/>
                <w:sz w:val="18"/>
                <w:szCs w:val="18"/>
              </w:rPr>
            </w:pPr>
          </w:p>
          <w:p w14:paraId="0E5469E2"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1. fica autorizado o Poder Executivo a aderir ao Convênio ICMS nº 16, de 30 de junho de 2015 sobre operações internas relativas à circulação de energia elétrica, sujeitas a faturamento sob o Sistema de Compensação de Energia Elétrica</w:t>
            </w:r>
          </w:p>
          <w:p w14:paraId="576ECD6E" w14:textId="77777777" w:rsidR="001C7E6F" w:rsidRPr="00592C0B" w:rsidRDefault="001C7E6F" w:rsidP="00BD3046">
            <w:pPr>
              <w:spacing w:after="0" w:line="240" w:lineRule="auto"/>
              <w:rPr>
                <w:rFonts w:ascii="Arial" w:eastAsia="Arial" w:hAnsi="Arial" w:cs="Arial"/>
                <w:color w:val="000000"/>
                <w:sz w:val="18"/>
                <w:szCs w:val="18"/>
              </w:rPr>
            </w:pPr>
          </w:p>
          <w:p w14:paraId="50CBD5FE"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i) das operações com óleo diesel de que trata a alínea “a” do inciso XIII do art. 14 da Lei nº 2.657, de 26 de dezembro de 1996.</w:t>
            </w:r>
          </w:p>
          <w:p w14:paraId="36DD53BB" w14:textId="77777777" w:rsidR="001C7E6F" w:rsidRPr="00592C0B" w:rsidRDefault="001C7E6F" w:rsidP="00BD3046">
            <w:pPr>
              <w:spacing w:after="0" w:line="240" w:lineRule="auto"/>
              <w:rPr>
                <w:rFonts w:ascii="Arial" w:eastAsia="Arial" w:hAnsi="Arial" w:cs="Arial"/>
                <w:color w:val="000000"/>
                <w:sz w:val="18"/>
                <w:szCs w:val="18"/>
              </w:rPr>
            </w:pPr>
          </w:p>
          <w:p w14:paraId="63E1FA55"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II – o produto da arrecadação adicional de um ponto percentual correspondente a um adicional geral da alíquota atualmente vigente do Imposto sobre Operações relativas à Circulação de Mercadorias e sobre Prestação de Serviços de Transporte Interestadual e Intermunicipal e de Comunicação – ICMS, ou do imposto que vier a substituí-lo, nas operações de importações realizadas por remessas postais ou expressas, independentemente da classificação tributária do produto importado, conforme previsto no Convênio ICMS nº 81, de 22 de junho de 2023;</w:t>
            </w:r>
          </w:p>
          <w:p w14:paraId="6F4D8111"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III – o produto da arrecadação adicional de dois pontos percentuais correspondentes a um adicional geral da alíquota atualmente vigente do Imposto sobre Operações relativas à Circulação de Mercadorias e sobre Prestação de Serviços de Transporte Interestadual e Intermunicipal e de Comunicação – ICMS, ou do imposto que vier a substituí-lo, às operações com óleo diesel marítimo (NCM 2710.19.2, CEST 06.006.08) de que trata o artigo 1º da Lei nº 9.041, de 02 de outubro de 2020;</w:t>
            </w:r>
          </w:p>
          <w:p w14:paraId="0B5D627D"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IV – sem prejuízo do disposto no inciso I deste artigo, serão adicionados ao produto da arrecadação mais dois pontos percentuais, transitoriamente até 31 de dezembro de 2031, no caso das operações com energia elétrica que ultrapassem o consumo de 300 kWh (trezentos quilowatts-hora) mensais e dos serviços de telecomunicação;</w:t>
            </w:r>
          </w:p>
          <w:p w14:paraId="18980BE3"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lastRenderedPageBreak/>
              <w:t xml:space="preserve">(Inciso IV do art. 2º alterado pela Lei Complementar nº 217/2023, </w:t>
            </w:r>
            <w:r>
              <w:rPr>
                <w:rFonts w:ascii="Arial" w:eastAsia="Arial" w:hAnsi="Arial" w:cs="Arial"/>
                <w:color w:val="000000"/>
                <w:sz w:val="18"/>
                <w:szCs w:val="18"/>
              </w:rPr>
              <w:t>vigente a partir de 21.12.2023)</w:t>
            </w:r>
          </w:p>
          <w:p w14:paraId="1C0CB8F7"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V – doações, de qualquer natureza, de pessoas físicas ou jurídicas do País ou do exterior;</w:t>
            </w:r>
          </w:p>
          <w:p w14:paraId="2F20A9BB"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VI – outros recursos compatíveis com a legislação, especialmente com a Emenda Constitucional Federal nº 31, de 14 de dezembro de 2000.</w:t>
            </w:r>
          </w:p>
          <w:p w14:paraId="131C4826" w14:textId="77777777" w:rsidR="001C7E6F" w:rsidRPr="00592C0B" w:rsidRDefault="001C7E6F" w:rsidP="00BD3046">
            <w:pPr>
              <w:spacing w:after="0" w:line="240" w:lineRule="auto"/>
              <w:rPr>
                <w:rFonts w:ascii="Arial" w:eastAsia="Arial" w:hAnsi="Arial" w:cs="Arial"/>
                <w:color w:val="000000"/>
                <w:sz w:val="18"/>
                <w:szCs w:val="18"/>
              </w:rPr>
            </w:pPr>
          </w:p>
          <w:p w14:paraId="3F088BC8"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 1º Aos recursos integrantes do Fundo de que trata esta Lei não se aplica o disposto no inciso IV do art. 167 e no art. 159 da Constituição Federal, conjugado com o inciso IV do art. 211 e o inciso IV do art. 202, ambos da Constituição Estadual.</w:t>
            </w:r>
          </w:p>
          <w:p w14:paraId="45E7576A" w14:textId="77777777" w:rsidR="001C7E6F" w:rsidRPr="00592C0B" w:rsidRDefault="001C7E6F" w:rsidP="00BD3046">
            <w:pPr>
              <w:spacing w:after="0" w:line="240" w:lineRule="auto"/>
              <w:rPr>
                <w:rFonts w:ascii="Arial" w:eastAsia="Arial" w:hAnsi="Arial" w:cs="Arial"/>
                <w:color w:val="000000"/>
                <w:sz w:val="18"/>
                <w:szCs w:val="18"/>
              </w:rPr>
            </w:pPr>
          </w:p>
          <w:p w14:paraId="57115C97" w14:textId="77777777" w:rsidR="001C7E6F"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 2º O adicional de que trata o inciso I deste artigo não incidirá sobre atividades inerentes à microempresa, empresa de pequeno porte e cooperativas de pequeno porte.</w:t>
            </w:r>
          </w:p>
          <w:p w14:paraId="5019F9F3" w14:textId="77777777" w:rsidR="001C7E6F" w:rsidRDefault="001C7E6F" w:rsidP="00BD3046">
            <w:pPr>
              <w:spacing w:after="0" w:line="240" w:lineRule="auto"/>
              <w:rPr>
                <w:rFonts w:ascii="Arial" w:eastAsia="Arial" w:hAnsi="Arial" w:cs="Arial"/>
                <w:color w:val="000000"/>
                <w:sz w:val="18"/>
                <w:szCs w:val="18"/>
              </w:rPr>
            </w:pPr>
          </w:p>
          <w:p w14:paraId="0F96CB1A"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Art. 3º Os recursos do Fundo Estadual de Combate à Pobreza e às Desigualdades Sociais deverão ser aplicados em iniciativas que beneficiem prioritariamente pessoas e grupos em situação de vulnerabilidade social, contribuindo para a mitigação e superação da pobreza e das desigualdades sociais.</w:t>
            </w:r>
          </w:p>
          <w:p w14:paraId="26FA6689" w14:textId="77777777" w:rsidR="001C7E6F" w:rsidRPr="00D539CB" w:rsidRDefault="001C7E6F" w:rsidP="00BD3046">
            <w:pPr>
              <w:spacing w:after="0" w:line="240" w:lineRule="auto"/>
              <w:rPr>
                <w:rFonts w:ascii="Arial" w:eastAsia="Arial" w:hAnsi="Arial" w:cs="Arial"/>
                <w:color w:val="000000"/>
                <w:sz w:val="18"/>
                <w:szCs w:val="18"/>
              </w:rPr>
            </w:pPr>
          </w:p>
          <w:p w14:paraId="6F3C512F"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 1º As iniciativas deverão se enquadrar em pelo menos uma das áreas de resultado elencadas abaixo:</w:t>
            </w:r>
          </w:p>
          <w:p w14:paraId="780379D9" w14:textId="77777777" w:rsidR="001C7E6F" w:rsidRPr="00D539CB" w:rsidRDefault="001C7E6F" w:rsidP="00BD3046">
            <w:pPr>
              <w:spacing w:after="0" w:line="240" w:lineRule="auto"/>
              <w:rPr>
                <w:rFonts w:ascii="Arial" w:eastAsia="Arial" w:hAnsi="Arial" w:cs="Arial"/>
                <w:color w:val="000000"/>
                <w:sz w:val="18"/>
                <w:szCs w:val="18"/>
              </w:rPr>
            </w:pPr>
          </w:p>
          <w:p w14:paraId="38666AC0"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I – Segurança alimentar: iniciativas com foco no combate à fome e à desnutrição, que visem garantir o acesso de todas as pessoas, em particular das pessoas em situação de vulnerabilidade, a alimentos seguros, nutritivos e suficientes durante todo o ano;</w:t>
            </w:r>
          </w:p>
          <w:p w14:paraId="4C1A1766"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II – Proteção a grupos vulneráveis: iniciativas com foco na proteção e apoio às pessoas em situação de pobreza, pobreza extrema, em situação de rua, mulheres vítimas de violência, crianças, adolescentes, idosos, pessoas com deficiência e demais pessoas ou grupos vulneráveis;</w:t>
            </w:r>
          </w:p>
          <w:p w14:paraId="2000811E"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III – Trabalho e geração de renda: iniciativas voltadas para pessoas em situação de vulnerabilidade social com foco na formação para o mercado de trabalho, promoção da empregabilidade, apoio a estratégias de geração de renda e estímulo à economia solidária;</w:t>
            </w:r>
          </w:p>
          <w:p w14:paraId="4E66264D"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IV – Moradia digna: iniciativas com foco na promoção da habitação segura, em ambiente salubre, com infraestrutura adequada e acesso a serviços públicos essenciais;</w:t>
            </w:r>
          </w:p>
          <w:p w14:paraId="3FD83FF9"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V – Transporte acessível: iniciativas com foco na ampliação do acesso a sistemas de transporte seguros e acessíveis aos usuários que se enquadrem em legislação específica, visando a redução das desigualdades regionais de ofertas de oportunidades;</w:t>
            </w:r>
          </w:p>
          <w:p w14:paraId="661B11CA"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VI – Gestão de emergências, desastres, endemias, epidemias e pandemias: iniciativas voltadas para a prevenção de emergências, desastres, epidemias e pandemias, bem como para a mitigação de consequências e apoio à população atingida;</w:t>
            </w:r>
          </w:p>
          <w:p w14:paraId="37866686"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VII – Educação: iniciativas que busquem a superação da pobreza intergeracional por meio da promoção da educação pública, gratuita e de qualidade – abarcando incentivos ao acesso e permanência da população mais vulnerável no ensino básico e superior, além de iniciativas complementares que garantam a oferta de transporte, alimentação e material escolar;</w:t>
            </w:r>
          </w:p>
          <w:p w14:paraId="3A17EAFC"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VIII – Saúde: iniciativas de prevenção e tratamento com foco em doenças negligenciadas – associadas a más condições de higiene e saneamento e consideradas endêmicas em populações de baixa renda – e em grupos vulneráveis, como crianças, gestantes, idosos, pessoas com deficiência e pessoas com necessidades decorrentes do abuso de drogas entorpecentes e do álcool;</w:t>
            </w:r>
          </w:p>
          <w:p w14:paraId="429EAA40"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IX – Estrutura das áreas de Assistência Social, Saúde e Educação: ações estruturantes de implantação, reforma, manutenção, equipamento, financiamento e cofinanciamento de unidades e equipamentos públicos das áreas de Assistência Social, Saúde e Educação no Estado do Rio de Janeiro, possibilitando a oferta de atendimento adequado à população mais carente, principal usuária destes serviços.</w:t>
            </w:r>
          </w:p>
          <w:p w14:paraId="5BF637E2" w14:textId="77777777" w:rsidR="001C7E6F" w:rsidRPr="00D539CB" w:rsidRDefault="001C7E6F" w:rsidP="00BD3046">
            <w:pPr>
              <w:spacing w:after="0" w:line="240" w:lineRule="auto"/>
              <w:rPr>
                <w:rFonts w:ascii="Arial" w:eastAsia="Arial" w:hAnsi="Arial" w:cs="Arial"/>
                <w:color w:val="000000"/>
                <w:sz w:val="18"/>
                <w:szCs w:val="18"/>
              </w:rPr>
            </w:pPr>
          </w:p>
          <w:p w14:paraId="0FCAC2C1"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 2º A seleção das iniciativas a serem financiadas com recursos do FECP será feita em consonância com as diretrizes do Plano Estratégico de Desenvolvimento Econômico e Social do Estado do Rio de Janeiro – PEDES, levando em consideração a compatibilidade com os objetivos do Fundo e as áreas de resultado definidas no § 1º deste artigo.</w:t>
            </w:r>
          </w:p>
          <w:p w14:paraId="709E1DEF" w14:textId="77777777" w:rsidR="001C7E6F" w:rsidRPr="00D539CB" w:rsidRDefault="001C7E6F" w:rsidP="00BD3046">
            <w:pPr>
              <w:spacing w:after="0" w:line="240" w:lineRule="auto"/>
              <w:rPr>
                <w:rFonts w:ascii="Arial" w:eastAsia="Arial" w:hAnsi="Arial" w:cs="Arial"/>
                <w:color w:val="000000"/>
                <w:sz w:val="18"/>
                <w:szCs w:val="18"/>
              </w:rPr>
            </w:pPr>
          </w:p>
          <w:p w14:paraId="7CEF4006"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lastRenderedPageBreak/>
              <w:t>§ 3º O detalhamento dos projetos e atividades custeados com recursos do FECP, alinhados às áreas de resultado mencionadas, pode ser objeto de sinalizações específicas a serem incluídas nas Leis do Plano Plurianual, de Diretrizes Orçamentárias e Orçamentária Anual.</w:t>
            </w:r>
          </w:p>
          <w:p w14:paraId="01781D18" w14:textId="77777777" w:rsidR="001C7E6F" w:rsidRPr="00D539CB" w:rsidRDefault="001C7E6F" w:rsidP="00BD3046">
            <w:pPr>
              <w:spacing w:after="0" w:line="240" w:lineRule="auto"/>
              <w:rPr>
                <w:rFonts w:ascii="Arial" w:eastAsia="Arial" w:hAnsi="Arial" w:cs="Arial"/>
                <w:color w:val="000000"/>
                <w:sz w:val="18"/>
                <w:szCs w:val="18"/>
              </w:rPr>
            </w:pPr>
          </w:p>
          <w:p w14:paraId="7800DF62"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 4º Para estarem aptas a receber recursos do FECP, as iniciativas devem prever, no Plano Plurianual, a entrega de produtos condizentes com sua finalidade, além de definir indicadores de resultado pertinentes, com linha de base e meta, e enquadramento das ações orçamentárias em função e subfunção adequadas, validadas pelo órgão central de planejamento do Poder Executivo Estadual.</w:t>
            </w:r>
          </w:p>
          <w:p w14:paraId="54869F3F" w14:textId="77777777" w:rsidR="001C7E6F" w:rsidRPr="00D539CB" w:rsidRDefault="001C7E6F" w:rsidP="00BD3046">
            <w:pPr>
              <w:spacing w:after="0" w:line="240" w:lineRule="auto"/>
              <w:rPr>
                <w:rFonts w:ascii="Arial" w:eastAsia="Arial" w:hAnsi="Arial" w:cs="Arial"/>
                <w:color w:val="000000"/>
                <w:sz w:val="18"/>
                <w:szCs w:val="18"/>
              </w:rPr>
            </w:pPr>
          </w:p>
          <w:p w14:paraId="4B9827CD"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 5º Os recursos do FECP poderão contemplar gastos com pessoal e outras despesas correntes das funções Assistência Social, Saúde, Educação, Habitação e Segurança.</w:t>
            </w:r>
          </w:p>
          <w:p w14:paraId="273BBD3D" w14:textId="77777777" w:rsidR="001C7E6F" w:rsidRPr="00D539CB" w:rsidRDefault="001C7E6F" w:rsidP="00BD3046">
            <w:pPr>
              <w:spacing w:after="0" w:line="240" w:lineRule="auto"/>
              <w:rPr>
                <w:rFonts w:ascii="Arial" w:eastAsia="Arial" w:hAnsi="Arial" w:cs="Arial"/>
                <w:color w:val="000000"/>
                <w:sz w:val="18"/>
                <w:szCs w:val="18"/>
              </w:rPr>
            </w:pPr>
          </w:p>
          <w:p w14:paraId="39D797DD"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 6º Os recursos poderão também contemplar gastos com a gestão do Fundo, incluindo a produção de pesquisas, relatórios e estudos que tenham como objeto uma ou mais iniciativas da carteira do Fundo, bem como o monitoramento intensivo e a avaliação das iniciativas contempladas com recursos do FECP, com o objetivo de verificar a qualidade da implantação e a efetividade das ações, subsidiar a tomada de decisão relativa à aplicação dos recursos do Fundo e dar mais transparência às entregas e resultados.</w:t>
            </w:r>
          </w:p>
          <w:p w14:paraId="1EE9D6CC" w14:textId="77777777" w:rsidR="001C7E6F" w:rsidRPr="00D539CB" w:rsidRDefault="001C7E6F" w:rsidP="00BD3046">
            <w:pPr>
              <w:spacing w:after="0" w:line="240" w:lineRule="auto"/>
              <w:rPr>
                <w:rFonts w:ascii="Arial" w:eastAsia="Arial" w:hAnsi="Arial" w:cs="Arial"/>
                <w:color w:val="000000"/>
                <w:sz w:val="18"/>
                <w:szCs w:val="18"/>
              </w:rPr>
            </w:pPr>
          </w:p>
          <w:p w14:paraId="0BE21DF7"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 7º Ficam vedados o remanejamento, a transposição ou a transferência de recursos deste fundo para finalidade diversa da proposta, ainda que prevista na Lei Orçamentária Anual.</w:t>
            </w:r>
          </w:p>
          <w:p w14:paraId="7CA435A3" w14:textId="77777777" w:rsidR="001C7E6F" w:rsidRPr="00D539CB" w:rsidRDefault="001C7E6F" w:rsidP="00BD3046">
            <w:pPr>
              <w:spacing w:after="0" w:line="240" w:lineRule="auto"/>
              <w:rPr>
                <w:rFonts w:ascii="Arial" w:eastAsia="Arial" w:hAnsi="Arial" w:cs="Arial"/>
                <w:color w:val="000000"/>
                <w:sz w:val="18"/>
                <w:szCs w:val="18"/>
              </w:rPr>
            </w:pPr>
          </w:p>
          <w:p w14:paraId="42AAB529" w14:textId="77777777" w:rsidR="001C7E6F"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 8º Qualquer alteração que implique na aplicação e vinculação de recursos do FECP de forma não prevista nesta lei deverá ser objeto de lei específica.</w:t>
            </w:r>
          </w:p>
          <w:p w14:paraId="29F4C4FB" w14:textId="77777777" w:rsidR="001C7E6F" w:rsidRDefault="001C7E6F" w:rsidP="00BD3046">
            <w:pPr>
              <w:spacing w:after="0" w:line="240" w:lineRule="auto"/>
              <w:rPr>
                <w:rFonts w:ascii="Arial" w:eastAsia="Arial" w:hAnsi="Arial" w:cs="Arial"/>
                <w:color w:val="000000"/>
                <w:sz w:val="18"/>
                <w:szCs w:val="18"/>
              </w:rPr>
            </w:pPr>
          </w:p>
          <w:p w14:paraId="2E3597EB"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Art. 4º O Governo do Estado do Rio de Janeiro deverá aplicar 5% (cinco por cento) dos recursos do Fundo Estadual de Combate à Pobreza e Desigualdade no Fundo Estadual de Habitação de Interesse Social, criado pela Lei Estadual nº 4.962, de 20 de dezembro de 2006.</w:t>
            </w:r>
          </w:p>
          <w:p w14:paraId="5911D7D4" w14:textId="77777777" w:rsidR="001C7E6F" w:rsidRPr="00D539CB" w:rsidRDefault="001C7E6F" w:rsidP="00BD3046">
            <w:pPr>
              <w:spacing w:after="0" w:line="240" w:lineRule="auto"/>
              <w:rPr>
                <w:rFonts w:ascii="Arial" w:eastAsia="Arial" w:hAnsi="Arial" w:cs="Arial"/>
                <w:color w:val="000000"/>
                <w:sz w:val="18"/>
                <w:szCs w:val="18"/>
              </w:rPr>
            </w:pPr>
          </w:p>
          <w:p w14:paraId="1C91C878"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 1º A aplicação indicada no caput deste artigo torna-se obrigatória consoante as deliberações sobre a alocação de recursos do Conselho Gestor do Fundo Estadual de Habitação de Interesse Social, nos termos do art. 9º da Lei Estadual nº 4.962, de 20 de dezembro de 2006.</w:t>
            </w:r>
          </w:p>
          <w:p w14:paraId="1FC45F04" w14:textId="77777777" w:rsidR="001C7E6F" w:rsidRPr="00D539CB" w:rsidRDefault="001C7E6F" w:rsidP="00BD3046">
            <w:pPr>
              <w:spacing w:after="0" w:line="240" w:lineRule="auto"/>
              <w:rPr>
                <w:rFonts w:ascii="Arial" w:eastAsia="Arial" w:hAnsi="Arial" w:cs="Arial"/>
                <w:color w:val="000000"/>
                <w:sz w:val="18"/>
                <w:szCs w:val="18"/>
              </w:rPr>
            </w:pPr>
          </w:p>
          <w:p w14:paraId="4B7DD181"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 2º Fica desvinculado das destinações legais previstas, o superávit financeiro do Fundo Estadual de Habitação de Interesse Social – FEHIS, que deverá ser transferido à Conta Única do Tesouro Estadual.</w:t>
            </w:r>
          </w:p>
          <w:p w14:paraId="34DB0C6B" w14:textId="77777777" w:rsidR="001C7E6F" w:rsidRPr="00D539CB" w:rsidRDefault="001C7E6F" w:rsidP="00BD3046">
            <w:pPr>
              <w:spacing w:after="0" w:line="240" w:lineRule="auto"/>
              <w:rPr>
                <w:rFonts w:ascii="Arial" w:eastAsia="Arial" w:hAnsi="Arial" w:cs="Arial"/>
                <w:color w:val="000000"/>
                <w:sz w:val="18"/>
                <w:szCs w:val="18"/>
              </w:rPr>
            </w:pPr>
          </w:p>
          <w:p w14:paraId="52783472"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Art. 5º A destinação de recursos para garantir o direito ao transporte para alunos das diferentes modalidades do ensino público, ficará a cargo da Secretaria de Estado de Educação – SEEDUC, que indicará, para esta destinação, recursos provenientes de outros fundos e/ou fontes de recursos que correspondam a tal objetivo.</w:t>
            </w:r>
          </w:p>
          <w:p w14:paraId="6880CF81" w14:textId="77777777" w:rsidR="001C7E6F" w:rsidRPr="00D539CB" w:rsidRDefault="001C7E6F" w:rsidP="00BD3046">
            <w:pPr>
              <w:spacing w:after="0" w:line="240" w:lineRule="auto"/>
              <w:rPr>
                <w:rFonts w:ascii="Arial" w:eastAsia="Arial" w:hAnsi="Arial" w:cs="Arial"/>
                <w:color w:val="000000"/>
                <w:sz w:val="18"/>
                <w:szCs w:val="18"/>
              </w:rPr>
            </w:pPr>
          </w:p>
          <w:p w14:paraId="30A57CC1"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Art. 6º A destinação de recursos para programas e projetos voltados às mulheres vítimas de violência ficará a cargo da Secretaria de Estado da Mulher, que indicará, para esta destinação, recursos provenientes de outros fundos e/ou fontes de recursos que correspondam a tal objetivo.</w:t>
            </w:r>
          </w:p>
          <w:p w14:paraId="57AFB960" w14:textId="77777777" w:rsidR="001C7E6F" w:rsidRPr="00D539CB" w:rsidRDefault="001C7E6F" w:rsidP="00BD3046">
            <w:pPr>
              <w:spacing w:after="0" w:line="240" w:lineRule="auto"/>
              <w:rPr>
                <w:rFonts w:ascii="Arial" w:eastAsia="Arial" w:hAnsi="Arial" w:cs="Arial"/>
                <w:color w:val="000000"/>
                <w:sz w:val="18"/>
                <w:szCs w:val="18"/>
              </w:rPr>
            </w:pPr>
          </w:p>
          <w:p w14:paraId="0B6779BC"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Art. 7º A destinação de recursos ao Plano Estadual de Assistência Oncológica e ao Programa de Controle da Tuberculose, ficará a cargo da Secretaria de Estado de Saúde, que indicará, para esta destinação, recursos provenientes de outros fundos e/ou fontes de recursos que correspondam a tal objetivo.</w:t>
            </w:r>
          </w:p>
          <w:p w14:paraId="1BB5DD51" w14:textId="77777777" w:rsidR="001C7E6F" w:rsidRPr="00D539CB" w:rsidRDefault="001C7E6F" w:rsidP="00BD3046">
            <w:pPr>
              <w:spacing w:after="0" w:line="240" w:lineRule="auto"/>
              <w:rPr>
                <w:rFonts w:ascii="Arial" w:eastAsia="Arial" w:hAnsi="Arial" w:cs="Arial"/>
                <w:color w:val="000000"/>
                <w:sz w:val="18"/>
                <w:szCs w:val="18"/>
              </w:rPr>
            </w:pPr>
          </w:p>
          <w:p w14:paraId="2AF832DC" w14:textId="77777777" w:rsidR="001C7E6F" w:rsidRPr="00D539CB"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Art. 8º A destinação de recursos à Rede de Atenção Psicossocial – RAPS terá como valor mínimo o correspondente em termos reais aos recursos empregados no RAPS, no exercício de 2022, com fonte de recursos do Fundo Estadual de Combate à Pobreza, (FR 1.761.122), ficando a cargo da Secretaria de Estado de Saúde.</w:t>
            </w:r>
          </w:p>
          <w:p w14:paraId="0EC3F1E0" w14:textId="77777777" w:rsidR="001C7E6F" w:rsidRPr="00D539CB" w:rsidRDefault="001C7E6F" w:rsidP="00BD3046">
            <w:pPr>
              <w:spacing w:after="0" w:line="240" w:lineRule="auto"/>
              <w:rPr>
                <w:rFonts w:ascii="Arial" w:eastAsia="Arial" w:hAnsi="Arial" w:cs="Arial"/>
                <w:color w:val="000000"/>
                <w:sz w:val="18"/>
                <w:szCs w:val="18"/>
              </w:rPr>
            </w:pPr>
          </w:p>
          <w:p w14:paraId="0E22CA96" w14:textId="77777777" w:rsidR="001C7E6F" w:rsidRDefault="001C7E6F" w:rsidP="00BD3046">
            <w:pPr>
              <w:spacing w:after="0" w:line="240" w:lineRule="auto"/>
              <w:rPr>
                <w:rFonts w:ascii="Arial" w:eastAsia="Arial" w:hAnsi="Arial" w:cs="Arial"/>
                <w:color w:val="000000"/>
                <w:sz w:val="18"/>
                <w:szCs w:val="18"/>
              </w:rPr>
            </w:pPr>
            <w:r w:rsidRPr="00D539CB">
              <w:rPr>
                <w:rFonts w:ascii="Arial" w:eastAsia="Arial" w:hAnsi="Arial" w:cs="Arial"/>
                <w:color w:val="000000"/>
                <w:sz w:val="18"/>
                <w:szCs w:val="18"/>
              </w:rPr>
              <w:t>(Nota: veto do art. 8º derrubado pela Alerj, publicado na Parte II do D.O. de 12.12.2023)</w:t>
            </w:r>
          </w:p>
          <w:p w14:paraId="67C29669" w14:textId="77777777" w:rsidR="001C7E6F" w:rsidRDefault="001C7E6F" w:rsidP="00BD3046">
            <w:pPr>
              <w:spacing w:after="0" w:line="240" w:lineRule="auto"/>
              <w:rPr>
                <w:rFonts w:ascii="Arial" w:eastAsia="Arial" w:hAnsi="Arial" w:cs="Arial"/>
                <w:color w:val="000000"/>
                <w:sz w:val="18"/>
                <w:szCs w:val="18"/>
              </w:rPr>
            </w:pPr>
          </w:p>
        </w:tc>
      </w:tr>
      <w:tr w:rsidR="001C7E6F" w14:paraId="086AAEBA" w14:textId="77777777" w:rsidTr="00BD3046">
        <w:trPr>
          <w:trHeight w:val="20"/>
        </w:trPr>
        <w:tc>
          <w:tcPr>
            <w:tcW w:w="0" w:type="auto"/>
            <w:shd w:val="clear" w:color="auto" w:fill="auto"/>
            <w:vAlign w:val="center"/>
          </w:tcPr>
          <w:p w14:paraId="3F914131"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1.3 Governança arrecadatória</w:t>
            </w:r>
          </w:p>
        </w:tc>
        <w:tc>
          <w:tcPr>
            <w:tcW w:w="0" w:type="auto"/>
            <w:shd w:val="clear" w:color="auto" w:fill="auto"/>
            <w:vAlign w:val="center"/>
          </w:tcPr>
          <w:p w14:paraId="427EBCE2" w14:textId="77777777" w:rsidR="001C7E6F" w:rsidRPr="00C9798D" w:rsidRDefault="001C7E6F" w:rsidP="00BD3046">
            <w:pPr>
              <w:spacing w:after="0" w:line="240" w:lineRule="auto"/>
              <w:rPr>
                <w:rFonts w:ascii="Arial" w:eastAsia="Arial" w:hAnsi="Arial" w:cs="Arial"/>
                <w:i/>
                <w:color w:val="000000"/>
                <w:sz w:val="18"/>
                <w:szCs w:val="18"/>
              </w:rPr>
            </w:pPr>
            <w:r w:rsidRPr="00C9798D">
              <w:rPr>
                <w:rFonts w:ascii="Arial" w:eastAsia="Arial" w:hAnsi="Arial" w:cs="Arial"/>
                <w:i/>
                <w:color w:val="000000"/>
                <w:sz w:val="18"/>
                <w:szCs w:val="18"/>
              </w:rPr>
              <w:t>Previsão de mecanismos de gestão (Órgão Gestor, Conselho Gestor, prestação de contas), assegurando controles e responsabilidades.</w:t>
            </w:r>
          </w:p>
          <w:p w14:paraId="1320F9E7" w14:textId="77777777" w:rsidR="001C7E6F" w:rsidRDefault="001C7E6F" w:rsidP="00BD3046">
            <w:pPr>
              <w:spacing w:after="0" w:line="240" w:lineRule="auto"/>
              <w:rPr>
                <w:rFonts w:ascii="Arial" w:eastAsia="Arial" w:hAnsi="Arial" w:cs="Arial"/>
                <w:color w:val="000000"/>
                <w:sz w:val="18"/>
                <w:szCs w:val="18"/>
              </w:rPr>
            </w:pPr>
          </w:p>
          <w:p w14:paraId="731FD78D"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 xml:space="preserve">Art. 9º Haverá um </w:t>
            </w:r>
            <w:r w:rsidRPr="00592C0B">
              <w:rPr>
                <w:rFonts w:ascii="Arial" w:eastAsia="Arial" w:hAnsi="Arial" w:cs="Arial"/>
                <w:b/>
                <w:color w:val="000000"/>
                <w:sz w:val="18"/>
                <w:szCs w:val="18"/>
              </w:rPr>
              <w:t>Conselho Gestor</w:t>
            </w:r>
            <w:r w:rsidRPr="00592C0B">
              <w:rPr>
                <w:rFonts w:ascii="Arial" w:eastAsia="Arial" w:hAnsi="Arial" w:cs="Arial"/>
                <w:color w:val="000000"/>
                <w:sz w:val="18"/>
                <w:szCs w:val="18"/>
              </w:rPr>
              <w:t>, que, além dos membros representantes do Estado de livre escolha do Governador, também será integrado por entidades que contém com a participação da sociedade civil, e que será presidido pelo Governador do Estado ou por Secretário de Estado por ele designado.</w:t>
            </w:r>
          </w:p>
          <w:p w14:paraId="279D24C0" w14:textId="77777777" w:rsidR="001C7E6F" w:rsidRPr="00592C0B" w:rsidRDefault="001C7E6F" w:rsidP="00BD3046">
            <w:pPr>
              <w:spacing w:after="0" w:line="240" w:lineRule="auto"/>
              <w:rPr>
                <w:rFonts w:ascii="Arial" w:eastAsia="Arial" w:hAnsi="Arial" w:cs="Arial"/>
                <w:color w:val="000000"/>
                <w:sz w:val="18"/>
                <w:szCs w:val="18"/>
              </w:rPr>
            </w:pPr>
          </w:p>
          <w:p w14:paraId="52979C36"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 xml:space="preserve">§ 1º </w:t>
            </w:r>
            <w:r w:rsidRPr="00592C0B">
              <w:rPr>
                <w:rFonts w:ascii="Arial" w:eastAsia="Arial" w:hAnsi="Arial" w:cs="Arial"/>
                <w:b/>
                <w:color w:val="000000"/>
                <w:sz w:val="18"/>
                <w:szCs w:val="18"/>
              </w:rPr>
              <w:t>Caberá ao Conselho Gestor deliberar sobre a alocação dos recursos do FECP</w:t>
            </w:r>
            <w:r w:rsidRPr="00592C0B">
              <w:rPr>
                <w:rFonts w:ascii="Arial" w:eastAsia="Arial" w:hAnsi="Arial" w:cs="Arial"/>
                <w:color w:val="000000"/>
                <w:sz w:val="18"/>
                <w:szCs w:val="18"/>
              </w:rPr>
              <w:t>, observando:</w:t>
            </w:r>
          </w:p>
          <w:p w14:paraId="1D50A1E1" w14:textId="77777777" w:rsidR="001C7E6F" w:rsidRPr="00592C0B" w:rsidRDefault="001C7E6F" w:rsidP="00BD3046">
            <w:pPr>
              <w:spacing w:after="0" w:line="240" w:lineRule="auto"/>
              <w:rPr>
                <w:rFonts w:ascii="Arial" w:eastAsia="Arial" w:hAnsi="Arial" w:cs="Arial"/>
                <w:color w:val="000000"/>
                <w:sz w:val="18"/>
                <w:szCs w:val="18"/>
              </w:rPr>
            </w:pPr>
          </w:p>
          <w:p w14:paraId="395EFB8C"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I – as áreas de resultado previstas no art. 3º da presente Lei;</w:t>
            </w:r>
          </w:p>
          <w:p w14:paraId="0BE4F64A"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II – as diretrizes do Plano Estratégico de Desenvolvimento Econômico e Social do Estado do Rio de Janeiro compatíveis com os objetivos do Fundo; e</w:t>
            </w:r>
          </w:p>
          <w:p w14:paraId="69C932D9"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III – os resultados de pesquisas, relatórios, estudos, e do monitoramento e avaliação das iniciativas contempladas, que devem subsidiar a tomada de decisão em relação à continuidade da aplicação dos recursos nas iniciativas selecionadas e ao montante de recursos a serem alocados em cada iniciativa.</w:t>
            </w:r>
          </w:p>
          <w:p w14:paraId="66B090FC" w14:textId="77777777" w:rsidR="001C7E6F" w:rsidRPr="00592C0B" w:rsidRDefault="001C7E6F" w:rsidP="00BD3046">
            <w:pPr>
              <w:spacing w:after="0" w:line="240" w:lineRule="auto"/>
              <w:rPr>
                <w:rFonts w:ascii="Arial" w:eastAsia="Arial" w:hAnsi="Arial" w:cs="Arial"/>
                <w:color w:val="000000"/>
                <w:sz w:val="18"/>
                <w:szCs w:val="18"/>
              </w:rPr>
            </w:pPr>
          </w:p>
          <w:p w14:paraId="1EB711CE" w14:textId="77777777" w:rsidR="001C7E6F" w:rsidRPr="00592C0B"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 2º O Poder Executivo detalhará as atribuições do Conselho Gestor e de suas instâncias auxiliares em normativa própria.</w:t>
            </w:r>
          </w:p>
          <w:p w14:paraId="7032C1C8" w14:textId="77777777" w:rsidR="001C7E6F" w:rsidRPr="00592C0B" w:rsidRDefault="001C7E6F" w:rsidP="00BD3046">
            <w:pPr>
              <w:spacing w:after="0" w:line="240" w:lineRule="auto"/>
              <w:rPr>
                <w:rFonts w:ascii="Arial" w:eastAsia="Arial" w:hAnsi="Arial" w:cs="Arial"/>
                <w:color w:val="000000"/>
                <w:sz w:val="18"/>
                <w:szCs w:val="18"/>
              </w:rPr>
            </w:pPr>
          </w:p>
          <w:p w14:paraId="66410D77" w14:textId="77777777" w:rsidR="001C7E6F" w:rsidRDefault="001C7E6F" w:rsidP="00BD3046">
            <w:pPr>
              <w:spacing w:after="0" w:line="240" w:lineRule="auto"/>
              <w:rPr>
                <w:rFonts w:ascii="Arial" w:eastAsia="Arial" w:hAnsi="Arial" w:cs="Arial"/>
                <w:color w:val="000000"/>
                <w:sz w:val="18"/>
                <w:szCs w:val="18"/>
              </w:rPr>
            </w:pPr>
            <w:r w:rsidRPr="00592C0B">
              <w:rPr>
                <w:rFonts w:ascii="Arial" w:eastAsia="Arial" w:hAnsi="Arial" w:cs="Arial"/>
                <w:color w:val="000000"/>
                <w:sz w:val="18"/>
                <w:szCs w:val="18"/>
              </w:rPr>
              <w:t>§ 3º a atuação dos conselheiros efetivos e suplentes do Conselho Gestor será considerada serviço de relevante interesse público e não remunerada.</w:t>
            </w:r>
          </w:p>
          <w:p w14:paraId="68AE7927" w14:textId="77777777" w:rsidR="001C7E6F" w:rsidRDefault="001C7E6F" w:rsidP="00BD3046">
            <w:pPr>
              <w:spacing w:after="0" w:line="240" w:lineRule="auto"/>
              <w:rPr>
                <w:rFonts w:ascii="Arial" w:eastAsia="Arial" w:hAnsi="Arial" w:cs="Arial"/>
                <w:color w:val="000000"/>
                <w:sz w:val="18"/>
                <w:szCs w:val="18"/>
              </w:rPr>
            </w:pPr>
            <w:r w:rsidRPr="00C9798D">
              <w:rPr>
                <w:rFonts w:ascii="Arial" w:eastAsia="Arial" w:hAnsi="Arial" w:cs="Arial"/>
                <w:color w:val="000000"/>
                <w:sz w:val="18"/>
                <w:szCs w:val="18"/>
              </w:rPr>
              <w:t xml:space="preserve"> </w:t>
            </w:r>
          </w:p>
        </w:tc>
      </w:tr>
      <w:tr w:rsidR="001C7E6F" w14:paraId="0752475B" w14:textId="77777777" w:rsidTr="00BD3046">
        <w:trPr>
          <w:trHeight w:val="20"/>
        </w:trPr>
        <w:tc>
          <w:tcPr>
            <w:tcW w:w="0" w:type="auto"/>
            <w:shd w:val="clear" w:color="auto" w:fill="auto"/>
            <w:vAlign w:val="center"/>
          </w:tcPr>
          <w:p w14:paraId="7FBDDC13"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1.4 Previsibilidade arrecadatória</w:t>
            </w:r>
          </w:p>
        </w:tc>
        <w:tc>
          <w:tcPr>
            <w:tcW w:w="0" w:type="auto"/>
            <w:shd w:val="clear" w:color="auto" w:fill="auto"/>
            <w:vAlign w:val="center"/>
          </w:tcPr>
          <w:p w14:paraId="31B0C22F" w14:textId="77777777" w:rsidR="001C7E6F" w:rsidRPr="00C9798D" w:rsidRDefault="001C7E6F" w:rsidP="00BD3046">
            <w:pPr>
              <w:spacing w:after="0" w:line="240" w:lineRule="auto"/>
              <w:rPr>
                <w:rFonts w:ascii="Arial" w:eastAsia="Arial" w:hAnsi="Arial" w:cs="Arial"/>
                <w:i/>
                <w:color w:val="000000"/>
                <w:sz w:val="18"/>
                <w:szCs w:val="18"/>
              </w:rPr>
            </w:pPr>
            <w:r w:rsidRPr="00C9798D">
              <w:rPr>
                <w:rFonts w:ascii="Arial" w:eastAsia="Arial" w:hAnsi="Arial" w:cs="Arial"/>
                <w:i/>
                <w:color w:val="000000"/>
                <w:sz w:val="18"/>
                <w:szCs w:val="18"/>
              </w:rPr>
              <w:t>Regularidade da arrecadação ao longo do exercício, ausência de atrasos ou perdas nos repasses. Acurácia da receita, a partir do planejamento (PA e PAF).</w:t>
            </w:r>
          </w:p>
          <w:p w14:paraId="65165386" w14:textId="77777777" w:rsidR="001C7E6F" w:rsidRDefault="001C7E6F" w:rsidP="00BD3046">
            <w:pPr>
              <w:spacing w:after="0" w:line="240" w:lineRule="auto"/>
              <w:rPr>
                <w:rFonts w:ascii="Arial" w:eastAsia="Arial" w:hAnsi="Arial" w:cs="Arial"/>
                <w:color w:val="000000"/>
                <w:sz w:val="18"/>
                <w:szCs w:val="18"/>
              </w:rPr>
            </w:pPr>
          </w:p>
          <w:p w14:paraId="248F1C57"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Não foram localizados Planos de Ação e de Aplicação Financeira do FECP-RJ.</w:t>
            </w:r>
          </w:p>
          <w:p w14:paraId="213EF539" w14:textId="77777777" w:rsidR="001C7E6F" w:rsidRDefault="001C7E6F" w:rsidP="00BD3046">
            <w:pPr>
              <w:spacing w:after="0" w:line="240" w:lineRule="auto"/>
              <w:rPr>
                <w:rFonts w:ascii="Arial" w:eastAsia="Arial" w:hAnsi="Arial" w:cs="Arial"/>
                <w:color w:val="000000"/>
                <w:sz w:val="18"/>
                <w:szCs w:val="18"/>
              </w:rPr>
            </w:pPr>
          </w:p>
        </w:tc>
      </w:tr>
      <w:tr w:rsidR="001C7E6F" w14:paraId="1BF04841" w14:textId="77777777" w:rsidTr="00BD3046">
        <w:trPr>
          <w:trHeight w:val="20"/>
        </w:trPr>
        <w:tc>
          <w:tcPr>
            <w:tcW w:w="0" w:type="auto"/>
            <w:shd w:val="clear" w:color="auto" w:fill="auto"/>
            <w:vAlign w:val="center"/>
          </w:tcPr>
          <w:p w14:paraId="7A8811A5"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1.5 Complementaridade</w:t>
            </w:r>
          </w:p>
        </w:tc>
        <w:tc>
          <w:tcPr>
            <w:tcW w:w="0" w:type="auto"/>
            <w:shd w:val="clear" w:color="auto" w:fill="auto"/>
            <w:vAlign w:val="center"/>
          </w:tcPr>
          <w:p w14:paraId="5119F1DC" w14:textId="77777777" w:rsidR="001C7E6F" w:rsidRPr="00C9798D" w:rsidRDefault="001C7E6F" w:rsidP="00BD3046">
            <w:pPr>
              <w:spacing w:after="0" w:line="240" w:lineRule="auto"/>
              <w:rPr>
                <w:rFonts w:ascii="Arial" w:eastAsia="Arial" w:hAnsi="Arial" w:cs="Arial"/>
                <w:i/>
                <w:color w:val="000000"/>
                <w:sz w:val="18"/>
                <w:szCs w:val="18"/>
              </w:rPr>
            </w:pPr>
            <w:r w:rsidRPr="00C9798D">
              <w:rPr>
                <w:rFonts w:ascii="Arial" w:eastAsia="Arial" w:hAnsi="Arial" w:cs="Arial"/>
                <w:i/>
                <w:color w:val="000000"/>
                <w:sz w:val="18"/>
                <w:szCs w:val="18"/>
              </w:rPr>
              <w:t>Garant</w:t>
            </w:r>
            <w:r w:rsidRPr="00C9798D">
              <w:rPr>
                <w:rFonts w:ascii="Arial" w:eastAsia="Arial" w:hAnsi="Arial" w:cs="Arial"/>
                <w:i/>
                <w:sz w:val="18"/>
                <w:szCs w:val="18"/>
              </w:rPr>
              <w:t>ia de</w:t>
            </w:r>
            <w:r w:rsidRPr="00C9798D">
              <w:rPr>
                <w:rFonts w:ascii="Arial" w:eastAsia="Arial" w:hAnsi="Arial" w:cs="Arial"/>
                <w:i/>
                <w:color w:val="000000"/>
                <w:sz w:val="18"/>
                <w:szCs w:val="18"/>
              </w:rPr>
              <w:t xml:space="preserve"> que a receita do Fundo </w:t>
            </w:r>
            <w:r w:rsidRPr="00C9798D">
              <w:rPr>
                <w:rFonts w:ascii="Arial" w:eastAsia="Arial" w:hAnsi="Arial" w:cs="Arial"/>
                <w:i/>
                <w:sz w:val="18"/>
                <w:szCs w:val="18"/>
              </w:rPr>
              <w:t>incremente</w:t>
            </w:r>
            <w:r w:rsidRPr="00C9798D">
              <w:rPr>
                <w:rFonts w:ascii="Arial" w:eastAsia="Arial" w:hAnsi="Arial" w:cs="Arial"/>
                <w:i/>
                <w:color w:val="000000"/>
                <w:sz w:val="18"/>
                <w:szCs w:val="18"/>
              </w:rPr>
              <w:t xml:space="preserve"> ao financiamento das políticas de combate à pobreza e redução das desigualdades (efeito adicional), sem substituir o gasto ordinário. </w:t>
            </w:r>
          </w:p>
          <w:p w14:paraId="6B6055C4" w14:textId="77777777" w:rsidR="001C7E6F" w:rsidRDefault="001C7E6F" w:rsidP="00BD3046">
            <w:pPr>
              <w:spacing w:after="0" w:line="240" w:lineRule="auto"/>
              <w:rPr>
                <w:rFonts w:ascii="Arial" w:eastAsia="Arial" w:hAnsi="Arial" w:cs="Arial"/>
                <w:color w:val="000000"/>
                <w:sz w:val="18"/>
                <w:szCs w:val="18"/>
              </w:rPr>
            </w:pPr>
          </w:p>
          <w:p w14:paraId="69C74007"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As</w:t>
            </w:r>
            <w:r w:rsidRPr="005311CD">
              <w:rPr>
                <w:rFonts w:ascii="Arial" w:eastAsia="Arial" w:hAnsi="Arial" w:cs="Arial"/>
                <w:color w:val="000000"/>
                <w:sz w:val="18"/>
                <w:szCs w:val="18"/>
              </w:rPr>
              <w:t xml:space="preserve"> Unidades Orçamentárias (UOs) que recebem recursos programados do </w:t>
            </w:r>
            <w:r>
              <w:rPr>
                <w:rFonts w:ascii="Arial" w:eastAsia="Arial" w:hAnsi="Arial" w:cs="Arial"/>
                <w:color w:val="000000"/>
                <w:sz w:val="18"/>
                <w:szCs w:val="18"/>
              </w:rPr>
              <w:t>FECP-RJ (</w:t>
            </w:r>
            <w:r w:rsidRPr="005311CD">
              <w:rPr>
                <w:rFonts w:ascii="Arial" w:eastAsia="Arial" w:hAnsi="Arial" w:cs="Arial"/>
                <w:color w:val="000000"/>
                <w:sz w:val="18"/>
                <w:szCs w:val="18"/>
              </w:rPr>
              <w:t xml:space="preserve">Fonte </w:t>
            </w:r>
            <w:r>
              <w:rPr>
                <w:rFonts w:ascii="Arial" w:eastAsia="Arial" w:hAnsi="Arial" w:cs="Arial"/>
                <w:color w:val="000000"/>
                <w:sz w:val="18"/>
                <w:szCs w:val="18"/>
              </w:rPr>
              <w:t>122 e 761</w:t>
            </w:r>
            <w:r w:rsidRPr="005311CD">
              <w:rPr>
                <w:rFonts w:ascii="Arial" w:eastAsia="Arial" w:hAnsi="Arial" w:cs="Arial"/>
                <w:color w:val="000000"/>
                <w:sz w:val="18"/>
                <w:szCs w:val="18"/>
              </w:rPr>
              <w:t xml:space="preserve">) também utilizam </w:t>
            </w:r>
            <w:r>
              <w:rPr>
                <w:rFonts w:ascii="Arial" w:eastAsia="Arial" w:hAnsi="Arial" w:cs="Arial"/>
                <w:color w:val="000000"/>
                <w:sz w:val="18"/>
                <w:szCs w:val="18"/>
              </w:rPr>
              <w:t xml:space="preserve">autorização de </w:t>
            </w:r>
            <w:r w:rsidRPr="005311CD">
              <w:rPr>
                <w:rFonts w:ascii="Arial" w:eastAsia="Arial" w:hAnsi="Arial" w:cs="Arial"/>
                <w:color w:val="000000"/>
                <w:sz w:val="18"/>
                <w:szCs w:val="18"/>
              </w:rPr>
              <w:t>outras Fontes de Recursos (FRs) nas Leis Orçamentárias Anuais (LOAs) dos exercícios analisados (2023, 2024 e 2025).</w:t>
            </w:r>
          </w:p>
        </w:tc>
      </w:tr>
      <w:tr w:rsidR="001C7E6F" w14:paraId="734C1573" w14:textId="77777777" w:rsidTr="00BD3046">
        <w:trPr>
          <w:trHeight w:val="20"/>
        </w:trPr>
        <w:tc>
          <w:tcPr>
            <w:tcW w:w="0" w:type="auto"/>
            <w:shd w:val="clear" w:color="auto" w:fill="auto"/>
            <w:vAlign w:val="center"/>
          </w:tcPr>
          <w:p w14:paraId="6C1094D1"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1.6 Concentração de execução</w:t>
            </w:r>
          </w:p>
        </w:tc>
        <w:tc>
          <w:tcPr>
            <w:tcW w:w="0" w:type="auto"/>
            <w:shd w:val="clear" w:color="auto" w:fill="auto"/>
            <w:vAlign w:val="center"/>
          </w:tcPr>
          <w:p w14:paraId="532A0066" w14:textId="77777777" w:rsidR="001C7E6F" w:rsidRPr="00C9798D" w:rsidRDefault="001C7E6F" w:rsidP="00BD3046">
            <w:pPr>
              <w:spacing w:after="0" w:line="240" w:lineRule="auto"/>
              <w:rPr>
                <w:rFonts w:ascii="Arial" w:eastAsia="Arial" w:hAnsi="Arial" w:cs="Arial"/>
                <w:i/>
                <w:color w:val="000000"/>
                <w:sz w:val="18"/>
                <w:szCs w:val="18"/>
              </w:rPr>
            </w:pPr>
            <w:r w:rsidRPr="00C9798D">
              <w:rPr>
                <w:rFonts w:ascii="Arial" w:eastAsia="Arial" w:hAnsi="Arial" w:cs="Arial"/>
                <w:i/>
                <w:color w:val="000000"/>
                <w:sz w:val="18"/>
                <w:szCs w:val="18"/>
              </w:rPr>
              <w:t xml:space="preserve">Identificação do risco de captura quando a aplicação fica excessivamente concentrada em poucos atores, afetando a pluralidade dos objetivos e a accountability. </w:t>
            </w:r>
          </w:p>
          <w:p w14:paraId="0D5E273E" w14:textId="77777777" w:rsidR="001C7E6F" w:rsidRDefault="001C7E6F" w:rsidP="00BD3046">
            <w:pPr>
              <w:spacing w:after="0" w:line="240" w:lineRule="auto"/>
              <w:rPr>
                <w:rFonts w:ascii="Arial" w:eastAsia="Arial" w:hAnsi="Arial" w:cs="Arial"/>
                <w:color w:val="000000"/>
                <w:sz w:val="18"/>
                <w:szCs w:val="18"/>
              </w:rPr>
            </w:pPr>
          </w:p>
          <w:p w14:paraId="7014355C" w14:textId="77777777" w:rsidR="001C7E6F" w:rsidRDefault="001C7E6F" w:rsidP="00BD3046">
            <w:pPr>
              <w:spacing w:after="0" w:line="240" w:lineRule="auto"/>
              <w:rPr>
                <w:rFonts w:ascii="Arial" w:eastAsia="Arial" w:hAnsi="Arial" w:cs="Arial"/>
                <w:color w:val="000000"/>
                <w:sz w:val="18"/>
                <w:szCs w:val="18"/>
              </w:rPr>
            </w:pPr>
            <w:r w:rsidRPr="005311CD">
              <w:rPr>
                <w:rFonts w:ascii="Arial" w:eastAsia="Arial" w:hAnsi="Arial" w:cs="Arial"/>
                <w:color w:val="000000"/>
                <w:sz w:val="18"/>
                <w:szCs w:val="18"/>
              </w:rPr>
              <w:t>A falta de planejamento e a consequente aplicação não estratégica dos recursos (sintoma ou causa da concentração ineficiente) foram apontadas como falhas na gestão de recursos destinados ao combate à pobreza, afetando a plurali</w:t>
            </w:r>
            <w:r>
              <w:rPr>
                <w:rFonts w:ascii="Arial" w:eastAsia="Arial" w:hAnsi="Arial" w:cs="Arial"/>
                <w:color w:val="000000"/>
                <w:sz w:val="18"/>
                <w:szCs w:val="18"/>
              </w:rPr>
              <w:t>dade e a eficácia das políticas.</w:t>
            </w:r>
          </w:p>
          <w:p w14:paraId="52500155" w14:textId="77777777" w:rsidR="001C7E6F" w:rsidRDefault="001C7E6F" w:rsidP="00BD3046">
            <w:pPr>
              <w:spacing w:after="0" w:line="240" w:lineRule="auto"/>
              <w:rPr>
                <w:rFonts w:ascii="Arial" w:eastAsia="Arial" w:hAnsi="Arial" w:cs="Arial"/>
                <w:color w:val="000000"/>
                <w:sz w:val="18"/>
                <w:szCs w:val="18"/>
              </w:rPr>
            </w:pPr>
          </w:p>
          <w:p w14:paraId="624FFDE8" w14:textId="77777777" w:rsidR="001C7E6F" w:rsidRDefault="001C7E6F" w:rsidP="00BD3046">
            <w:pPr>
              <w:spacing w:after="0" w:line="240" w:lineRule="auto"/>
              <w:rPr>
                <w:rFonts w:ascii="Arial" w:eastAsia="Arial" w:hAnsi="Arial" w:cs="Arial"/>
                <w:color w:val="000000"/>
                <w:sz w:val="18"/>
                <w:szCs w:val="18"/>
              </w:rPr>
            </w:pPr>
            <w:r w:rsidRPr="00B54DA6">
              <w:rPr>
                <w:rFonts w:ascii="Arial" w:eastAsia="Arial" w:hAnsi="Arial" w:cs="Arial"/>
                <w:color w:val="000000"/>
                <w:sz w:val="18"/>
                <w:szCs w:val="18"/>
              </w:rPr>
              <w:t>A concentração em poucas unidades gestoras centrais (como o Tesouro/SEFAZ) facilita a utilização de mecanismos como a antecipação de fontes, que já levou à aplicação de recursos vinculados (como o FECP</w:t>
            </w:r>
            <w:r>
              <w:rPr>
                <w:rFonts w:ascii="Arial" w:eastAsia="Arial" w:hAnsi="Arial" w:cs="Arial"/>
                <w:color w:val="000000"/>
                <w:sz w:val="18"/>
                <w:szCs w:val="18"/>
              </w:rPr>
              <w:t>-RJ</w:t>
            </w:r>
            <w:r w:rsidRPr="00B54DA6">
              <w:rPr>
                <w:rFonts w:ascii="Arial" w:eastAsia="Arial" w:hAnsi="Arial" w:cs="Arial"/>
                <w:color w:val="000000"/>
                <w:sz w:val="18"/>
                <w:szCs w:val="18"/>
              </w:rPr>
              <w:t>, Fonte 122) em finalidade diversa de sua vinculação legal. Essa prática constitui uma grave infração à norma legal e viola a Lei de Responsabilidade Fiscal (LRF).</w:t>
            </w:r>
          </w:p>
          <w:p w14:paraId="31CC99EE" w14:textId="77777777" w:rsidR="001C7E6F" w:rsidRDefault="001C7E6F" w:rsidP="00BD3046">
            <w:pPr>
              <w:spacing w:after="0" w:line="240" w:lineRule="auto"/>
              <w:rPr>
                <w:rFonts w:ascii="Arial" w:eastAsia="Arial" w:hAnsi="Arial" w:cs="Arial"/>
                <w:color w:val="000000"/>
                <w:sz w:val="18"/>
                <w:szCs w:val="18"/>
              </w:rPr>
            </w:pPr>
          </w:p>
          <w:p w14:paraId="113A017A" w14:textId="77777777" w:rsidR="001C7E6F" w:rsidRDefault="001C7E6F" w:rsidP="00BD3046">
            <w:pPr>
              <w:spacing w:after="0" w:line="240" w:lineRule="auto"/>
              <w:rPr>
                <w:rFonts w:ascii="Arial" w:eastAsia="Arial" w:hAnsi="Arial" w:cs="Arial"/>
                <w:i/>
                <w:color w:val="000000"/>
                <w:sz w:val="18"/>
                <w:szCs w:val="18"/>
              </w:rPr>
            </w:pPr>
            <w:r w:rsidRPr="00B54DA6">
              <w:rPr>
                <w:rFonts w:ascii="Arial" w:eastAsia="Arial" w:hAnsi="Arial" w:cs="Arial"/>
                <w:color w:val="000000"/>
                <w:sz w:val="18"/>
                <w:szCs w:val="18"/>
              </w:rPr>
              <w:t xml:space="preserve">A concentração de recursos em unidades que historicamente apresentaram inconsistências no registro de dados no sistema contábil (SiafeRio) prejudica a evidenciação da real situação orçamentária, financeira e patrimonial. Isso compromete o controle de origem e destinação de recursos, dificultando a </w:t>
            </w:r>
            <w:r w:rsidRPr="00B54DA6">
              <w:rPr>
                <w:rFonts w:ascii="Arial" w:eastAsia="Arial" w:hAnsi="Arial" w:cs="Arial"/>
                <w:i/>
                <w:color w:val="000000"/>
                <w:sz w:val="18"/>
                <w:szCs w:val="18"/>
              </w:rPr>
              <w:t>accountability</w:t>
            </w:r>
            <w:r>
              <w:rPr>
                <w:rFonts w:ascii="Arial" w:eastAsia="Arial" w:hAnsi="Arial" w:cs="Arial"/>
                <w:i/>
                <w:color w:val="000000"/>
                <w:sz w:val="18"/>
                <w:szCs w:val="18"/>
              </w:rPr>
              <w:t>.</w:t>
            </w:r>
          </w:p>
          <w:p w14:paraId="795759C4" w14:textId="77777777" w:rsidR="001C7E6F" w:rsidRDefault="001C7E6F" w:rsidP="00BD3046">
            <w:pPr>
              <w:spacing w:after="0" w:line="240" w:lineRule="auto"/>
              <w:rPr>
                <w:rFonts w:ascii="Arial" w:eastAsia="Arial" w:hAnsi="Arial" w:cs="Arial"/>
                <w:i/>
                <w:color w:val="000000"/>
                <w:sz w:val="18"/>
                <w:szCs w:val="18"/>
              </w:rPr>
            </w:pPr>
          </w:p>
          <w:p w14:paraId="271BBA1A" w14:textId="77777777" w:rsidR="001C7E6F" w:rsidRDefault="001C7E6F" w:rsidP="00BD3046">
            <w:pPr>
              <w:spacing w:after="0" w:line="240" w:lineRule="auto"/>
              <w:rPr>
                <w:rFonts w:ascii="Arial" w:eastAsia="Arial" w:hAnsi="Arial" w:cs="Arial"/>
                <w:color w:val="000000"/>
                <w:sz w:val="18"/>
                <w:szCs w:val="18"/>
              </w:rPr>
            </w:pPr>
            <w:r w:rsidRPr="00B54DA6">
              <w:rPr>
                <w:rFonts w:ascii="Arial" w:eastAsia="Arial" w:hAnsi="Arial" w:cs="Arial"/>
                <w:color w:val="000000"/>
                <w:sz w:val="18"/>
                <w:szCs w:val="18"/>
              </w:rPr>
              <w:t>O desenvolvimento socioeconômico envolve interesses múltiplos e as diferenças nos projetos socioeconômicos em disputa. Se a execução do FECP é dominada por 2 ou 3 atores (por exemplo, Saúde e Previdência, que são os que mais concentram despesas), os objetivos menos representados (como Moradia Digna, Trabalho e Geração de Renda, ou Segurança Alimentar, que frequentemente recebem uma parcela menor de recursos) correm o risco de não serem efetivados.</w:t>
            </w:r>
          </w:p>
          <w:p w14:paraId="6DBF41B2" w14:textId="77777777" w:rsidR="001C7E6F" w:rsidRDefault="001C7E6F" w:rsidP="00BD3046">
            <w:pPr>
              <w:spacing w:after="0" w:line="240" w:lineRule="auto"/>
              <w:rPr>
                <w:rFonts w:ascii="Arial" w:eastAsia="Arial" w:hAnsi="Arial" w:cs="Arial"/>
                <w:color w:val="000000"/>
                <w:sz w:val="18"/>
                <w:szCs w:val="18"/>
              </w:rPr>
            </w:pPr>
          </w:p>
          <w:p w14:paraId="5D484A17" w14:textId="77777777" w:rsidR="001C7E6F" w:rsidRDefault="001C7E6F" w:rsidP="00BD3046">
            <w:pPr>
              <w:spacing w:after="0" w:line="240" w:lineRule="auto"/>
              <w:rPr>
                <w:rFonts w:ascii="Arial" w:eastAsia="Arial" w:hAnsi="Arial" w:cs="Arial"/>
                <w:color w:val="000000"/>
                <w:sz w:val="18"/>
                <w:szCs w:val="18"/>
              </w:rPr>
            </w:pPr>
            <w:r w:rsidRPr="00B54DA6">
              <w:rPr>
                <w:rFonts w:ascii="Arial" w:eastAsia="Arial" w:hAnsi="Arial" w:cs="Arial"/>
                <w:color w:val="000000"/>
                <w:sz w:val="18"/>
                <w:szCs w:val="18"/>
              </w:rPr>
              <w:t>O planejamento estratégico requer a articulação de inúmeras áreas integradas para enfrentar macroproblemas estruturais. A dependência de poucos atores gera uma "estrutura oca" que, apesar de ser competitiva em segmentos de excelência, fica fragilizada pela desarticulação de seu conjunto</w:t>
            </w:r>
            <w:r>
              <w:rPr>
                <w:rFonts w:ascii="Arial" w:eastAsia="Arial" w:hAnsi="Arial" w:cs="Arial"/>
                <w:color w:val="000000"/>
                <w:sz w:val="18"/>
                <w:szCs w:val="18"/>
              </w:rPr>
              <w:t>.</w:t>
            </w:r>
          </w:p>
          <w:p w14:paraId="394F3B15" w14:textId="77777777" w:rsidR="001C7E6F" w:rsidRDefault="001C7E6F" w:rsidP="00BD3046">
            <w:pPr>
              <w:spacing w:after="0" w:line="240" w:lineRule="auto"/>
              <w:rPr>
                <w:rFonts w:ascii="Arial" w:eastAsia="Arial" w:hAnsi="Arial" w:cs="Arial"/>
                <w:color w:val="000000"/>
                <w:sz w:val="18"/>
                <w:szCs w:val="18"/>
              </w:rPr>
            </w:pPr>
          </w:p>
          <w:p w14:paraId="2F9A6F98" w14:textId="77777777" w:rsidR="001C7E6F" w:rsidRDefault="001C7E6F" w:rsidP="00BD3046">
            <w:pPr>
              <w:spacing w:after="0" w:line="240" w:lineRule="auto"/>
              <w:rPr>
                <w:rFonts w:ascii="Arial" w:eastAsia="Arial" w:hAnsi="Arial" w:cs="Arial"/>
                <w:color w:val="000000"/>
                <w:sz w:val="18"/>
                <w:szCs w:val="18"/>
              </w:rPr>
            </w:pPr>
            <w:r w:rsidRPr="00B54DA6">
              <w:rPr>
                <w:rFonts w:ascii="Arial" w:eastAsia="Arial" w:hAnsi="Arial" w:cs="Arial"/>
                <w:color w:val="000000"/>
                <w:sz w:val="18"/>
                <w:szCs w:val="18"/>
              </w:rPr>
              <w:lastRenderedPageBreak/>
              <w:t xml:space="preserve">O TCE-RJ aponta </w:t>
            </w:r>
            <w:r>
              <w:rPr>
                <w:rFonts w:ascii="Arial" w:eastAsia="Arial" w:hAnsi="Arial" w:cs="Arial"/>
                <w:color w:val="000000"/>
                <w:sz w:val="18"/>
                <w:szCs w:val="18"/>
              </w:rPr>
              <w:t xml:space="preserve">(Processo </w:t>
            </w:r>
            <w:r w:rsidRPr="00B54DA6">
              <w:rPr>
                <w:rFonts w:ascii="Arial" w:eastAsia="Arial" w:hAnsi="Arial" w:cs="Arial"/>
                <w:color w:val="000000"/>
                <w:sz w:val="18"/>
                <w:szCs w:val="18"/>
              </w:rPr>
              <w:t>103</w:t>
            </w:r>
            <w:r>
              <w:rPr>
                <w:rFonts w:ascii="Arial" w:eastAsia="Arial" w:hAnsi="Arial" w:cs="Arial"/>
                <w:color w:val="000000"/>
                <w:sz w:val="18"/>
                <w:szCs w:val="18"/>
              </w:rPr>
              <w:t>.</w:t>
            </w:r>
            <w:r w:rsidRPr="00B54DA6">
              <w:rPr>
                <w:rFonts w:ascii="Arial" w:eastAsia="Arial" w:hAnsi="Arial" w:cs="Arial"/>
                <w:color w:val="000000"/>
                <w:sz w:val="18"/>
                <w:szCs w:val="18"/>
              </w:rPr>
              <w:t>074</w:t>
            </w:r>
            <w:r>
              <w:rPr>
                <w:rFonts w:ascii="Arial" w:eastAsia="Arial" w:hAnsi="Arial" w:cs="Arial"/>
                <w:color w:val="000000"/>
                <w:sz w:val="18"/>
                <w:szCs w:val="18"/>
              </w:rPr>
              <w:t>-</w:t>
            </w:r>
            <w:r w:rsidRPr="00B54DA6">
              <w:rPr>
                <w:rFonts w:ascii="Arial" w:eastAsia="Arial" w:hAnsi="Arial" w:cs="Arial"/>
                <w:color w:val="000000"/>
                <w:sz w:val="18"/>
                <w:szCs w:val="18"/>
              </w:rPr>
              <w:t>9</w:t>
            </w:r>
            <w:r>
              <w:rPr>
                <w:rFonts w:ascii="Arial" w:eastAsia="Arial" w:hAnsi="Arial" w:cs="Arial"/>
                <w:color w:val="000000"/>
                <w:sz w:val="18"/>
                <w:szCs w:val="18"/>
              </w:rPr>
              <w:t>/</w:t>
            </w:r>
            <w:r w:rsidRPr="00B54DA6">
              <w:rPr>
                <w:rFonts w:ascii="Arial" w:eastAsia="Arial" w:hAnsi="Arial" w:cs="Arial"/>
                <w:color w:val="000000"/>
                <w:sz w:val="18"/>
                <w:szCs w:val="18"/>
              </w:rPr>
              <w:t>2024</w:t>
            </w:r>
            <w:r>
              <w:rPr>
                <w:rFonts w:ascii="Arial" w:eastAsia="Arial" w:hAnsi="Arial" w:cs="Arial"/>
                <w:color w:val="000000"/>
                <w:sz w:val="18"/>
                <w:szCs w:val="18"/>
              </w:rPr>
              <w:t xml:space="preserve">) </w:t>
            </w:r>
            <w:r w:rsidRPr="00B54DA6">
              <w:rPr>
                <w:rFonts w:ascii="Arial" w:eastAsia="Arial" w:hAnsi="Arial" w:cs="Arial"/>
                <w:color w:val="000000"/>
                <w:sz w:val="18"/>
                <w:szCs w:val="18"/>
              </w:rPr>
              <w:t xml:space="preserve">problemas sistêmicos de descontrole orçamentário e financeiro que resultam em desperdício de recursos públicos. Quando a execução se concentra em Unidades Gestoras (UGs) com falhas recorrentes (como Tesouro/SEFAZ e Fundo Estadual de Saúde - FES), as deficiências de controle interno e as inconsistências contábeis dessas UGs se tornam "generalizadas", prejudicando a utilidade da informação para a tomada de decisão e </w:t>
            </w:r>
            <w:r w:rsidRPr="00B54DA6">
              <w:rPr>
                <w:rFonts w:ascii="Arial" w:eastAsia="Arial" w:hAnsi="Arial" w:cs="Arial"/>
                <w:i/>
                <w:color w:val="000000"/>
                <w:sz w:val="18"/>
                <w:szCs w:val="18"/>
              </w:rPr>
              <w:t>accountability</w:t>
            </w:r>
            <w:r w:rsidRPr="00B54DA6">
              <w:rPr>
                <w:rFonts w:ascii="Arial" w:eastAsia="Arial" w:hAnsi="Arial" w:cs="Arial"/>
                <w:color w:val="000000"/>
                <w:sz w:val="18"/>
                <w:szCs w:val="18"/>
              </w:rPr>
              <w:t xml:space="preserve"> em todo o Balanço Patrimonial</w:t>
            </w:r>
            <w:r>
              <w:rPr>
                <w:rFonts w:ascii="Arial" w:eastAsia="Arial" w:hAnsi="Arial" w:cs="Arial"/>
                <w:color w:val="000000"/>
                <w:sz w:val="18"/>
                <w:szCs w:val="18"/>
              </w:rPr>
              <w:t>.</w:t>
            </w:r>
          </w:p>
          <w:p w14:paraId="52B7E153" w14:textId="77777777" w:rsidR="001C7E6F" w:rsidRDefault="001C7E6F" w:rsidP="00BD3046">
            <w:pPr>
              <w:spacing w:after="0" w:line="240" w:lineRule="auto"/>
              <w:rPr>
                <w:rFonts w:ascii="Arial" w:eastAsia="Arial" w:hAnsi="Arial" w:cs="Arial"/>
                <w:color w:val="000000"/>
                <w:sz w:val="18"/>
                <w:szCs w:val="18"/>
              </w:rPr>
            </w:pPr>
          </w:p>
        </w:tc>
      </w:tr>
      <w:tr w:rsidR="001C7E6F" w14:paraId="0B936361" w14:textId="77777777" w:rsidTr="00BD3046">
        <w:trPr>
          <w:trHeight w:val="435"/>
        </w:trPr>
        <w:tc>
          <w:tcPr>
            <w:tcW w:w="0" w:type="auto"/>
            <w:shd w:val="clear" w:color="auto" w:fill="auto"/>
            <w:vAlign w:val="center"/>
          </w:tcPr>
          <w:p w14:paraId="48DFD6FC"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1.7 Transparência da arrecadação</w:t>
            </w:r>
          </w:p>
        </w:tc>
        <w:tc>
          <w:tcPr>
            <w:tcW w:w="0" w:type="auto"/>
            <w:shd w:val="clear" w:color="auto" w:fill="auto"/>
            <w:vAlign w:val="center"/>
          </w:tcPr>
          <w:p w14:paraId="4E476547" w14:textId="77777777" w:rsidR="001C7E6F" w:rsidRPr="00C9798D" w:rsidRDefault="001C7E6F" w:rsidP="00BD3046">
            <w:pPr>
              <w:spacing w:after="0" w:line="240" w:lineRule="auto"/>
              <w:rPr>
                <w:rFonts w:ascii="Arial" w:eastAsia="Arial" w:hAnsi="Arial" w:cs="Arial"/>
                <w:i/>
                <w:color w:val="000000"/>
                <w:sz w:val="18"/>
                <w:szCs w:val="18"/>
              </w:rPr>
            </w:pPr>
            <w:r>
              <w:rPr>
                <w:rFonts w:ascii="Arial" w:eastAsia="Arial" w:hAnsi="Arial" w:cs="Arial"/>
                <w:i/>
                <w:color w:val="000000"/>
                <w:sz w:val="18"/>
                <w:szCs w:val="18"/>
              </w:rPr>
              <w:t>Salvaguarda</w:t>
            </w:r>
            <w:r w:rsidRPr="00C9798D">
              <w:rPr>
                <w:rFonts w:ascii="Arial" w:eastAsia="Arial" w:hAnsi="Arial" w:cs="Arial"/>
                <w:i/>
                <w:sz w:val="18"/>
                <w:szCs w:val="18"/>
              </w:rPr>
              <w:t xml:space="preserve"> d</w:t>
            </w:r>
            <w:r>
              <w:rPr>
                <w:rFonts w:ascii="Arial" w:eastAsia="Arial" w:hAnsi="Arial" w:cs="Arial"/>
                <w:i/>
                <w:sz w:val="18"/>
                <w:szCs w:val="18"/>
              </w:rPr>
              <w:t>os critérios de</w:t>
            </w:r>
            <w:r w:rsidRPr="00C9798D">
              <w:rPr>
                <w:rFonts w:ascii="Arial" w:eastAsia="Arial" w:hAnsi="Arial" w:cs="Arial"/>
                <w:i/>
                <w:color w:val="000000"/>
                <w:sz w:val="18"/>
                <w:szCs w:val="18"/>
              </w:rPr>
              <w:t xml:space="preserve"> rastreabilidade e controle social sobre a receita (o que foi previsto, quanto entrou e quando). Existência de portal de transparência ou painel de arrecadação, com periodicidade de atualização definida (tempo real ou mensal).</w:t>
            </w:r>
          </w:p>
          <w:p w14:paraId="24052591" w14:textId="77777777" w:rsidR="001C7E6F" w:rsidRDefault="001C7E6F" w:rsidP="00BD3046">
            <w:pPr>
              <w:spacing w:after="0" w:line="240" w:lineRule="auto"/>
              <w:rPr>
                <w:rFonts w:ascii="Arial" w:eastAsia="Arial" w:hAnsi="Arial" w:cs="Arial"/>
                <w:color w:val="000000"/>
                <w:sz w:val="18"/>
                <w:szCs w:val="18"/>
              </w:rPr>
            </w:pPr>
          </w:p>
          <w:p w14:paraId="747EFE2B"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A rastreabilidade dos recursos do </w:t>
            </w:r>
            <w:r w:rsidRPr="008B0E17">
              <w:rPr>
                <w:rFonts w:ascii="Arial" w:eastAsia="Arial" w:hAnsi="Arial" w:cs="Arial"/>
                <w:color w:val="000000"/>
                <w:sz w:val="18"/>
                <w:szCs w:val="18"/>
              </w:rPr>
              <w:t>FECP</w:t>
            </w:r>
            <w:r>
              <w:rPr>
                <w:rFonts w:ascii="Arial" w:eastAsia="Arial" w:hAnsi="Arial" w:cs="Arial"/>
                <w:color w:val="000000"/>
                <w:sz w:val="18"/>
                <w:szCs w:val="18"/>
              </w:rPr>
              <w:t xml:space="preserve">-RJ pode ser assegurada no seguinte endereço: </w:t>
            </w:r>
          </w:p>
          <w:p w14:paraId="46E9B74C" w14:textId="77777777" w:rsidR="001C7E6F" w:rsidRDefault="001C7E6F" w:rsidP="00BD3046">
            <w:pPr>
              <w:spacing w:after="0" w:line="240" w:lineRule="auto"/>
              <w:rPr>
                <w:rFonts w:ascii="Arial" w:eastAsia="Arial" w:hAnsi="Arial" w:cs="Arial"/>
                <w:color w:val="000000"/>
                <w:sz w:val="18"/>
                <w:szCs w:val="18"/>
              </w:rPr>
            </w:pPr>
            <w:hyperlink r:id="rId16" w:history="1">
              <w:r w:rsidRPr="003A28BF">
                <w:rPr>
                  <w:rStyle w:val="Hyperlink"/>
                  <w:rFonts w:ascii="Arial" w:eastAsia="Arial" w:hAnsi="Arial" w:cs="Arial"/>
                  <w:sz w:val="18"/>
                  <w:szCs w:val="18"/>
                </w:rPr>
                <w:t>https://portal.fazenda.rj.gov.br/icms/fecp/</w:t>
              </w:r>
            </w:hyperlink>
          </w:p>
          <w:p w14:paraId="0F29CC3C" w14:textId="77777777" w:rsidR="001C7E6F" w:rsidRDefault="001C7E6F" w:rsidP="00BD3046">
            <w:pPr>
              <w:spacing w:after="0" w:line="240" w:lineRule="auto"/>
              <w:rPr>
                <w:rFonts w:ascii="Arial" w:eastAsia="Arial" w:hAnsi="Arial" w:cs="Arial"/>
                <w:color w:val="000000"/>
                <w:sz w:val="18"/>
                <w:szCs w:val="18"/>
              </w:rPr>
            </w:pPr>
          </w:p>
          <w:p w14:paraId="518CC34E"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Apesar disso, o</w:t>
            </w:r>
            <w:r w:rsidRPr="008B0E17">
              <w:rPr>
                <w:rFonts w:ascii="Arial" w:eastAsia="Arial" w:hAnsi="Arial" w:cs="Arial"/>
                <w:color w:val="000000"/>
                <w:sz w:val="18"/>
                <w:szCs w:val="18"/>
              </w:rPr>
              <w:t xml:space="preserve"> controle de origem e destinação dos recursos ainda é com</w:t>
            </w:r>
            <w:r>
              <w:rPr>
                <w:rFonts w:ascii="Arial" w:eastAsia="Arial" w:hAnsi="Arial" w:cs="Arial"/>
                <w:color w:val="000000"/>
                <w:sz w:val="18"/>
                <w:szCs w:val="18"/>
              </w:rPr>
              <w:t xml:space="preserve">prometido por falhas sistêmicas. </w:t>
            </w:r>
            <w:r w:rsidRPr="008B0E17">
              <w:rPr>
                <w:rFonts w:ascii="Arial" w:eastAsia="Arial" w:hAnsi="Arial" w:cs="Arial"/>
                <w:color w:val="000000"/>
                <w:sz w:val="18"/>
                <w:szCs w:val="18"/>
              </w:rPr>
              <w:t>O Estado não tem obedecido aos códigos padronizados estabelecidos pela Portaria STN n.º 710/2021, utilizando as mesmas codificações dos exercícios anteriores. Tal fato dificulta a análise e a transparência no controle de origem e destinação de recursos.</w:t>
            </w:r>
            <w:r>
              <w:rPr>
                <w:rFonts w:ascii="Arial" w:eastAsia="Arial" w:hAnsi="Arial" w:cs="Arial"/>
                <w:color w:val="000000"/>
                <w:sz w:val="18"/>
                <w:szCs w:val="18"/>
              </w:rPr>
              <w:t xml:space="preserve"> De acordo com o TCE-RJ, h</w:t>
            </w:r>
            <w:r w:rsidRPr="008B0E17">
              <w:rPr>
                <w:rFonts w:ascii="Arial" w:eastAsia="Arial" w:hAnsi="Arial" w:cs="Arial"/>
                <w:color w:val="000000"/>
                <w:sz w:val="18"/>
                <w:szCs w:val="18"/>
              </w:rPr>
              <w:t>á uma necessidade permanente de dotar o Siafe-Rio de condições para implantar integralmente um controle eficiente de Fonte/Destinação de Recursos para melhorar a qualidade da informação e a transparência. Auditorias constataram que a não convergência para a padronização e a ausência de rotinas de controle adequadas no sistema contábil (SiafeRio) são deficiências de controle reincidentes</w:t>
            </w:r>
            <w:r>
              <w:rPr>
                <w:rFonts w:ascii="Arial" w:eastAsia="Arial" w:hAnsi="Arial" w:cs="Arial"/>
                <w:color w:val="000000"/>
                <w:sz w:val="18"/>
                <w:szCs w:val="18"/>
              </w:rPr>
              <w:t>.</w:t>
            </w:r>
          </w:p>
          <w:p w14:paraId="202D794E" w14:textId="77777777" w:rsidR="001C7E6F" w:rsidRDefault="001C7E6F" w:rsidP="00BD3046">
            <w:pPr>
              <w:spacing w:after="0" w:line="240" w:lineRule="auto"/>
              <w:rPr>
                <w:rFonts w:ascii="Arial" w:eastAsia="Arial" w:hAnsi="Arial" w:cs="Arial"/>
                <w:color w:val="000000"/>
                <w:sz w:val="18"/>
                <w:szCs w:val="18"/>
              </w:rPr>
            </w:pPr>
          </w:p>
        </w:tc>
      </w:tr>
      <w:tr w:rsidR="001C7E6F" w14:paraId="450F2AC5" w14:textId="77777777" w:rsidTr="00BD3046">
        <w:trPr>
          <w:trHeight w:val="397"/>
        </w:trPr>
        <w:tc>
          <w:tcPr>
            <w:tcW w:w="0" w:type="auto"/>
            <w:gridSpan w:val="2"/>
            <w:shd w:val="clear" w:color="auto" w:fill="auto"/>
            <w:vAlign w:val="center"/>
          </w:tcPr>
          <w:p w14:paraId="30584300" w14:textId="77777777" w:rsidR="001C7E6F" w:rsidRDefault="001C7E6F" w:rsidP="00BD3046">
            <w:pP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Eixo 2 – Planejamento Orçamentário</w:t>
            </w:r>
          </w:p>
        </w:tc>
      </w:tr>
      <w:tr w:rsidR="001C7E6F" w14:paraId="7C282E03" w14:textId="77777777" w:rsidTr="00BD3046">
        <w:trPr>
          <w:trHeight w:val="20"/>
        </w:trPr>
        <w:tc>
          <w:tcPr>
            <w:tcW w:w="0" w:type="auto"/>
            <w:shd w:val="clear" w:color="auto" w:fill="auto"/>
            <w:vAlign w:val="center"/>
          </w:tcPr>
          <w:p w14:paraId="71E8A440"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2.1 Destinação legal</w:t>
            </w:r>
          </w:p>
        </w:tc>
        <w:tc>
          <w:tcPr>
            <w:tcW w:w="0" w:type="auto"/>
            <w:shd w:val="clear" w:color="auto" w:fill="auto"/>
            <w:vAlign w:val="center"/>
          </w:tcPr>
          <w:p w14:paraId="04F21F8B" w14:textId="77777777" w:rsidR="001C7E6F" w:rsidRPr="000E0943" w:rsidRDefault="001C7E6F" w:rsidP="00BD3046">
            <w:pPr>
              <w:spacing w:after="0" w:line="240" w:lineRule="auto"/>
              <w:rPr>
                <w:rFonts w:ascii="Arial" w:eastAsia="Arial" w:hAnsi="Arial" w:cs="Arial"/>
                <w:i/>
                <w:color w:val="000000"/>
                <w:sz w:val="18"/>
                <w:szCs w:val="18"/>
              </w:rPr>
            </w:pPr>
            <w:r w:rsidRPr="000E0943">
              <w:rPr>
                <w:rFonts w:ascii="Arial" w:eastAsia="Arial" w:hAnsi="Arial" w:cs="Arial"/>
                <w:i/>
                <w:color w:val="000000"/>
                <w:sz w:val="18"/>
                <w:szCs w:val="18"/>
              </w:rPr>
              <w:t>Vinculação expressa dos recursos a políticas de combate à pobreza.</w:t>
            </w:r>
          </w:p>
          <w:p w14:paraId="57B0C760" w14:textId="77777777" w:rsidR="001C7E6F" w:rsidRDefault="001C7E6F" w:rsidP="00BD3046">
            <w:pPr>
              <w:spacing w:after="0" w:line="240" w:lineRule="auto"/>
              <w:rPr>
                <w:rFonts w:ascii="Arial" w:eastAsia="Arial" w:hAnsi="Arial" w:cs="Arial"/>
                <w:color w:val="000000"/>
                <w:sz w:val="18"/>
                <w:szCs w:val="18"/>
              </w:rPr>
            </w:pPr>
          </w:p>
          <w:p w14:paraId="33DD8A56" w14:textId="77777777" w:rsidR="001C7E6F" w:rsidRPr="008B0E17" w:rsidRDefault="001C7E6F" w:rsidP="00BD3046">
            <w:pPr>
              <w:spacing w:after="0" w:line="240" w:lineRule="auto"/>
              <w:rPr>
                <w:rFonts w:ascii="Arial" w:eastAsia="Arial" w:hAnsi="Arial" w:cs="Arial"/>
                <w:sz w:val="18"/>
                <w:szCs w:val="18"/>
              </w:rPr>
            </w:pPr>
            <w:r w:rsidRPr="008B0E17">
              <w:rPr>
                <w:rFonts w:ascii="Arial" w:eastAsia="Arial" w:hAnsi="Arial" w:cs="Arial"/>
                <w:sz w:val="18"/>
                <w:szCs w:val="18"/>
              </w:rPr>
              <w:t>A Lei Complementar Estadual nº 210, de 21 de julho de 2023, que reinstituiu o FECP</w:t>
            </w:r>
            <w:r>
              <w:rPr>
                <w:rFonts w:ascii="Arial" w:eastAsia="Arial" w:hAnsi="Arial" w:cs="Arial"/>
                <w:sz w:val="18"/>
                <w:szCs w:val="18"/>
              </w:rPr>
              <w:t>-RJ</w:t>
            </w:r>
            <w:r w:rsidRPr="008B0E17">
              <w:rPr>
                <w:rFonts w:ascii="Arial" w:eastAsia="Arial" w:hAnsi="Arial" w:cs="Arial"/>
                <w:sz w:val="18"/>
                <w:szCs w:val="18"/>
              </w:rPr>
              <w:t xml:space="preserve"> (revogando a Lei Estadual nº 4.056/2002), estabelece de forma clara a finalidade dos recursos:</w:t>
            </w:r>
          </w:p>
          <w:p w14:paraId="5510E4A0" w14:textId="77777777" w:rsidR="001C7E6F" w:rsidRPr="008B0E17" w:rsidRDefault="001C7E6F" w:rsidP="0032733E">
            <w:pPr>
              <w:pStyle w:val="PargrafodaLista"/>
              <w:numPr>
                <w:ilvl w:val="0"/>
                <w:numId w:val="15"/>
              </w:numPr>
              <w:spacing w:after="0" w:line="240" w:lineRule="auto"/>
              <w:ind w:left="228" w:hanging="228"/>
              <w:rPr>
                <w:rFonts w:eastAsia="Arial"/>
                <w:sz w:val="18"/>
                <w:szCs w:val="18"/>
              </w:rPr>
            </w:pPr>
            <w:r w:rsidRPr="008B0E17">
              <w:rPr>
                <w:rFonts w:eastAsia="Arial"/>
                <w:sz w:val="18"/>
                <w:szCs w:val="18"/>
              </w:rPr>
              <w:t>Objetivo Legal: Os recursos do Fundo têm por objetivo "viabilizar a todos os fluminenses acesso a níveis dignos de subsistência, visando a melhoria de qualidade de vida".</w:t>
            </w:r>
          </w:p>
          <w:p w14:paraId="041FB0BC" w14:textId="77777777" w:rsidR="001C7E6F" w:rsidRPr="008B0E17" w:rsidRDefault="001C7E6F" w:rsidP="0032733E">
            <w:pPr>
              <w:pStyle w:val="PargrafodaLista"/>
              <w:numPr>
                <w:ilvl w:val="0"/>
                <w:numId w:val="15"/>
              </w:numPr>
              <w:spacing w:after="0" w:line="240" w:lineRule="auto"/>
              <w:ind w:left="228" w:hanging="228"/>
              <w:rPr>
                <w:rFonts w:eastAsia="Arial"/>
                <w:sz w:val="18"/>
                <w:szCs w:val="18"/>
              </w:rPr>
            </w:pPr>
            <w:r w:rsidRPr="008B0E17">
              <w:rPr>
                <w:rFonts w:eastAsia="Arial"/>
                <w:sz w:val="18"/>
                <w:szCs w:val="18"/>
              </w:rPr>
              <w:t>Aplicação Prioritária: O Art. 3º da Lei Complementar nº 210/23 determina que os recursos do FECP deverão ser aplicados em iniciativas que beneficiem prioritariamente pessoas e grupos em situação de vulnerabilidade social, contribuindo para a mitigação e superação da pobreza e das desigualdades sociais.</w:t>
            </w:r>
          </w:p>
          <w:p w14:paraId="4ECBD145" w14:textId="77777777" w:rsidR="001C7E6F" w:rsidRDefault="001C7E6F" w:rsidP="00BD3046">
            <w:pPr>
              <w:spacing w:after="0" w:line="240" w:lineRule="auto"/>
              <w:rPr>
                <w:rFonts w:ascii="Arial" w:eastAsia="Arial" w:hAnsi="Arial" w:cs="Arial"/>
                <w:color w:val="000000"/>
                <w:sz w:val="18"/>
                <w:szCs w:val="18"/>
              </w:rPr>
            </w:pPr>
          </w:p>
        </w:tc>
      </w:tr>
      <w:tr w:rsidR="001C7E6F" w14:paraId="03F72EF0" w14:textId="77777777" w:rsidTr="00BD3046">
        <w:trPr>
          <w:trHeight w:val="20"/>
        </w:trPr>
        <w:tc>
          <w:tcPr>
            <w:tcW w:w="0" w:type="auto"/>
            <w:shd w:val="clear" w:color="auto" w:fill="auto"/>
            <w:vAlign w:val="center"/>
          </w:tcPr>
          <w:p w14:paraId="2C7A2326"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2.2 Instrumentos de planejamento</w:t>
            </w:r>
          </w:p>
        </w:tc>
        <w:tc>
          <w:tcPr>
            <w:tcW w:w="0" w:type="auto"/>
            <w:shd w:val="clear" w:color="auto" w:fill="auto"/>
            <w:vAlign w:val="center"/>
          </w:tcPr>
          <w:p w14:paraId="64A33E98" w14:textId="77777777" w:rsidR="001C7E6F" w:rsidRPr="00105D48" w:rsidRDefault="001C7E6F" w:rsidP="00BD3046">
            <w:pPr>
              <w:spacing w:after="0" w:line="240" w:lineRule="auto"/>
              <w:rPr>
                <w:rFonts w:ascii="Arial" w:eastAsia="Arial" w:hAnsi="Arial" w:cs="Arial"/>
                <w:i/>
                <w:color w:val="000000"/>
                <w:sz w:val="18"/>
                <w:szCs w:val="18"/>
              </w:rPr>
            </w:pPr>
            <w:r w:rsidRPr="00105D48">
              <w:rPr>
                <w:rFonts w:ascii="Arial" w:eastAsia="Arial" w:hAnsi="Arial" w:cs="Arial"/>
                <w:i/>
                <w:color w:val="000000"/>
                <w:sz w:val="18"/>
                <w:szCs w:val="18"/>
              </w:rPr>
              <w:t>Obrigatoriedade e existência de Plano de Ação (PA) e Plano de Aplicação Financeira (PAF), aprovados pelo Conselho Gestor, além da adequação e compatibilidade da LOA com o PPA e a LDO.</w:t>
            </w:r>
          </w:p>
          <w:p w14:paraId="65A54C98" w14:textId="77777777" w:rsidR="001C7E6F" w:rsidRDefault="001C7E6F" w:rsidP="00BD3046">
            <w:pPr>
              <w:spacing w:after="0" w:line="240" w:lineRule="auto"/>
              <w:rPr>
                <w:rFonts w:ascii="Arial" w:eastAsia="Arial" w:hAnsi="Arial" w:cs="Arial"/>
                <w:color w:val="000000"/>
                <w:sz w:val="18"/>
                <w:szCs w:val="18"/>
              </w:rPr>
            </w:pPr>
          </w:p>
          <w:p w14:paraId="11785B55" w14:textId="77777777" w:rsidR="001C7E6F" w:rsidRDefault="001C7E6F" w:rsidP="00BD3046">
            <w:pPr>
              <w:spacing w:after="0" w:line="240" w:lineRule="auto"/>
              <w:jc w:val="both"/>
              <w:rPr>
                <w:rFonts w:ascii="Arial" w:eastAsia="Arial" w:hAnsi="Arial" w:cs="Arial"/>
                <w:color w:val="000000"/>
                <w:sz w:val="18"/>
                <w:szCs w:val="18"/>
              </w:rPr>
            </w:pPr>
            <w:r w:rsidRPr="00B54DA6">
              <w:rPr>
                <w:rFonts w:ascii="Arial" w:eastAsia="Arial" w:hAnsi="Arial" w:cs="Arial"/>
                <w:color w:val="000000"/>
                <w:sz w:val="18"/>
                <w:szCs w:val="18"/>
              </w:rPr>
              <w:t>A verificação da obrigatoriedade, existência e adequação dos instrumentos de FECP-RJ revela que, embora os documentos com nomes específicos (PA/PAF) não sejam formalmente exigidos, a estrutura de gestão e o alinhamento orçamentário (LOA, LDO, PPA) são mandatórios, mas enfrentam desafios de compatibilidade.</w:t>
            </w:r>
          </w:p>
          <w:p w14:paraId="515485DF" w14:textId="77777777" w:rsidR="001C7E6F" w:rsidRDefault="001C7E6F" w:rsidP="00BD3046">
            <w:pPr>
              <w:spacing w:after="0" w:line="240" w:lineRule="auto"/>
              <w:jc w:val="both"/>
              <w:rPr>
                <w:rFonts w:ascii="Arial" w:eastAsia="Arial" w:hAnsi="Arial" w:cs="Arial"/>
                <w:color w:val="000000"/>
                <w:sz w:val="18"/>
                <w:szCs w:val="18"/>
              </w:rPr>
            </w:pPr>
          </w:p>
          <w:p w14:paraId="32A0AC7B" w14:textId="77777777" w:rsidR="001C7E6F" w:rsidRDefault="001C7E6F" w:rsidP="00BD3046">
            <w:pPr>
              <w:spacing w:after="0" w:line="240" w:lineRule="auto"/>
              <w:jc w:val="both"/>
              <w:rPr>
                <w:rFonts w:ascii="Arial" w:eastAsia="Arial" w:hAnsi="Arial" w:cs="Arial"/>
                <w:color w:val="000000"/>
                <w:sz w:val="18"/>
                <w:szCs w:val="18"/>
              </w:rPr>
            </w:pPr>
            <w:r w:rsidRPr="00B54DA6">
              <w:rPr>
                <w:rFonts w:ascii="Arial" w:eastAsia="Arial" w:hAnsi="Arial" w:cs="Arial"/>
                <w:color w:val="000000"/>
                <w:sz w:val="18"/>
                <w:szCs w:val="18"/>
              </w:rPr>
              <w:t>Não há menção explícita na legislação do Fundo fornecida sobre a obrigatoriedade de o CGF aprovar um d</w:t>
            </w:r>
            <w:r>
              <w:rPr>
                <w:rFonts w:ascii="Arial" w:eastAsia="Arial" w:hAnsi="Arial" w:cs="Arial"/>
                <w:color w:val="000000"/>
                <w:sz w:val="18"/>
                <w:szCs w:val="18"/>
              </w:rPr>
              <w:t xml:space="preserve">ocumento específico intitulado </w:t>
            </w:r>
            <w:r w:rsidRPr="00B54DA6">
              <w:rPr>
                <w:rFonts w:ascii="Arial" w:eastAsia="Arial" w:hAnsi="Arial" w:cs="Arial"/>
                <w:color w:val="000000"/>
                <w:sz w:val="18"/>
                <w:szCs w:val="18"/>
              </w:rPr>
              <w:t>Plano de Açã</w:t>
            </w:r>
            <w:r>
              <w:rPr>
                <w:rFonts w:ascii="Arial" w:eastAsia="Arial" w:hAnsi="Arial" w:cs="Arial"/>
                <w:color w:val="000000"/>
                <w:sz w:val="18"/>
                <w:szCs w:val="18"/>
              </w:rPr>
              <w:t xml:space="preserve">o ou </w:t>
            </w:r>
            <w:r w:rsidRPr="00B54DA6">
              <w:rPr>
                <w:rFonts w:ascii="Arial" w:eastAsia="Arial" w:hAnsi="Arial" w:cs="Arial"/>
                <w:color w:val="000000"/>
                <w:sz w:val="18"/>
                <w:szCs w:val="18"/>
              </w:rPr>
              <w:t>Plan</w:t>
            </w:r>
            <w:r>
              <w:rPr>
                <w:rFonts w:ascii="Arial" w:eastAsia="Arial" w:hAnsi="Arial" w:cs="Arial"/>
                <w:color w:val="000000"/>
                <w:sz w:val="18"/>
                <w:szCs w:val="18"/>
              </w:rPr>
              <w:t>o de Aplicação Financeira.</w:t>
            </w:r>
          </w:p>
          <w:p w14:paraId="5905B6CF" w14:textId="77777777" w:rsidR="001C7E6F" w:rsidRDefault="001C7E6F" w:rsidP="00BD3046">
            <w:pPr>
              <w:spacing w:after="0" w:line="240" w:lineRule="auto"/>
              <w:jc w:val="both"/>
              <w:rPr>
                <w:rFonts w:ascii="Arial" w:eastAsia="Arial" w:hAnsi="Arial" w:cs="Arial"/>
                <w:color w:val="000000"/>
                <w:sz w:val="18"/>
                <w:szCs w:val="18"/>
              </w:rPr>
            </w:pPr>
          </w:p>
          <w:p w14:paraId="4B431205" w14:textId="77777777" w:rsidR="001C7E6F" w:rsidRPr="00B54DA6" w:rsidRDefault="001C7E6F" w:rsidP="00BD3046">
            <w:pPr>
              <w:spacing w:after="0" w:line="240" w:lineRule="auto"/>
              <w:jc w:val="both"/>
              <w:rPr>
                <w:rFonts w:ascii="Arial" w:eastAsia="Arial" w:hAnsi="Arial" w:cs="Arial"/>
                <w:color w:val="000000"/>
                <w:sz w:val="18"/>
                <w:szCs w:val="18"/>
              </w:rPr>
            </w:pPr>
            <w:r w:rsidRPr="00B54DA6">
              <w:rPr>
                <w:rFonts w:ascii="Arial" w:eastAsia="Arial" w:hAnsi="Arial" w:cs="Arial"/>
                <w:color w:val="000000"/>
                <w:sz w:val="18"/>
                <w:szCs w:val="18"/>
              </w:rPr>
              <w:t>Entretanto, as funções do CGF e as exigências legais cumprem o papel fundamental de um plano de aplicação:</w:t>
            </w:r>
          </w:p>
          <w:p w14:paraId="67171617" w14:textId="77777777" w:rsidR="001C7E6F" w:rsidRPr="00B54DA6" w:rsidRDefault="001C7E6F" w:rsidP="00BD3046">
            <w:pPr>
              <w:spacing w:after="0" w:line="240" w:lineRule="auto"/>
              <w:jc w:val="both"/>
              <w:rPr>
                <w:rFonts w:ascii="Arial" w:eastAsia="Arial" w:hAnsi="Arial" w:cs="Arial"/>
                <w:color w:val="000000"/>
                <w:sz w:val="18"/>
                <w:szCs w:val="18"/>
              </w:rPr>
            </w:pPr>
            <w:r w:rsidRPr="00B54DA6">
              <w:rPr>
                <w:rFonts w:ascii="Arial" w:eastAsia="Arial" w:hAnsi="Arial" w:cs="Arial"/>
                <w:color w:val="000000"/>
                <w:sz w:val="18"/>
                <w:szCs w:val="18"/>
              </w:rPr>
              <w:t>1. Poder Deliberativo de Alocação</w:t>
            </w:r>
            <w:r>
              <w:rPr>
                <w:rFonts w:ascii="Arial" w:eastAsia="Arial" w:hAnsi="Arial" w:cs="Arial"/>
                <w:color w:val="000000"/>
                <w:sz w:val="18"/>
                <w:szCs w:val="18"/>
              </w:rPr>
              <w:t xml:space="preserve"> -</w:t>
            </w:r>
            <w:r w:rsidRPr="00B54DA6">
              <w:rPr>
                <w:rFonts w:ascii="Arial" w:eastAsia="Arial" w:hAnsi="Arial" w:cs="Arial"/>
                <w:color w:val="000000"/>
                <w:sz w:val="18"/>
                <w:szCs w:val="18"/>
              </w:rPr>
              <w:t xml:space="preserve"> A principal competência do Conselho Gestor é deliberar sobre a alocação dos recursos do FECP. Esta deliberação é o mecanismo formal que define como os recursos serão gastos.</w:t>
            </w:r>
          </w:p>
          <w:p w14:paraId="7BB76D1C" w14:textId="77777777" w:rsidR="001C7E6F" w:rsidRPr="00B54DA6"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2. Diretrizes Estratégicas -</w:t>
            </w:r>
            <w:r w:rsidRPr="00B54DA6">
              <w:rPr>
                <w:rFonts w:ascii="Arial" w:eastAsia="Arial" w:hAnsi="Arial" w:cs="Arial"/>
                <w:color w:val="000000"/>
                <w:sz w:val="18"/>
                <w:szCs w:val="18"/>
              </w:rPr>
              <w:t xml:space="preserve"> Ao deliberar, o CGF deve observar as diretrizes do Plano Estratégico de Desenvolvimento Econômico e Social do Estado do Rio de Janeiro (PEDES) e do PPA, além das áreas de resultado definidas em lei.</w:t>
            </w:r>
          </w:p>
          <w:p w14:paraId="46E1B592" w14:textId="77777777" w:rsidR="001C7E6F" w:rsidRDefault="001C7E6F" w:rsidP="00BD3046">
            <w:pPr>
              <w:spacing w:after="0" w:line="240" w:lineRule="auto"/>
              <w:jc w:val="both"/>
              <w:rPr>
                <w:rFonts w:ascii="Arial" w:eastAsia="Arial" w:hAnsi="Arial" w:cs="Arial"/>
                <w:color w:val="000000"/>
                <w:sz w:val="18"/>
                <w:szCs w:val="18"/>
              </w:rPr>
            </w:pPr>
            <w:r w:rsidRPr="00B54DA6">
              <w:rPr>
                <w:rFonts w:ascii="Arial" w:eastAsia="Arial" w:hAnsi="Arial" w:cs="Arial"/>
                <w:color w:val="000000"/>
                <w:sz w:val="18"/>
                <w:szCs w:val="18"/>
              </w:rPr>
              <w:t>3. Subsídio Técnico</w:t>
            </w:r>
            <w:r>
              <w:rPr>
                <w:rFonts w:ascii="Arial" w:eastAsia="Arial" w:hAnsi="Arial" w:cs="Arial"/>
                <w:color w:val="000000"/>
                <w:sz w:val="18"/>
                <w:szCs w:val="18"/>
              </w:rPr>
              <w:t xml:space="preserve"> -</w:t>
            </w:r>
            <w:r w:rsidRPr="00B54DA6">
              <w:rPr>
                <w:rFonts w:ascii="Arial" w:eastAsia="Arial" w:hAnsi="Arial" w:cs="Arial"/>
                <w:color w:val="000000"/>
                <w:sz w:val="18"/>
                <w:szCs w:val="18"/>
              </w:rPr>
              <w:t xml:space="preserve"> A decisão do CGF deve ser subsidiada pelos resultados de pesquisas, relatórios, estudos, e do monitoramento e avaliação das iniciativas contempladas, visando a consolidação de uma carteira de iniciativas comprovadamente efetivas.</w:t>
            </w:r>
          </w:p>
          <w:p w14:paraId="5BFF792E" w14:textId="77777777" w:rsidR="001C7E6F" w:rsidRPr="00B54DA6" w:rsidRDefault="001C7E6F" w:rsidP="00BD3046">
            <w:pPr>
              <w:spacing w:after="0" w:line="240" w:lineRule="auto"/>
              <w:jc w:val="both"/>
              <w:rPr>
                <w:rFonts w:ascii="Arial" w:eastAsia="Arial" w:hAnsi="Arial" w:cs="Arial"/>
                <w:color w:val="000000"/>
                <w:sz w:val="18"/>
                <w:szCs w:val="18"/>
              </w:rPr>
            </w:pPr>
          </w:p>
          <w:p w14:paraId="72D8BD10" w14:textId="77777777" w:rsidR="001C7E6F" w:rsidRDefault="001C7E6F" w:rsidP="00BD3046">
            <w:pPr>
              <w:spacing w:after="0" w:line="240" w:lineRule="auto"/>
              <w:jc w:val="both"/>
              <w:rPr>
                <w:rFonts w:ascii="Arial" w:eastAsia="Arial" w:hAnsi="Arial" w:cs="Arial"/>
                <w:color w:val="000000"/>
                <w:sz w:val="18"/>
                <w:szCs w:val="18"/>
              </w:rPr>
            </w:pPr>
            <w:r w:rsidRPr="00B54DA6">
              <w:rPr>
                <w:rFonts w:ascii="Arial" w:eastAsia="Arial" w:hAnsi="Arial" w:cs="Arial"/>
                <w:color w:val="000000"/>
                <w:sz w:val="18"/>
                <w:szCs w:val="18"/>
              </w:rPr>
              <w:t>Portanto, o planejamento da aplicação dos recursos existe na forma de deliberação estratégica vinculada aos instrumentos orçamentários (PPA/LOA).</w:t>
            </w:r>
          </w:p>
          <w:p w14:paraId="7FDA0977" w14:textId="77777777" w:rsidR="001C7E6F" w:rsidRDefault="001C7E6F" w:rsidP="00BD3046">
            <w:pPr>
              <w:spacing w:after="0" w:line="240" w:lineRule="auto"/>
              <w:rPr>
                <w:rFonts w:ascii="Arial" w:eastAsia="Arial" w:hAnsi="Arial" w:cs="Arial"/>
                <w:color w:val="000000"/>
                <w:sz w:val="18"/>
                <w:szCs w:val="18"/>
              </w:rPr>
            </w:pPr>
          </w:p>
          <w:p w14:paraId="6AAA27C5"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Foram avaliados os seguintes instrumentos orçamentários:</w:t>
            </w:r>
            <w:r>
              <w:rPr>
                <w:rFonts w:ascii="Arial" w:eastAsia="Arial" w:hAnsi="Arial" w:cs="Arial"/>
                <w:color w:val="000000"/>
                <w:sz w:val="18"/>
                <w:szCs w:val="18"/>
              </w:rPr>
              <w:br/>
            </w:r>
            <w:r w:rsidRPr="00105D48">
              <w:rPr>
                <w:rFonts w:ascii="Arial" w:eastAsia="Arial" w:hAnsi="Arial" w:cs="Arial"/>
                <w:color w:val="000000"/>
                <w:sz w:val="18"/>
                <w:szCs w:val="18"/>
              </w:rPr>
              <w:t>PPA</w:t>
            </w:r>
            <w:r>
              <w:rPr>
                <w:rFonts w:ascii="Arial" w:eastAsia="Arial" w:hAnsi="Arial" w:cs="Arial"/>
                <w:color w:val="000000"/>
                <w:sz w:val="18"/>
                <w:szCs w:val="18"/>
              </w:rPr>
              <w:t xml:space="preserve"> (2024-2027) -</w:t>
            </w:r>
            <w:r w:rsidRPr="00105D48">
              <w:rPr>
                <w:rFonts w:ascii="Arial" w:eastAsia="Arial" w:hAnsi="Arial" w:cs="Arial"/>
                <w:color w:val="000000"/>
                <w:sz w:val="18"/>
                <w:szCs w:val="18"/>
              </w:rPr>
              <w:t xml:space="preserve"> Lei n.º </w:t>
            </w:r>
            <w:r>
              <w:rPr>
                <w:rFonts w:ascii="Arial" w:eastAsia="Arial" w:hAnsi="Arial" w:cs="Arial"/>
                <w:color w:val="000000"/>
                <w:sz w:val="18"/>
                <w:szCs w:val="18"/>
              </w:rPr>
              <w:t>10.276</w:t>
            </w:r>
            <w:r w:rsidRPr="00105D48">
              <w:rPr>
                <w:rFonts w:ascii="Arial" w:eastAsia="Arial" w:hAnsi="Arial" w:cs="Arial"/>
                <w:color w:val="000000"/>
                <w:sz w:val="18"/>
                <w:szCs w:val="18"/>
              </w:rPr>
              <w:t xml:space="preserve">, de 09 de </w:t>
            </w:r>
            <w:r>
              <w:rPr>
                <w:rFonts w:ascii="Arial" w:eastAsia="Arial" w:hAnsi="Arial" w:cs="Arial"/>
                <w:color w:val="000000"/>
                <w:sz w:val="18"/>
                <w:szCs w:val="18"/>
              </w:rPr>
              <w:t>janeiro</w:t>
            </w:r>
            <w:r w:rsidRPr="00105D48">
              <w:rPr>
                <w:rFonts w:ascii="Arial" w:eastAsia="Arial" w:hAnsi="Arial" w:cs="Arial"/>
                <w:color w:val="000000"/>
                <w:sz w:val="18"/>
                <w:szCs w:val="18"/>
              </w:rPr>
              <w:t xml:space="preserve"> de 2024</w:t>
            </w:r>
            <w:r>
              <w:rPr>
                <w:rFonts w:ascii="Arial" w:eastAsia="Arial" w:hAnsi="Arial" w:cs="Arial"/>
                <w:color w:val="000000"/>
                <w:sz w:val="18"/>
                <w:szCs w:val="18"/>
              </w:rPr>
              <w:t>.</w:t>
            </w:r>
          </w:p>
          <w:p w14:paraId="1CC48F0E"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LDO 2023: </w:t>
            </w:r>
            <w:r w:rsidRPr="00105D48">
              <w:rPr>
                <w:rFonts w:ascii="Arial" w:eastAsia="Arial" w:hAnsi="Arial" w:cs="Arial"/>
                <w:color w:val="000000"/>
                <w:sz w:val="18"/>
                <w:szCs w:val="18"/>
              </w:rPr>
              <w:t xml:space="preserve">Lei n.º </w:t>
            </w:r>
            <w:r>
              <w:rPr>
                <w:rFonts w:ascii="Arial" w:eastAsia="Arial" w:hAnsi="Arial" w:cs="Arial"/>
                <w:color w:val="000000"/>
                <w:sz w:val="18"/>
                <w:szCs w:val="18"/>
              </w:rPr>
              <w:t>9.808</w:t>
            </w:r>
            <w:r w:rsidRPr="00105D48">
              <w:rPr>
                <w:rFonts w:ascii="Arial" w:eastAsia="Arial" w:hAnsi="Arial" w:cs="Arial"/>
                <w:color w:val="000000"/>
                <w:sz w:val="18"/>
                <w:szCs w:val="18"/>
              </w:rPr>
              <w:t xml:space="preserve">, de </w:t>
            </w:r>
            <w:r>
              <w:rPr>
                <w:rFonts w:ascii="Arial" w:eastAsia="Arial" w:hAnsi="Arial" w:cs="Arial"/>
                <w:color w:val="000000"/>
                <w:sz w:val="18"/>
                <w:szCs w:val="18"/>
              </w:rPr>
              <w:t>22</w:t>
            </w:r>
            <w:r w:rsidRPr="00105D48">
              <w:rPr>
                <w:rFonts w:ascii="Arial" w:eastAsia="Arial" w:hAnsi="Arial" w:cs="Arial"/>
                <w:color w:val="000000"/>
                <w:sz w:val="18"/>
                <w:szCs w:val="18"/>
              </w:rPr>
              <w:t xml:space="preserve"> de </w:t>
            </w:r>
            <w:r>
              <w:rPr>
                <w:rFonts w:ascii="Arial" w:eastAsia="Arial" w:hAnsi="Arial" w:cs="Arial"/>
                <w:color w:val="000000"/>
                <w:sz w:val="18"/>
                <w:szCs w:val="18"/>
              </w:rPr>
              <w:t>julho de 2022.</w:t>
            </w:r>
          </w:p>
          <w:p w14:paraId="3BB0C16F"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LDO 2024: </w:t>
            </w:r>
            <w:r w:rsidRPr="00105D48">
              <w:rPr>
                <w:rFonts w:ascii="Arial" w:eastAsia="Arial" w:hAnsi="Arial" w:cs="Arial"/>
                <w:color w:val="000000"/>
                <w:sz w:val="18"/>
                <w:szCs w:val="18"/>
              </w:rPr>
              <w:t xml:space="preserve">Lei n.º </w:t>
            </w:r>
            <w:r>
              <w:rPr>
                <w:rFonts w:ascii="Arial" w:eastAsia="Arial" w:hAnsi="Arial" w:cs="Arial"/>
                <w:color w:val="000000"/>
                <w:sz w:val="18"/>
                <w:szCs w:val="18"/>
              </w:rPr>
              <w:t>10.071</w:t>
            </w:r>
            <w:r w:rsidRPr="00105D48">
              <w:rPr>
                <w:rFonts w:ascii="Arial" w:eastAsia="Arial" w:hAnsi="Arial" w:cs="Arial"/>
                <w:color w:val="000000"/>
                <w:sz w:val="18"/>
                <w:szCs w:val="18"/>
              </w:rPr>
              <w:t xml:space="preserve">, de </w:t>
            </w:r>
            <w:r>
              <w:rPr>
                <w:rFonts w:ascii="Arial" w:eastAsia="Arial" w:hAnsi="Arial" w:cs="Arial"/>
                <w:color w:val="000000"/>
                <w:sz w:val="18"/>
                <w:szCs w:val="18"/>
              </w:rPr>
              <w:t>19</w:t>
            </w:r>
            <w:r w:rsidRPr="00105D48">
              <w:rPr>
                <w:rFonts w:ascii="Arial" w:eastAsia="Arial" w:hAnsi="Arial" w:cs="Arial"/>
                <w:color w:val="000000"/>
                <w:sz w:val="18"/>
                <w:szCs w:val="18"/>
              </w:rPr>
              <w:t xml:space="preserve"> de </w:t>
            </w:r>
            <w:r>
              <w:rPr>
                <w:rFonts w:ascii="Arial" w:eastAsia="Arial" w:hAnsi="Arial" w:cs="Arial"/>
                <w:color w:val="000000"/>
                <w:sz w:val="18"/>
                <w:szCs w:val="18"/>
              </w:rPr>
              <w:t>julho de 2023.</w:t>
            </w:r>
          </w:p>
          <w:p w14:paraId="06F9A5C1"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LDO 2025: </w:t>
            </w:r>
            <w:r w:rsidRPr="00105D48">
              <w:rPr>
                <w:rFonts w:ascii="Arial" w:eastAsia="Arial" w:hAnsi="Arial" w:cs="Arial"/>
                <w:color w:val="000000"/>
                <w:sz w:val="18"/>
                <w:szCs w:val="18"/>
              </w:rPr>
              <w:t xml:space="preserve">Lei n.º </w:t>
            </w:r>
            <w:r>
              <w:rPr>
                <w:rFonts w:ascii="Arial" w:eastAsia="Arial" w:hAnsi="Arial" w:cs="Arial"/>
                <w:color w:val="000000"/>
                <w:sz w:val="18"/>
                <w:szCs w:val="18"/>
              </w:rPr>
              <w:t>10.461</w:t>
            </w:r>
            <w:r w:rsidRPr="00105D48">
              <w:rPr>
                <w:rFonts w:ascii="Arial" w:eastAsia="Arial" w:hAnsi="Arial" w:cs="Arial"/>
                <w:color w:val="000000"/>
                <w:sz w:val="18"/>
                <w:szCs w:val="18"/>
              </w:rPr>
              <w:t xml:space="preserve">, de </w:t>
            </w:r>
            <w:r>
              <w:rPr>
                <w:rFonts w:ascii="Arial" w:eastAsia="Arial" w:hAnsi="Arial" w:cs="Arial"/>
                <w:color w:val="000000"/>
                <w:sz w:val="18"/>
                <w:szCs w:val="18"/>
              </w:rPr>
              <w:t>17</w:t>
            </w:r>
            <w:r w:rsidRPr="00105D48">
              <w:rPr>
                <w:rFonts w:ascii="Arial" w:eastAsia="Arial" w:hAnsi="Arial" w:cs="Arial"/>
                <w:color w:val="000000"/>
                <w:sz w:val="18"/>
                <w:szCs w:val="18"/>
              </w:rPr>
              <w:t xml:space="preserve"> de </w:t>
            </w:r>
            <w:r>
              <w:rPr>
                <w:rFonts w:ascii="Arial" w:eastAsia="Arial" w:hAnsi="Arial" w:cs="Arial"/>
                <w:color w:val="000000"/>
                <w:sz w:val="18"/>
                <w:szCs w:val="18"/>
              </w:rPr>
              <w:t>julho de 2024.</w:t>
            </w:r>
          </w:p>
          <w:p w14:paraId="32589C34"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LOA 2023: Lei n.º 9.970</w:t>
            </w:r>
            <w:r w:rsidRPr="00105D48">
              <w:rPr>
                <w:rFonts w:ascii="Arial" w:eastAsia="Arial" w:hAnsi="Arial" w:cs="Arial"/>
                <w:color w:val="000000"/>
                <w:sz w:val="18"/>
                <w:szCs w:val="18"/>
              </w:rPr>
              <w:t xml:space="preserve">, de </w:t>
            </w:r>
            <w:r>
              <w:rPr>
                <w:rFonts w:ascii="Arial" w:eastAsia="Arial" w:hAnsi="Arial" w:cs="Arial"/>
                <w:color w:val="000000"/>
                <w:sz w:val="18"/>
                <w:szCs w:val="18"/>
              </w:rPr>
              <w:t>12 de janeiro</w:t>
            </w:r>
            <w:r w:rsidRPr="00105D48">
              <w:rPr>
                <w:rFonts w:ascii="Arial" w:eastAsia="Arial" w:hAnsi="Arial" w:cs="Arial"/>
                <w:color w:val="000000"/>
                <w:sz w:val="18"/>
                <w:szCs w:val="18"/>
              </w:rPr>
              <w:t xml:space="preserve"> de 202</w:t>
            </w:r>
            <w:r>
              <w:rPr>
                <w:rFonts w:ascii="Arial" w:eastAsia="Arial" w:hAnsi="Arial" w:cs="Arial"/>
                <w:color w:val="000000"/>
                <w:sz w:val="18"/>
                <w:szCs w:val="18"/>
              </w:rPr>
              <w:t>3</w:t>
            </w:r>
            <w:r w:rsidRPr="00105D48">
              <w:rPr>
                <w:rFonts w:ascii="Arial" w:eastAsia="Arial" w:hAnsi="Arial" w:cs="Arial"/>
                <w:color w:val="000000"/>
                <w:sz w:val="18"/>
                <w:szCs w:val="18"/>
              </w:rPr>
              <w:t>.</w:t>
            </w:r>
          </w:p>
          <w:p w14:paraId="0C6D4E7C"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LOA 2024: Lei n.º 10.277</w:t>
            </w:r>
            <w:r w:rsidRPr="00105D48">
              <w:rPr>
                <w:rFonts w:ascii="Arial" w:eastAsia="Arial" w:hAnsi="Arial" w:cs="Arial"/>
                <w:color w:val="000000"/>
                <w:sz w:val="18"/>
                <w:szCs w:val="18"/>
              </w:rPr>
              <w:t xml:space="preserve">, de </w:t>
            </w:r>
            <w:r>
              <w:rPr>
                <w:rFonts w:ascii="Arial" w:eastAsia="Arial" w:hAnsi="Arial" w:cs="Arial"/>
                <w:color w:val="000000"/>
                <w:sz w:val="18"/>
                <w:szCs w:val="18"/>
              </w:rPr>
              <w:t>09 de janeiro</w:t>
            </w:r>
            <w:r w:rsidRPr="00105D48">
              <w:rPr>
                <w:rFonts w:ascii="Arial" w:eastAsia="Arial" w:hAnsi="Arial" w:cs="Arial"/>
                <w:color w:val="000000"/>
                <w:sz w:val="18"/>
                <w:szCs w:val="18"/>
              </w:rPr>
              <w:t xml:space="preserve"> de 202</w:t>
            </w:r>
            <w:r>
              <w:rPr>
                <w:rFonts w:ascii="Arial" w:eastAsia="Arial" w:hAnsi="Arial" w:cs="Arial"/>
                <w:color w:val="000000"/>
                <w:sz w:val="18"/>
                <w:szCs w:val="18"/>
              </w:rPr>
              <w:t>4</w:t>
            </w:r>
            <w:r w:rsidRPr="00105D48">
              <w:rPr>
                <w:rFonts w:ascii="Arial" w:eastAsia="Arial" w:hAnsi="Arial" w:cs="Arial"/>
                <w:color w:val="000000"/>
                <w:sz w:val="18"/>
                <w:szCs w:val="18"/>
              </w:rPr>
              <w:t>.</w:t>
            </w:r>
          </w:p>
          <w:p w14:paraId="5868AB7C"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LOA 2025: Lei n.º 10,665</w:t>
            </w:r>
            <w:r w:rsidRPr="00105D48">
              <w:rPr>
                <w:rFonts w:ascii="Arial" w:eastAsia="Arial" w:hAnsi="Arial" w:cs="Arial"/>
                <w:color w:val="000000"/>
                <w:sz w:val="18"/>
                <w:szCs w:val="18"/>
              </w:rPr>
              <w:t xml:space="preserve">, de </w:t>
            </w:r>
            <w:r>
              <w:rPr>
                <w:rFonts w:ascii="Arial" w:eastAsia="Arial" w:hAnsi="Arial" w:cs="Arial"/>
                <w:color w:val="000000"/>
                <w:sz w:val="18"/>
                <w:szCs w:val="18"/>
              </w:rPr>
              <w:t>14</w:t>
            </w:r>
            <w:r w:rsidRPr="00105D48">
              <w:rPr>
                <w:rFonts w:ascii="Arial" w:eastAsia="Arial" w:hAnsi="Arial" w:cs="Arial"/>
                <w:color w:val="000000"/>
                <w:sz w:val="18"/>
                <w:szCs w:val="18"/>
              </w:rPr>
              <w:t xml:space="preserve"> de janeiro de 2025.</w:t>
            </w:r>
          </w:p>
          <w:p w14:paraId="428795FA" w14:textId="77777777" w:rsidR="001C7E6F" w:rsidRDefault="001C7E6F" w:rsidP="00BD3046">
            <w:pPr>
              <w:spacing w:after="0" w:line="240" w:lineRule="auto"/>
              <w:rPr>
                <w:rFonts w:ascii="Arial" w:eastAsia="Arial" w:hAnsi="Arial" w:cs="Arial"/>
                <w:color w:val="000000"/>
                <w:sz w:val="18"/>
                <w:szCs w:val="18"/>
              </w:rPr>
            </w:pPr>
          </w:p>
          <w:p w14:paraId="6691812B"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Não foram localizados Planos de Ação e de Aplicação Financeira do FECP-RJ.</w:t>
            </w:r>
          </w:p>
          <w:p w14:paraId="7715374B" w14:textId="77777777" w:rsidR="001C7E6F" w:rsidRDefault="001C7E6F" w:rsidP="00BD3046">
            <w:pPr>
              <w:spacing w:after="0" w:line="240" w:lineRule="auto"/>
              <w:rPr>
                <w:rFonts w:ascii="Arial" w:eastAsia="Arial" w:hAnsi="Arial" w:cs="Arial"/>
                <w:color w:val="000000"/>
                <w:sz w:val="18"/>
                <w:szCs w:val="18"/>
              </w:rPr>
            </w:pPr>
          </w:p>
        </w:tc>
      </w:tr>
      <w:tr w:rsidR="001C7E6F" w14:paraId="6E6D734C" w14:textId="77777777" w:rsidTr="00BD3046">
        <w:trPr>
          <w:trHeight w:val="20"/>
        </w:trPr>
        <w:tc>
          <w:tcPr>
            <w:tcW w:w="0" w:type="auto"/>
            <w:shd w:val="clear" w:color="auto" w:fill="auto"/>
            <w:vAlign w:val="center"/>
          </w:tcPr>
          <w:p w14:paraId="3CD055E0"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2.3 Qualidade do planejamento</w:t>
            </w:r>
          </w:p>
        </w:tc>
        <w:tc>
          <w:tcPr>
            <w:tcW w:w="0" w:type="auto"/>
            <w:shd w:val="clear" w:color="auto" w:fill="auto"/>
            <w:vAlign w:val="center"/>
          </w:tcPr>
          <w:p w14:paraId="1F7B3E0E"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Verificaç</w:t>
            </w:r>
            <w:r w:rsidRPr="007953EF">
              <w:rPr>
                <w:rFonts w:ascii="Arial" w:eastAsia="Arial" w:hAnsi="Arial" w:cs="Arial"/>
                <w:i/>
                <w:sz w:val="18"/>
                <w:szCs w:val="18"/>
              </w:rPr>
              <w:t>ão sobre estarem as</w:t>
            </w:r>
            <w:r w:rsidRPr="007953EF">
              <w:rPr>
                <w:rFonts w:ascii="Arial" w:eastAsia="Arial" w:hAnsi="Arial" w:cs="Arial"/>
                <w:i/>
                <w:color w:val="000000"/>
                <w:sz w:val="18"/>
                <w:szCs w:val="18"/>
              </w:rPr>
              <w:t xml:space="preserve"> metas, objetivos, custos, cronograma e indicadores do Fundo claros.</w:t>
            </w:r>
          </w:p>
          <w:p w14:paraId="56086418" w14:textId="77777777" w:rsidR="001C7E6F" w:rsidRDefault="001C7E6F" w:rsidP="00BD3046">
            <w:pPr>
              <w:spacing w:after="0" w:line="240" w:lineRule="auto"/>
              <w:rPr>
                <w:rFonts w:ascii="Arial" w:eastAsia="Arial" w:hAnsi="Arial" w:cs="Arial"/>
                <w:color w:val="000000"/>
                <w:sz w:val="18"/>
                <w:szCs w:val="18"/>
              </w:rPr>
            </w:pPr>
          </w:p>
          <w:p w14:paraId="1AF4D1BA" w14:textId="77777777" w:rsidR="001C7E6F" w:rsidRDefault="001C7E6F" w:rsidP="00BD3046">
            <w:pPr>
              <w:spacing w:after="0" w:line="240" w:lineRule="auto"/>
              <w:jc w:val="both"/>
              <w:rPr>
                <w:rFonts w:ascii="Arial" w:eastAsia="Arial" w:hAnsi="Arial" w:cs="Arial"/>
                <w:color w:val="000000"/>
                <w:sz w:val="18"/>
                <w:szCs w:val="18"/>
              </w:rPr>
            </w:pPr>
            <w:r w:rsidRPr="008B0E17">
              <w:rPr>
                <w:rFonts w:ascii="Arial" w:eastAsia="Arial" w:hAnsi="Arial" w:cs="Arial"/>
                <w:color w:val="000000"/>
                <w:sz w:val="18"/>
                <w:szCs w:val="18"/>
              </w:rPr>
              <w:t>O planejamento para aplicação dos recursos do Fundo Estadual de Combate à Pobreza e às Desigualdades Sociais (FECP) é realizado por meio de sua integração aos instrumentos de planejamento de médio e longo prazo do Estado (Plano Estratégico de Desenvolvimento Econômico e Social – PEDES e Plano Plurianual – PPA), resultando em uma estrutura onde metas, objetivos, custos, cronograma e indicadores são definidos de forma clara e obrigatória.</w:t>
            </w:r>
          </w:p>
          <w:p w14:paraId="3D1E7A5A" w14:textId="77777777" w:rsidR="001C7E6F" w:rsidRPr="008B0E17" w:rsidRDefault="001C7E6F" w:rsidP="00BD3046">
            <w:pPr>
              <w:spacing w:after="0" w:line="240" w:lineRule="auto"/>
              <w:jc w:val="both"/>
              <w:rPr>
                <w:rFonts w:ascii="Arial" w:eastAsia="Arial" w:hAnsi="Arial" w:cs="Arial"/>
                <w:color w:val="000000"/>
                <w:sz w:val="18"/>
                <w:szCs w:val="18"/>
              </w:rPr>
            </w:pPr>
          </w:p>
          <w:p w14:paraId="5548A7DC" w14:textId="77777777" w:rsidR="001C7E6F" w:rsidRDefault="001C7E6F" w:rsidP="00BD3046">
            <w:pPr>
              <w:spacing w:after="0" w:line="240" w:lineRule="auto"/>
              <w:jc w:val="both"/>
              <w:rPr>
                <w:rFonts w:ascii="Arial" w:eastAsia="Arial" w:hAnsi="Arial" w:cs="Arial"/>
                <w:color w:val="000000"/>
                <w:sz w:val="18"/>
                <w:szCs w:val="18"/>
              </w:rPr>
            </w:pPr>
            <w:r w:rsidRPr="008B0E17">
              <w:rPr>
                <w:rFonts w:ascii="Arial" w:eastAsia="Arial" w:hAnsi="Arial" w:cs="Arial"/>
                <w:color w:val="000000"/>
                <w:sz w:val="18"/>
                <w:szCs w:val="18"/>
              </w:rPr>
              <w:t>A clareza desses elementos decorre, em grande parte, da metodologia adotada no PPA e da Lei Complementar Estadu</w:t>
            </w:r>
            <w:r>
              <w:rPr>
                <w:rFonts w:ascii="Arial" w:eastAsia="Arial" w:hAnsi="Arial" w:cs="Arial"/>
                <w:color w:val="000000"/>
                <w:sz w:val="18"/>
                <w:szCs w:val="18"/>
              </w:rPr>
              <w:t>al nº 210/2023, que rege o FECP-RJ.</w:t>
            </w:r>
          </w:p>
          <w:p w14:paraId="5F5C829B" w14:textId="77777777" w:rsidR="001C7E6F" w:rsidRDefault="001C7E6F" w:rsidP="00BD3046">
            <w:pPr>
              <w:spacing w:after="0" w:line="240" w:lineRule="auto"/>
              <w:jc w:val="both"/>
              <w:rPr>
                <w:rFonts w:ascii="Arial" w:eastAsia="Arial" w:hAnsi="Arial" w:cs="Arial"/>
                <w:color w:val="000000"/>
                <w:sz w:val="18"/>
                <w:szCs w:val="18"/>
              </w:rPr>
            </w:pPr>
          </w:p>
          <w:p w14:paraId="7B0B4C6C" w14:textId="77777777" w:rsidR="001C7E6F" w:rsidRDefault="001C7E6F" w:rsidP="00BD3046">
            <w:pPr>
              <w:spacing w:after="0" w:line="240" w:lineRule="auto"/>
              <w:jc w:val="both"/>
              <w:rPr>
                <w:rFonts w:ascii="Arial" w:eastAsia="Arial" w:hAnsi="Arial" w:cs="Arial"/>
                <w:color w:val="000000"/>
                <w:sz w:val="18"/>
                <w:szCs w:val="18"/>
              </w:rPr>
            </w:pPr>
            <w:r w:rsidRPr="008B0E17">
              <w:rPr>
                <w:rFonts w:ascii="Arial" w:eastAsia="Arial" w:hAnsi="Arial" w:cs="Arial"/>
                <w:color w:val="000000"/>
                <w:sz w:val="18"/>
                <w:szCs w:val="18"/>
              </w:rPr>
              <w:t>A</w:t>
            </w:r>
            <w:r>
              <w:rPr>
                <w:rFonts w:ascii="Arial" w:eastAsia="Arial" w:hAnsi="Arial" w:cs="Arial"/>
                <w:color w:val="000000"/>
                <w:sz w:val="18"/>
                <w:szCs w:val="18"/>
              </w:rPr>
              <w:t>ssim, a</w:t>
            </w:r>
            <w:r w:rsidRPr="008B0E17">
              <w:rPr>
                <w:rFonts w:ascii="Arial" w:eastAsia="Arial" w:hAnsi="Arial" w:cs="Arial"/>
                <w:color w:val="000000"/>
                <w:sz w:val="18"/>
                <w:szCs w:val="18"/>
              </w:rPr>
              <w:t xml:space="preserve"> definição de metas e indicadores é uma exigência legal para que as ações sejam financiadas pelo FECP</w:t>
            </w:r>
            <w:r>
              <w:rPr>
                <w:rFonts w:ascii="Arial" w:eastAsia="Arial" w:hAnsi="Arial" w:cs="Arial"/>
                <w:color w:val="000000"/>
                <w:sz w:val="18"/>
                <w:szCs w:val="18"/>
              </w:rPr>
              <w:t>-RJ</w:t>
            </w:r>
            <w:r w:rsidRPr="008B0E17">
              <w:rPr>
                <w:rFonts w:ascii="Arial" w:eastAsia="Arial" w:hAnsi="Arial" w:cs="Arial"/>
                <w:color w:val="000000"/>
                <w:sz w:val="18"/>
                <w:szCs w:val="18"/>
              </w:rPr>
              <w:t>, garantindo que o planejamento seja mens</w:t>
            </w:r>
            <w:r>
              <w:rPr>
                <w:rFonts w:ascii="Arial" w:eastAsia="Arial" w:hAnsi="Arial" w:cs="Arial"/>
                <w:color w:val="000000"/>
                <w:sz w:val="18"/>
                <w:szCs w:val="18"/>
              </w:rPr>
              <w:t xml:space="preserve">urável e baseado em resultados. </w:t>
            </w:r>
            <w:r w:rsidRPr="008B0E17">
              <w:rPr>
                <w:rFonts w:ascii="Arial" w:eastAsia="Arial" w:hAnsi="Arial" w:cs="Arial"/>
                <w:color w:val="000000"/>
                <w:sz w:val="18"/>
                <w:szCs w:val="18"/>
              </w:rPr>
              <w:t xml:space="preserve">Para estarem aptas a receber recursos do </w:t>
            </w:r>
            <w:r>
              <w:rPr>
                <w:rFonts w:ascii="Arial" w:eastAsia="Arial" w:hAnsi="Arial" w:cs="Arial"/>
                <w:color w:val="000000"/>
                <w:sz w:val="18"/>
                <w:szCs w:val="18"/>
              </w:rPr>
              <w:t>Fundo</w:t>
            </w:r>
            <w:r w:rsidRPr="008B0E17">
              <w:rPr>
                <w:rFonts w:ascii="Arial" w:eastAsia="Arial" w:hAnsi="Arial" w:cs="Arial"/>
                <w:color w:val="000000"/>
                <w:sz w:val="18"/>
                <w:szCs w:val="18"/>
              </w:rPr>
              <w:t>, as iniciativas devem prever, no PPA, a entrega de produtos e definir indicadores de resultado pertinentes, com linha de base e meta.</w:t>
            </w:r>
            <w:r>
              <w:rPr>
                <w:rFonts w:ascii="Arial" w:eastAsia="Arial" w:hAnsi="Arial" w:cs="Arial"/>
                <w:color w:val="000000"/>
                <w:sz w:val="18"/>
                <w:szCs w:val="18"/>
              </w:rPr>
              <w:t xml:space="preserve"> </w:t>
            </w:r>
            <w:r w:rsidRPr="008B0E17">
              <w:rPr>
                <w:rFonts w:ascii="Arial" w:eastAsia="Arial" w:hAnsi="Arial" w:cs="Arial"/>
                <w:color w:val="000000"/>
                <w:sz w:val="18"/>
                <w:szCs w:val="18"/>
              </w:rPr>
              <w:t>Os Indicadores irão medir o grau de atingimento dos resultados das iniciativas. No planejamento estratégico, as missões precisam ter uma direção clara e ser mensurável</w:t>
            </w:r>
            <w:r>
              <w:rPr>
                <w:rFonts w:ascii="Arial" w:eastAsia="Arial" w:hAnsi="Arial" w:cs="Arial"/>
                <w:color w:val="000000"/>
                <w:sz w:val="18"/>
                <w:szCs w:val="18"/>
              </w:rPr>
              <w:t>.</w:t>
            </w:r>
          </w:p>
          <w:p w14:paraId="7B7FBC73" w14:textId="77777777" w:rsidR="001C7E6F" w:rsidRDefault="001C7E6F" w:rsidP="00BD3046">
            <w:pPr>
              <w:spacing w:after="0" w:line="240" w:lineRule="auto"/>
              <w:rPr>
                <w:rFonts w:ascii="Arial" w:eastAsia="Arial" w:hAnsi="Arial" w:cs="Arial"/>
                <w:color w:val="000000"/>
                <w:sz w:val="18"/>
                <w:szCs w:val="18"/>
              </w:rPr>
            </w:pPr>
          </w:p>
        </w:tc>
      </w:tr>
      <w:tr w:rsidR="001C7E6F" w14:paraId="6EEFD123" w14:textId="77777777" w:rsidTr="00BD3046">
        <w:trPr>
          <w:trHeight w:val="20"/>
        </w:trPr>
        <w:tc>
          <w:tcPr>
            <w:tcW w:w="0" w:type="auto"/>
            <w:shd w:val="clear" w:color="auto" w:fill="auto"/>
            <w:vAlign w:val="center"/>
          </w:tcPr>
          <w:p w14:paraId="77ED1D9F"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2.4 Governança institucional</w:t>
            </w:r>
          </w:p>
        </w:tc>
        <w:tc>
          <w:tcPr>
            <w:tcW w:w="0" w:type="auto"/>
            <w:shd w:val="clear" w:color="auto" w:fill="auto"/>
            <w:vAlign w:val="center"/>
          </w:tcPr>
          <w:p w14:paraId="5E965612"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Defin</w:t>
            </w:r>
            <w:r w:rsidRPr="007953EF">
              <w:rPr>
                <w:rFonts w:ascii="Arial" w:eastAsia="Arial" w:hAnsi="Arial" w:cs="Arial"/>
                <w:i/>
                <w:sz w:val="18"/>
                <w:szCs w:val="18"/>
              </w:rPr>
              <w:t>ição de</w:t>
            </w:r>
            <w:r w:rsidRPr="007953EF">
              <w:rPr>
                <w:rFonts w:ascii="Arial" w:eastAsia="Arial" w:hAnsi="Arial" w:cs="Arial"/>
                <w:i/>
                <w:color w:val="000000"/>
                <w:sz w:val="18"/>
                <w:szCs w:val="18"/>
              </w:rPr>
              <w:t xml:space="preserve"> quem decide, aprova e revisa os planos e como ocorre o contrapeso democrático. Formalização e composição do Conselho Gestor, paridade governo x sociedade civil, autonomia, poder deliberativo e capacitações periódicas dos conselheiros.</w:t>
            </w:r>
          </w:p>
          <w:p w14:paraId="4870CD60" w14:textId="77777777" w:rsidR="001C7E6F" w:rsidRDefault="001C7E6F" w:rsidP="00BD3046">
            <w:pPr>
              <w:spacing w:after="0" w:line="240" w:lineRule="auto"/>
              <w:rPr>
                <w:rFonts w:ascii="Arial" w:eastAsia="Arial" w:hAnsi="Arial" w:cs="Arial"/>
                <w:color w:val="000000"/>
                <w:sz w:val="18"/>
                <w:szCs w:val="18"/>
              </w:rPr>
            </w:pPr>
          </w:p>
          <w:p w14:paraId="2A83B7BD" w14:textId="77777777" w:rsidR="001C7E6F" w:rsidRDefault="001C7E6F" w:rsidP="00BD3046">
            <w:pPr>
              <w:spacing w:after="0" w:line="240" w:lineRule="auto"/>
              <w:jc w:val="both"/>
              <w:rPr>
                <w:rFonts w:ascii="Arial" w:eastAsia="Arial" w:hAnsi="Arial" w:cs="Arial"/>
                <w:color w:val="000000"/>
                <w:sz w:val="18"/>
                <w:szCs w:val="18"/>
              </w:rPr>
            </w:pPr>
            <w:r w:rsidRPr="008B0E17">
              <w:rPr>
                <w:rFonts w:ascii="Arial" w:eastAsia="Arial" w:hAnsi="Arial" w:cs="Arial"/>
                <w:color w:val="000000"/>
                <w:sz w:val="18"/>
                <w:szCs w:val="18"/>
              </w:rPr>
              <w:t>O processo decisório sobre os recursos do FECP é uma combinação de deliberação política (Conselho Gestor) e execução técnica (Poder Executivo), sujeita ao controle externo e social</w:t>
            </w:r>
            <w:r>
              <w:rPr>
                <w:rFonts w:ascii="Arial" w:eastAsia="Arial" w:hAnsi="Arial" w:cs="Arial"/>
                <w:color w:val="000000"/>
                <w:sz w:val="18"/>
                <w:szCs w:val="18"/>
              </w:rPr>
              <w:t>, sendo que a</w:t>
            </w:r>
            <w:r w:rsidRPr="008B0E17">
              <w:rPr>
                <w:rFonts w:ascii="Arial" w:eastAsia="Arial" w:hAnsi="Arial" w:cs="Arial"/>
                <w:color w:val="000000"/>
                <w:sz w:val="18"/>
                <w:szCs w:val="18"/>
              </w:rPr>
              <w:t xml:space="preserve"> principal instância decisória sobre a aplicação dos recursos do FECP é </w:t>
            </w:r>
            <w:r>
              <w:rPr>
                <w:rFonts w:ascii="Arial" w:eastAsia="Arial" w:hAnsi="Arial" w:cs="Arial"/>
                <w:color w:val="000000"/>
                <w:sz w:val="18"/>
                <w:szCs w:val="18"/>
              </w:rPr>
              <w:t>o Conselho Gestor do Fundo.</w:t>
            </w:r>
          </w:p>
          <w:p w14:paraId="1A2C9BAA" w14:textId="77777777" w:rsidR="001C7E6F" w:rsidRDefault="001C7E6F" w:rsidP="00BD3046">
            <w:pPr>
              <w:spacing w:after="0" w:line="240" w:lineRule="auto"/>
              <w:jc w:val="both"/>
              <w:rPr>
                <w:rFonts w:ascii="Arial" w:eastAsia="Arial" w:hAnsi="Arial" w:cs="Arial"/>
                <w:color w:val="000000"/>
                <w:sz w:val="18"/>
                <w:szCs w:val="18"/>
              </w:rPr>
            </w:pPr>
          </w:p>
          <w:p w14:paraId="3C5C7F9B" w14:textId="77777777" w:rsidR="001C7E6F" w:rsidRDefault="001C7E6F" w:rsidP="00BD3046">
            <w:pPr>
              <w:spacing w:after="0" w:line="240" w:lineRule="auto"/>
              <w:jc w:val="both"/>
              <w:rPr>
                <w:rFonts w:ascii="Arial" w:eastAsia="Arial" w:hAnsi="Arial" w:cs="Arial"/>
                <w:color w:val="000000"/>
                <w:sz w:val="18"/>
                <w:szCs w:val="18"/>
              </w:rPr>
            </w:pPr>
            <w:r w:rsidRPr="008B0E17">
              <w:rPr>
                <w:rFonts w:ascii="Arial" w:eastAsia="Arial" w:hAnsi="Arial" w:cs="Arial"/>
                <w:color w:val="000000"/>
                <w:sz w:val="18"/>
                <w:szCs w:val="18"/>
              </w:rPr>
              <w:t>As deliberações do CGF (incluindo a continuidade da aplicação dos recursos e o montante a ser alocado em cada iniciativa) devem ser subsidiadas pelos resultados de pesquisas, relatórios, estudos, e do monitoramento e avaliação das iniciativas contempladas</w:t>
            </w:r>
            <w:r>
              <w:rPr>
                <w:rFonts w:ascii="Arial" w:eastAsia="Arial" w:hAnsi="Arial" w:cs="Arial"/>
                <w:color w:val="000000"/>
                <w:sz w:val="18"/>
                <w:szCs w:val="18"/>
              </w:rPr>
              <w:t>.</w:t>
            </w:r>
          </w:p>
          <w:p w14:paraId="439835A6" w14:textId="77777777" w:rsidR="001C7E6F" w:rsidRDefault="001C7E6F" w:rsidP="00BD3046">
            <w:pPr>
              <w:spacing w:after="0" w:line="240" w:lineRule="auto"/>
              <w:jc w:val="both"/>
              <w:rPr>
                <w:rFonts w:ascii="Arial" w:eastAsia="Arial" w:hAnsi="Arial" w:cs="Arial"/>
                <w:color w:val="000000"/>
                <w:sz w:val="18"/>
                <w:szCs w:val="18"/>
              </w:rPr>
            </w:pPr>
          </w:p>
          <w:p w14:paraId="414F0110" w14:textId="77777777" w:rsidR="001C7E6F" w:rsidRDefault="001C7E6F" w:rsidP="00BD3046">
            <w:pPr>
              <w:spacing w:after="0" w:line="240" w:lineRule="auto"/>
              <w:jc w:val="both"/>
              <w:rPr>
                <w:rFonts w:ascii="Arial" w:eastAsia="Arial" w:hAnsi="Arial" w:cs="Arial"/>
                <w:color w:val="000000"/>
                <w:sz w:val="18"/>
                <w:szCs w:val="18"/>
              </w:rPr>
            </w:pPr>
            <w:r w:rsidRPr="008B0E17">
              <w:rPr>
                <w:rFonts w:ascii="Arial" w:eastAsia="Arial" w:hAnsi="Arial" w:cs="Arial"/>
                <w:color w:val="000000"/>
                <w:sz w:val="18"/>
                <w:szCs w:val="18"/>
              </w:rPr>
              <w:t>O Poder Executivo (Secretaria de Estado de Planejamento e Gestão - SEPLAG) é o órgão central que estabelece as diretrizes e coordena os processos de elaboração do PPA, LDO e LOA. O Poder Executivo fica autorizado a alterar e a normatizar o orçamento e sua execução no exercício, mediante ajustes nas despesas decorrentes de alterações conjunturais ou estruturais, desde que devidamente publicizado</w:t>
            </w:r>
            <w:r>
              <w:rPr>
                <w:rFonts w:ascii="Arial" w:eastAsia="Arial" w:hAnsi="Arial" w:cs="Arial"/>
                <w:color w:val="000000"/>
                <w:sz w:val="18"/>
                <w:szCs w:val="18"/>
              </w:rPr>
              <w:t>.</w:t>
            </w:r>
          </w:p>
          <w:p w14:paraId="0EE8A1E6" w14:textId="77777777" w:rsidR="001C7E6F" w:rsidRDefault="001C7E6F" w:rsidP="00BD3046">
            <w:pPr>
              <w:spacing w:after="0" w:line="240" w:lineRule="auto"/>
              <w:jc w:val="both"/>
              <w:rPr>
                <w:rFonts w:ascii="Arial" w:eastAsia="Arial" w:hAnsi="Arial" w:cs="Arial"/>
                <w:color w:val="000000"/>
                <w:sz w:val="18"/>
                <w:szCs w:val="18"/>
              </w:rPr>
            </w:pPr>
          </w:p>
          <w:p w14:paraId="0D97BB4A" w14:textId="77777777" w:rsidR="001C7E6F" w:rsidRDefault="001C7E6F" w:rsidP="00BD3046">
            <w:pPr>
              <w:spacing w:after="0" w:line="240" w:lineRule="auto"/>
              <w:jc w:val="both"/>
              <w:rPr>
                <w:rFonts w:ascii="Arial" w:eastAsia="Arial" w:hAnsi="Arial" w:cs="Arial"/>
                <w:color w:val="000000"/>
                <w:sz w:val="18"/>
                <w:szCs w:val="18"/>
              </w:rPr>
            </w:pPr>
            <w:r w:rsidRPr="0065685D">
              <w:rPr>
                <w:rFonts w:ascii="Arial" w:eastAsia="Arial" w:hAnsi="Arial" w:cs="Arial"/>
                <w:color w:val="000000"/>
                <w:sz w:val="18"/>
                <w:szCs w:val="18"/>
              </w:rPr>
              <w:t>O CGF está formalmente instituído e regulamentado pelo Decreto nº 49.181, de 05 de julho de 2024</w:t>
            </w:r>
            <w:r>
              <w:rPr>
                <w:rFonts w:ascii="Arial" w:eastAsia="Arial" w:hAnsi="Arial" w:cs="Arial"/>
                <w:color w:val="000000"/>
                <w:sz w:val="18"/>
                <w:szCs w:val="18"/>
              </w:rPr>
              <w:t xml:space="preserve">. </w:t>
            </w:r>
            <w:r w:rsidRPr="0065685D">
              <w:rPr>
                <w:rFonts w:ascii="Arial" w:eastAsia="Arial" w:hAnsi="Arial" w:cs="Arial"/>
                <w:color w:val="000000"/>
                <w:sz w:val="18"/>
                <w:szCs w:val="18"/>
              </w:rPr>
              <w:t>A competência para editar o Regimento Interno do CGF é delegada ao Secretário de Estado de Planejamento e Gestão</w:t>
            </w:r>
            <w:r>
              <w:rPr>
                <w:rFonts w:ascii="Arial" w:eastAsia="Arial" w:hAnsi="Arial" w:cs="Arial"/>
                <w:color w:val="000000"/>
                <w:sz w:val="18"/>
                <w:szCs w:val="18"/>
              </w:rPr>
              <w:t xml:space="preserve">. </w:t>
            </w:r>
            <w:r w:rsidRPr="0065685D">
              <w:rPr>
                <w:rFonts w:ascii="Arial" w:eastAsia="Arial" w:hAnsi="Arial" w:cs="Arial"/>
                <w:color w:val="000000"/>
                <w:sz w:val="18"/>
                <w:szCs w:val="18"/>
              </w:rPr>
              <w:t>É composto por representantes do Estado, sendo: o Secretário de Estado de Planejamento e Gestão, que presidirá o Conselho, designado como representante do Governo do Estado; um indicado da SEPLAG; um indicado da Secretaria de Estado de Desenvolvimento Social e Direitos Humanos; um indicado da Secretaria de Estado de Habitação de Interesse Social; um indicado da Secretaria de Estado de Educação; e um indicado da Secretaria de Estado de Saúde</w:t>
            </w:r>
            <w:r>
              <w:rPr>
                <w:rFonts w:ascii="Arial" w:eastAsia="Arial" w:hAnsi="Arial" w:cs="Arial"/>
                <w:color w:val="000000"/>
                <w:sz w:val="18"/>
                <w:szCs w:val="18"/>
              </w:rPr>
              <w:t xml:space="preserve">. </w:t>
            </w:r>
          </w:p>
          <w:p w14:paraId="10F8CB58" w14:textId="77777777" w:rsidR="001C7E6F" w:rsidRDefault="001C7E6F" w:rsidP="00BD3046">
            <w:pPr>
              <w:spacing w:after="0" w:line="240" w:lineRule="auto"/>
              <w:jc w:val="both"/>
              <w:rPr>
                <w:rFonts w:ascii="Arial" w:eastAsia="Arial" w:hAnsi="Arial" w:cs="Arial"/>
                <w:color w:val="000000"/>
                <w:sz w:val="18"/>
                <w:szCs w:val="18"/>
              </w:rPr>
            </w:pPr>
          </w:p>
          <w:p w14:paraId="339DB10E"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lastRenderedPageBreak/>
              <w:t>Ademais, apesar da previsão de que</w:t>
            </w:r>
            <w:r w:rsidRPr="0065685D">
              <w:rPr>
                <w:rFonts w:ascii="Arial" w:eastAsia="Arial" w:hAnsi="Arial" w:cs="Arial"/>
                <w:color w:val="000000"/>
                <w:sz w:val="18"/>
                <w:szCs w:val="18"/>
              </w:rPr>
              <w:t xml:space="preserve"> Conselho "também será integrado por entidades que contém com a participação da sociedade civil"</w:t>
            </w:r>
            <w:r>
              <w:rPr>
                <w:rFonts w:ascii="Arial" w:eastAsia="Arial" w:hAnsi="Arial" w:cs="Arial"/>
                <w:color w:val="000000"/>
                <w:sz w:val="18"/>
                <w:szCs w:val="18"/>
              </w:rPr>
              <w:t>, não foi identificada estrutura composta definida. Logo, n</w:t>
            </w:r>
            <w:r w:rsidRPr="0065685D">
              <w:rPr>
                <w:rFonts w:ascii="Arial" w:eastAsia="Arial" w:hAnsi="Arial" w:cs="Arial"/>
                <w:color w:val="000000"/>
                <w:sz w:val="18"/>
                <w:szCs w:val="18"/>
              </w:rPr>
              <w:t>ão há paridade. A composição estabelecida no Decreto demonstra a maioria de membros do Poder Executivo Estadual (pelo menos 6 membros de Secretarias, incluindo o Presidente), em contraste com o número de representantes da sociedade civil, que são apenas mencionados como integrantes</w:t>
            </w:r>
            <w:r>
              <w:rPr>
                <w:rFonts w:ascii="Arial" w:eastAsia="Arial" w:hAnsi="Arial" w:cs="Arial"/>
                <w:color w:val="000000"/>
                <w:sz w:val="18"/>
                <w:szCs w:val="18"/>
              </w:rPr>
              <w:t>.</w:t>
            </w:r>
          </w:p>
          <w:p w14:paraId="439E47DE" w14:textId="77777777" w:rsidR="001C7E6F" w:rsidRDefault="001C7E6F" w:rsidP="00BD3046">
            <w:pPr>
              <w:spacing w:after="0" w:line="240" w:lineRule="auto"/>
              <w:rPr>
                <w:rFonts w:ascii="Arial" w:eastAsia="Arial" w:hAnsi="Arial" w:cs="Arial"/>
                <w:color w:val="000000"/>
                <w:sz w:val="18"/>
                <w:szCs w:val="18"/>
              </w:rPr>
            </w:pPr>
          </w:p>
          <w:p w14:paraId="2A37EB10" w14:textId="77777777" w:rsidR="001C7E6F" w:rsidRDefault="001C7E6F" w:rsidP="00BD3046">
            <w:pPr>
              <w:spacing w:after="0" w:line="240" w:lineRule="auto"/>
              <w:jc w:val="both"/>
              <w:rPr>
                <w:rFonts w:ascii="Arial" w:eastAsia="Arial" w:hAnsi="Arial" w:cs="Arial"/>
                <w:color w:val="000000"/>
                <w:sz w:val="18"/>
                <w:szCs w:val="18"/>
              </w:rPr>
            </w:pPr>
            <w:r w:rsidRPr="0065685D">
              <w:rPr>
                <w:rFonts w:ascii="Arial" w:eastAsia="Arial" w:hAnsi="Arial" w:cs="Arial"/>
                <w:color w:val="000000"/>
                <w:sz w:val="18"/>
                <w:szCs w:val="18"/>
              </w:rPr>
              <w:t>O CGF possui poder deliberativo. Caberá a ele deliberar sobre a alocação dos recursos do FECP. As deliberações são aprovadas por maioria absoluta de seus membros</w:t>
            </w:r>
            <w:r>
              <w:rPr>
                <w:rFonts w:ascii="Arial" w:eastAsia="Arial" w:hAnsi="Arial" w:cs="Arial"/>
                <w:color w:val="000000"/>
                <w:sz w:val="18"/>
                <w:szCs w:val="18"/>
              </w:rPr>
              <w:t>.</w:t>
            </w:r>
          </w:p>
          <w:p w14:paraId="3E418F5E" w14:textId="77777777" w:rsidR="001C7E6F" w:rsidRDefault="001C7E6F" w:rsidP="00BD3046">
            <w:pPr>
              <w:spacing w:after="0" w:line="240" w:lineRule="auto"/>
              <w:jc w:val="both"/>
              <w:rPr>
                <w:rFonts w:ascii="Arial" w:eastAsia="Arial" w:hAnsi="Arial" w:cs="Arial"/>
                <w:color w:val="000000"/>
                <w:sz w:val="18"/>
                <w:szCs w:val="18"/>
              </w:rPr>
            </w:pPr>
            <w:r w:rsidRPr="0065685D">
              <w:rPr>
                <w:rFonts w:ascii="Arial" w:eastAsia="Arial" w:hAnsi="Arial" w:cs="Arial"/>
                <w:color w:val="000000"/>
                <w:sz w:val="18"/>
                <w:szCs w:val="18"/>
              </w:rPr>
              <w:t>A autonomia do CGF reside no seu poder de deliberação, mas é limitada pela necessidade de alinhamento com os planos estratégicos (PEDES) e orçamentários (PPA/LOA), que são instrumentos do Poder Executivo</w:t>
            </w:r>
            <w:r>
              <w:rPr>
                <w:rFonts w:ascii="Arial" w:eastAsia="Arial" w:hAnsi="Arial" w:cs="Arial"/>
                <w:color w:val="000000"/>
                <w:sz w:val="18"/>
                <w:szCs w:val="18"/>
              </w:rPr>
              <w:t>.</w:t>
            </w:r>
          </w:p>
          <w:p w14:paraId="7425D8B8" w14:textId="77777777" w:rsidR="001C7E6F" w:rsidRDefault="001C7E6F" w:rsidP="00BD3046">
            <w:pPr>
              <w:spacing w:after="0" w:line="240" w:lineRule="auto"/>
              <w:jc w:val="both"/>
              <w:rPr>
                <w:rFonts w:ascii="Arial" w:eastAsia="Arial" w:hAnsi="Arial" w:cs="Arial"/>
                <w:color w:val="000000"/>
                <w:sz w:val="18"/>
                <w:szCs w:val="18"/>
              </w:rPr>
            </w:pPr>
          </w:p>
          <w:p w14:paraId="6AF8074C" w14:textId="77777777" w:rsidR="001C7E6F" w:rsidRDefault="001C7E6F" w:rsidP="00BD3046">
            <w:pPr>
              <w:spacing w:after="0" w:line="240" w:lineRule="auto"/>
              <w:jc w:val="both"/>
              <w:rPr>
                <w:rFonts w:ascii="Arial" w:eastAsia="Arial" w:hAnsi="Arial" w:cs="Arial"/>
                <w:color w:val="000000"/>
                <w:sz w:val="18"/>
                <w:szCs w:val="18"/>
              </w:rPr>
            </w:pPr>
            <w:r w:rsidRPr="0065685D">
              <w:rPr>
                <w:rFonts w:ascii="Arial" w:eastAsia="Arial" w:hAnsi="Arial" w:cs="Arial"/>
                <w:color w:val="000000"/>
                <w:sz w:val="18"/>
                <w:szCs w:val="18"/>
              </w:rPr>
              <w:t xml:space="preserve">Não </w:t>
            </w:r>
            <w:r>
              <w:rPr>
                <w:rFonts w:ascii="Arial" w:eastAsia="Arial" w:hAnsi="Arial" w:cs="Arial"/>
                <w:color w:val="000000"/>
                <w:sz w:val="18"/>
                <w:szCs w:val="18"/>
              </w:rPr>
              <w:t>foi possível atestar a composição e se há</w:t>
            </w:r>
            <w:r w:rsidRPr="0065685D">
              <w:rPr>
                <w:rFonts w:ascii="Arial" w:eastAsia="Arial" w:hAnsi="Arial" w:cs="Arial"/>
                <w:color w:val="000000"/>
                <w:sz w:val="18"/>
                <w:szCs w:val="18"/>
              </w:rPr>
              <w:t xml:space="preserve"> capacitação periódica dos Conselheiros.</w:t>
            </w:r>
            <w:r>
              <w:rPr>
                <w:rFonts w:ascii="Arial" w:eastAsia="Arial" w:hAnsi="Arial" w:cs="Arial"/>
                <w:color w:val="000000"/>
                <w:sz w:val="18"/>
                <w:szCs w:val="18"/>
              </w:rPr>
              <w:t xml:space="preserve"> </w:t>
            </w:r>
          </w:p>
          <w:p w14:paraId="483CE393" w14:textId="77777777" w:rsidR="001C7E6F" w:rsidRDefault="001C7E6F" w:rsidP="00BD3046">
            <w:pPr>
              <w:spacing w:after="0" w:line="240" w:lineRule="auto"/>
              <w:jc w:val="both"/>
              <w:rPr>
                <w:rFonts w:ascii="Arial" w:eastAsia="Arial" w:hAnsi="Arial" w:cs="Arial"/>
                <w:color w:val="000000"/>
                <w:sz w:val="18"/>
                <w:szCs w:val="18"/>
              </w:rPr>
            </w:pPr>
          </w:p>
          <w:p w14:paraId="62F346B5"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w:t>
            </w:r>
            <w:r w:rsidRPr="0065685D">
              <w:rPr>
                <w:rFonts w:ascii="Arial" w:eastAsia="Arial" w:hAnsi="Arial" w:cs="Arial"/>
                <w:color w:val="000000"/>
                <w:sz w:val="18"/>
                <w:szCs w:val="18"/>
              </w:rPr>
              <w:t>s funções são consideradas de relevante interesse público e o Conselho contará com equipe técnica e estrutura adequadas para apoiar suas atividades, visando elevar o nível de racionalidade nos processos de decisão coletiva e subsidiar decisões com base em evidências. Os membros do CGF não percebe</w:t>
            </w:r>
            <w:r>
              <w:rPr>
                <w:rFonts w:ascii="Arial" w:eastAsia="Arial" w:hAnsi="Arial" w:cs="Arial"/>
                <w:color w:val="000000"/>
                <w:sz w:val="18"/>
                <w:szCs w:val="18"/>
              </w:rPr>
              <w:t>m</w:t>
            </w:r>
            <w:r w:rsidRPr="0065685D">
              <w:rPr>
                <w:rFonts w:ascii="Arial" w:eastAsia="Arial" w:hAnsi="Arial" w:cs="Arial"/>
                <w:color w:val="000000"/>
                <w:sz w:val="18"/>
                <w:szCs w:val="18"/>
              </w:rPr>
              <w:t xml:space="preserve"> qualquer remuneração</w:t>
            </w:r>
            <w:r>
              <w:rPr>
                <w:rFonts w:ascii="Arial" w:eastAsia="Arial" w:hAnsi="Arial" w:cs="Arial"/>
                <w:color w:val="000000"/>
                <w:sz w:val="18"/>
                <w:szCs w:val="18"/>
              </w:rPr>
              <w:t>.</w:t>
            </w:r>
          </w:p>
          <w:p w14:paraId="29EC7276" w14:textId="77777777" w:rsidR="001C7E6F" w:rsidRDefault="001C7E6F" w:rsidP="00BD3046">
            <w:pPr>
              <w:spacing w:after="0" w:line="240" w:lineRule="auto"/>
              <w:rPr>
                <w:rFonts w:ascii="Arial" w:eastAsia="Arial" w:hAnsi="Arial" w:cs="Arial"/>
                <w:color w:val="000000"/>
                <w:sz w:val="18"/>
                <w:szCs w:val="18"/>
              </w:rPr>
            </w:pPr>
          </w:p>
        </w:tc>
      </w:tr>
      <w:tr w:rsidR="001C7E6F" w14:paraId="5B847EBC" w14:textId="77777777" w:rsidTr="00BD3046">
        <w:trPr>
          <w:trHeight w:val="20"/>
        </w:trPr>
        <w:tc>
          <w:tcPr>
            <w:tcW w:w="0" w:type="auto"/>
            <w:shd w:val="clear" w:color="auto" w:fill="auto"/>
            <w:vAlign w:val="center"/>
          </w:tcPr>
          <w:p w14:paraId="0137155E"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2.5 Capacitação técnica</w:t>
            </w:r>
          </w:p>
        </w:tc>
        <w:tc>
          <w:tcPr>
            <w:tcW w:w="0" w:type="auto"/>
            <w:shd w:val="clear" w:color="auto" w:fill="auto"/>
            <w:vAlign w:val="center"/>
          </w:tcPr>
          <w:p w14:paraId="393B6F1F"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Qualificação dos gestores e ordenadores do Fundo em planejamento, orçamento e avaliação. Verifica ainda se há equipe técnica de apoio.</w:t>
            </w:r>
          </w:p>
          <w:p w14:paraId="3822C60A" w14:textId="77777777" w:rsidR="001C7E6F" w:rsidRDefault="001C7E6F" w:rsidP="00BD3046">
            <w:pPr>
              <w:spacing w:after="0" w:line="240" w:lineRule="auto"/>
              <w:rPr>
                <w:rFonts w:ascii="Arial" w:eastAsia="Arial" w:hAnsi="Arial" w:cs="Arial"/>
                <w:color w:val="000000"/>
                <w:sz w:val="18"/>
                <w:szCs w:val="18"/>
              </w:rPr>
            </w:pPr>
          </w:p>
          <w:p w14:paraId="29144168"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As fontes não evidenciam tais informações.</w:t>
            </w:r>
          </w:p>
          <w:p w14:paraId="091DE91C" w14:textId="77777777" w:rsidR="001C7E6F" w:rsidRDefault="001C7E6F" w:rsidP="00BD3046">
            <w:pPr>
              <w:spacing w:after="0" w:line="240" w:lineRule="auto"/>
              <w:rPr>
                <w:rFonts w:ascii="Arial" w:eastAsia="Arial" w:hAnsi="Arial" w:cs="Arial"/>
                <w:color w:val="000000"/>
                <w:sz w:val="18"/>
                <w:szCs w:val="18"/>
              </w:rPr>
            </w:pPr>
          </w:p>
        </w:tc>
      </w:tr>
      <w:tr w:rsidR="001C7E6F" w14:paraId="3CEC12CC" w14:textId="77777777" w:rsidTr="00BD3046">
        <w:trPr>
          <w:trHeight w:val="20"/>
        </w:trPr>
        <w:tc>
          <w:tcPr>
            <w:tcW w:w="0" w:type="auto"/>
            <w:shd w:val="clear" w:color="auto" w:fill="auto"/>
            <w:vAlign w:val="center"/>
          </w:tcPr>
          <w:p w14:paraId="04FEC88B"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2.6 Articulação intersetorial</w:t>
            </w:r>
          </w:p>
        </w:tc>
        <w:tc>
          <w:tcPr>
            <w:tcW w:w="0" w:type="auto"/>
            <w:shd w:val="clear" w:color="auto" w:fill="auto"/>
            <w:vAlign w:val="center"/>
          </w:tcPr>
          <w:p w14:paraId="3D603298"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Existência de instâncias de coordenação, coerência e sinergia com diferentes áreas de políticas (saúde, educação, assistência social etc.). Planos integrados, comitês intersetoriais e metas compartilhadas.</w:t>
            </w:r>
          </w:p>
          <w:p w14:paraId="2E81D09B" w14:textId="77777777" w:rsidR="001C7E6F" w:rsidRDefault="001C7E6F" w:rsidP="00BD3046">
            <w:pPr>
              <w:spacing w:after="0" w:line="240" w:lineRule="auto"/>
              <w:jc w:val="both"/>
              <w:rPr>
                <w:rFonts w:ascii="Arial" w:eastAsia="Arial" w:hAnsi="Arial" w:cs="Arial"/>
                <w:color w:val="000000"/>
                <w:sz w:val="18"/>
                <w:szCs w:val="18"/>
              </w:rPr>
            </w:pPr>
          </w:p>
          <w:p w14:paraId="452C868D" w14:textId="77777777" w:rsidR="001C7E6F" w:rsidRDefault="001C7E6F" w:rsidP="00BD3046">
            <w:pPr>
              <w:spacing w:after="0" w:line="240" w:lineRule="auto"/>
              <w:jc w:val="both"/>
              <w:rPr>
                <w:rFonts w:ascii="Arial" w:eastAsia="Arial" w:hAnsi="Arial" w:cs="Arial"/>
                <w:color w:val="000000"/>
                <w:sz w:val="18"/>
                <w:szCs w:val="18"/>
              </w:rPr>
            </w:pPr>
            <w:r w:rsidRPr="0065685D">
              <w:rPr>
                <w:rFonts w:ascii="Arial" w:eastAsia="Arial" w:hAnsi="Arial" w:cs="Arial"/>
                <w:color w:val="000000"/>
                <w:sz w:val="18"/>
                <w:szCs w:val="18"/>
              </w:rPr>
              <w:t>O FECP</w:t>
            </w:r>
            <w:r>
              <w:rPr>
                <w:rFonts w:ascii="Arial" w:eastAsia="Arial" w:hAnsi="Arial" w:cs="Arial"/>
                <w:color w:val="000000"/>
                <w:sz w:val="18"/>
                <w:szCs w:val="18"/>
              </w:rPr>
              <w:t>-RJ</w:t>
            </w:r>
            <w:r w:rsidRPr="0065685D">
              <w:rPr>
                <w:rFonts w:ascii="Arial" w:eastAsia="Arial" w:hAnsi="Arial" w:cs="Arial"/>
                <w:color w:val="000000"/>
                <w:sz w:val="18"/>
                <w:szCs w:val="18"/>
              </w:rPr>
              <w:t xml:space="preserve"> opera dentro de um arcabouço de planejamento do Estado do Rio de Janeiro que expressamente prevê e exige a existência de instâncias de coordenação, coerência e sinergia entre diferentes áreas de políticas públicas (Saúde, Educação, Assistência Social, etc.).</w:t>
            </w:r>
            <w:r>
              <w:rPr>
                <w:rFonts w:ascii="Arial" w:eastAsia="Arial" w:hAnsi="Arial" w:cs="Arial"/>
                <w:color w:val="000000"/>
                <w:sz w:val="18"/>
                <w:szCs w:val="18"/>
              </w:rPr>
              <w:t xml:space="preserve"> </w:t>
            </w:r>
            <w:r w:rsidRPr="0065685D">
              <w:rPr>
                <w:rFonts w:ascii="Arial" w:eastAsia="Arial" w:hAnsi="Arial" w:cs="Arial"/>
                <w:color w:val="000000"/>
                <w:sz w:val="18"/>
                <w:szCs w:val="18"/>
              </w:rPr>
              <w:t>A estrutura de planejamento do e</w:t>
            </w:r>
            <w:r>
              <w:rPr>
                <w:rFonts w:ascii="Arial" w:eastAsia="Arial" w:hAnsi="Arial" w:cs="Arial"/>
                <w:color w:val="000000"/>
                <w:sz w:val="18"/>
                <w:szCs w:val="18"/>
              </w:rPr>
              <w:t xml:space="preserve">stado e a própria legislação </w:t>
            </w:r>
            <w:r w:rsidRPr="0065685D">
              <w:rPr>
                <w:rFonts w:ascii="Arial" w:eastAsia="Arial" w:hAnsi="Arial" w:cs="Arial"/>
                <w:color w:val="000000"/>
                <w:sz w:val="18"/>
                <w:szCs w:val="18"/>
              </w:rPr>
              <w:t>estabelecem mecanismos formais para garanti</w:t>
            </w:r>
            <w:r>
              <w:rPr>
                <w:rFonts w:ascii="Arial" w:eastAsia="Arial" w:hAnsi="Arial" w:cs="Arial"/>
                <w:color w:val="000000"/>
                <w:sz w:val="18"/>
                <w:szCs w:val="18"/>
              </w:rPr>
              <w:t>r essa integração intersetorial:</w:t>
            </w:r>
          </w:p>
          <w:p w14:paraId="5832AA8F" w14:textId="77777777" w:rsidR="001C7E6F" w:rsidRPr="0065685D" w:rsidRDefault="001C7E6F" w:rsidP="00BD3046">
            <w:pPr>
              <w:spacing w:after="0" w:line="240" w:lineRule="auto"/>
              <w:jc w:val="both"/>
              <w:rPr>
                <w:rFonts w:ascii="Arial" w:eastAsia="Arial" w:hAnsi="Arial" w:cs="Arial"/>
                <w:color w:val="000000"/>
                <w:sz w:val="18"/>
                <w:szCs w:val="18"/>
              </w:rPr>
            </w:pPr>
          </w:p>
          <w:p w14:paraId="2AC619E6" w14:textId="77777777" w:rsidR="001C7E6F" w:rsidRPr="0065685D" w:rsidRDefault="001C7E6F" w:rsidP="00BD3046">
            <w:pPr>
              <w:spacing w:after="0" w:line="240" w:lineRule="auto"/>
              <w:jc w:val="both"/>
              <w:rPr>
                <w:rFonts w:ascii="Arial" w:eastAsia="Arial" w:hAnsi="Arial" w:cs="Arial"/>
                <w:b/>
                <w:color w:val="000000"/>
                <w:sz w:val="18"/>
                <w:szCs w:val="18"/>
              </w:rPr>
            </w:pPr>
            <w:r w:rsidRPr="0065685D">
              <w:rPr>
                <w:rFonts w:ascii="Arial" w:eastAsia="Arial" w:hAnsi="Arial" w:cs="Arial"/>
                <w:b/>
                <w:color w:val="000000"/>
                <w:sz w:val="18"/>
                <w:szCs w:val="18"/>
              </w:rPr>
              <w:t>1. Planos Integrados e Metas Compartilhadas (Coerência e Sinergia)</w:t>
            </w:r>
          </w:p>
          <w:p w14:paraId="0CDC6041" w14:textId="77777777" w:rsidR="001C7E6F" w:rsidRPr="0065685D" w:rsidRDefault="001C7E6F" w:rsidP="00BD3046">
            <w:pPr>
              <w:spacing w:after="0" w:line="240" w:lineRule="auto"/>
              <w:jc w:val="both"/>
              <w:rPr>
                <w:rFonts w:ascii="Arial" w:eastAsia="Arial" w:hAnsi="Arial" w:cs="Arial"/>
                <w:color w:val="000000"/>
                <w:sz w:val="18"/>
                <w:szCs w:val="18"/>
              </w:rPr>
            </w:pPr>
            <w:r w:rsidRPr="0065685D">
              <w:rPr>
                <w:rFonts w:ascii="Arial" w:eastAsia="Arial" w:hAnsi="Arial" w:cs="Arial"/>
                <w:color w:val="000000"/>
                <w:sz w:val="18"/>
                <w:szCs w:val="18"/>
              </w:rPr>
              <w:t>A coerência é garantida pela orientação estratégica e pela estrutura do Plano Plurianual (PPA):</w:t>
            </w:r>
          </w:p>
          <w:p w14:paraId="7D654CF7" w14:textId="77777777" w:rsidR="001C7E6F" w:rsidRPr="0065685D" w:rsidRDefault="001C7E6F" w:rsidP="0032733E">
            <w:pPr>
              <w:pStyle w:val="PargrafodaLista"/>
              <w:numPr>
                <w:ilvl w:val="0"/>
                <w:numId w:val="21"/>
              </w:numPr>
              <w:spacing w:after="0" w:line="240" w:lineRule="auto"/>
              <w:ind w:left="370" w:hanging="283"/>
              <w:rPr>
                <w:rFonts w:eastAsia="Arial"/>
                <w:color w:val="000000"/>
                <w:sz w:val="18"/>
                <w:szCs w:val="18"/>
              </w:rPr>
            </w:pPr>
            <w:r w:rsidRPr="0065685D">
              <w:rPr>
                <w:rFonts w:eastAsia="Arial"/>
                <w:color w:val="000000"/>
                <w:sz w:val="18"/>
                <w:szCs w:val="18"/>
              </w:rPr>
              <w:t>O PPA define "Programa" como um elemento de organização da atuação governamental que é prioritariamente multissetorial, sendo um conjunto articulado de iniciativas agrupadas em torno de um objetivo. Essa estrutura de programas visa ampliar a sinergia entre os programas finalísticos e aprimorar a entrega de bens e serviços.</w:t>
            </w:r>
          </w:p>
          <w:p w14:paraId="32469824" w14:textId="77777777" w:rsidR="001C7E6F" w:rsidRPr="0065685D" w:rsidRDefault="001C7E6F" w:rsidP="0032733E">
            <w:pPr>
              <w:pStyle w:val="PargrafodaLista"/>
              <w:numPr>
                <w:ilvl w:val="0"/>
                <w:numId w:val="21"/>
              </w:numPr>
              <w:spacing w:after="0" w:line="240" w:lineRule="auto"/>
              <w:ind w:left="370" w:hanging="283"/>
              <w:rPr>
                <w:rFonts w:eastAsia="Arial"/>
                <w:color w:val="000000"/>
                <w:sz w:val="18"/>
                <w:szCs w:val="18"/>
              </w:rPr>
            </w:pPr>
            <w:r w:rsidRPr="0065685D">
              <w:rPr>
                <w:rFonts w:eastAsia="Arial"/>
                <w:color w:val="000000"/>
                <w:sz w:val="18"/>
                <w:szCs w:val="18"/>
              </w:rPr>
              <w:t>As iniciativas do FECP devem ser selecionadas em consonância com as diretrizes do Plano Estratégico de Desenvolvimento Econômico e Social do Estado do Rio de Janeiro (PEDES), que define as estratégias de longo prazo.</w:t>
            </w:r>
          </w:p>
          <w:p w14:paraId="59477305" w14:textId="77777777" w:rsidR="001C7E6F" w:rsidRPr="0065685D" w:rsidRDefault="001C7E6F" w:rsidP="0032733E">
            <w:pPr>
              <w:pStyle w:val="PargrafodaLista"/>
              <w:numPr>
                <w:ilvl w:val="0"/>
                <w:numId w:val="21"/>
              </w:numPr>
              <w:spacing w:after="0" w:line="240" w:lineRule="auto"/>
              <w:ind w:left="370" w:hanging="283"/>
              <w:rPr>
                <w:rFonts w:eastAsia="Arial"/>
                <w:color w:val="000000"/>
                <w:sz w:val="18"/>
                <w:szCs w:val="18"/>
              </w:rPr>
            </w:pPr>
            <w:r w:rsidRPr="0065685D">
              <w:rPr>
                <w:rFonts w:eastAsia="Arial"/>
                <w:color w:val="000000"/>
                <w:sz w:val="18"/>
                <w:szCs w:val="18"/>
              </w:rPr>
              <w:t>A metodologia de planejamento estratégico do Estado incorpora as Políticas Orientadas por Missões (POM), que possuem um caráter intrinsecamente sistêmico e demandam a combinação de múltiplos instrumentos de política que devem estar em sinergia para alcançar a missão ao longo de diferentes setores. Uma POM exige ser interdisciplinar, intersetorial e multiatores.</w:t>
            </w:r>
          </w:p>
          <w:p w14:paraId="25146DC5" w14:textId="77777777" w:rsidR="001C7E6F" w:rsidRPr="0065685D" w:rsidRDefault="001C7E6F" w:rsidP="0032733E">
            <w:pPr>
              <w:pStyle w:val="PargrafodaLista"/>
              <w:numPr>
                <w:ilvl w:val="0"/>
                <w:numId w:val="21"/>
              </w:numPr>
              <w:spacing w:after="0" w:line="240" w:lineRule="auto"/>
              <w:ind w:left="370" w:hanging="283"/>
              <w:rPr>
                <w:rFonts w:eastAsia="Arial"/>
                <w:color w:val="000000"/>
                <w:sz w:val="18"/>
                <w:szCs w:val="18"/>
              </w:rPr>
            </w:pPr>
            <w:r w:rsidRPr="0065685D">
              <w:rPr>
                <w:rFonts w:eastAsia="Arial"/>
                <w:color w:val="000000"/>
                <w:sz w:val="18"/>
                <w:szCs w:val="18"/>
              </w:rPr>
              <w:t>Os programas e iniciativas do PPA buscam a compatibilização com os Objetivos de Desenvolvimento Sustentável (ODS), que são metas globais compartilhadas (como Saúde e Bem-Estar - ODS 3, e Redução das Desigualdades - ODS 10).</w:t>
            </w:r>
          </w:p>
          <w:p w14:paraId="1BC3E813" w14:textId="77777777" w:rsidR="001C7E6F" w:rsidRPr="0065685D" w:rsidRDefault="001C7E6F" w:rsidP="0032733E">
            <w:pPr>
              <w:pStyle w:val="PargrafodaLista"/>
              <w:numPr>
                <w:ilvl w:val="0"/>
                <w:numId w:val="21"/>
              </w:numPr>
              <w:spacing w:after="0" w:line="240" w:lineRule="auto"/>
              <w:ind w:left="370" w:hanging="283"/>
              <w:rPr>
                <w:rFonts w:eastAsia="Arial"/>
                <w:color w:val="000000"/>
                <w:sz w:val="18"/>
                <w:szCs w:val="18"/>
              </w:rPr>
            </w:pPr>
            <w:r w:rsidRPr="0065685D">
              <w:rPr>
                <w:rFonts w:eastAsia="Arial"/>
                <w:color w:val="000000"/>
                <w:sz w:val="18"/>
                <w:szCs w:val="18"/>
              </w:rPr>
              <w:t>A própria legislação do FECP exige que a seleção das iniciativas leve em consideração a compatibilidade com os objetivos do Fundo e as nove áreas de resultado definidas (Segurança Alimentar, Saúde, Educação, Moradia Digna, Trabalho e Renda, etc.).</w:t>
            </w:r>
          </w:p>
          <w:p w14:paraId="45AADBA5" w14:textId="77777777" w:rsidR="001C7E6F" w:rsidRDefault="001C7E6F" w:rsidP="00BD3046">
            <w:pPr>
              <w:spacing w:after="0" w:line="240" w:lineRule="auto"/>
              <w:rPr>
                <w:rFonts w:ascii="Arial" w:eastAsia="Arial" w:hAnsi="Arial" w:cs="Arial"/>
                <w:color w:val="000000"/>
                <w:sz w:val="18"/>
                <w:szCs w:val="18"/>
              </w:rPr>
            </w:pPr>
          </w:p>
          <w:p w14:paraId="46B9325E" w14:textId="77777777" w:rsidR="001C7E6F" w:rsidRPr="0065685D" w:rsidRDefault="001C7E6F" w:rsidP="00BD3046">
            <w:pPr>
              <w:spacing w:after="0" w:line="240" w:lineRule="auto"/>
              <w:rPr>
                <w:rFonts w:ascii="Arial" w:eastAsia="Arial" w:hAnsi="Arial" w:cs="Arial"/>
                <w:b/>
                <w:color w:val="000000"/>
                <w:sz w:val="18"/>
                <w:szCs w:val="18"/>
              </w:rPr>
            </w:pPr>
            <w:r w:rsidRPr="0065685D">
              <w:rPr>
                <w:rFonts w:ascii="Arial" w:eastAsia="Arial" w:hAnsi="Arial" w:cs="Arial"/>
                <w:b/>
                <w:color w:val="000000"/>
                <w:sz w:val="18"/>
                <w:szCs w:val="18"/>
              </w:rPr>
              <w:t>2. Instâncias de Coordenação e Comitês Intersetoriais</w:t>
            </w:r>
          </w:p>
          <w:p w14:paraId="49CE096E" w14:textId="77777777" w:rsidR="001C7E6F" w:rsidRPr="0065685D" w:rsidRDefault="001C7E6F" w:rsidP="00BD3046">
            <w:pPr>
              <w:spacing w:after="0" w:line="240" w:lineRule="auto"/>
              <w:rPr>
                <w:rFonts w:ascii="Arial" w:eastAsia="Arial" w:hAnsi="Arial" w:cs="Arial"/>
                <w:color w:val="000000"/>
                <w:sz w:val="18"/>
                <w:szCs w:val="18"/>
              </w:rPr>
            </w:pPr>
            <w:r w:rsidRPr="0065685D">
              <w:rPr>
                <w:rFonts w:ascii="Arial" w:eastAsia="Arial" w:hAnsi="Arial" w:cs="Arial"/>
                <w:color w:val="000000"/>
                <w:sz w:val="18"/>
                <w:szCs w:val="18"/>
              </w:rPr>
              <w:t>Existem órgãos e mecanismos que promovem ativamente a coordenação e a integração entre as diferentes pastas setoriais:</w:t>
            </w:r>
          </w:p>
          <w:p w14:paraId="004C8D2B" w14:textId="77777777" w:rsidR="001C7E6F" w:rsidRPr="0065685D" w:rsidRDefault="001C7E6F" w:rsidP="0032733E">
            <w:pPr>
              <w:pStyle w:val="PargrafodaLista"/>
              <w:numPr>
                <w:ilvl w:val="0"/>
                <w:numId w:val="22"/>
              </w:numPr>
              <w:spacing w:after="0" w:line="240" w:lineRule="auto"/>
              <w:ind w:left="370" w:hanging="283"/>
              <w:rPr>
                <w:rFonts w:eastAsia="Arial"/>
                <w:color w:val="000000"/>
                <w:sz w:val="18"/>
                <w:szCs w:val="18"/>
              </w:rPr>
            </w:pPr>
            <w:r w:rsidRPr="0065685D">
              <w:rPr>
                <w:rFonts w:eastAsia="Arial"/>
                <w:color w:val="000000"/>
                <w:sz w:val="18"/>
                <w:szCs w:val="18"/>
              </w:rPr>
              <w:t>Embora não paritário, o CGF é composto por Secretarias de Estado cujas ações representam as áreas-fim do Fundo (como Saúde, Educação, Habitação de Interesse Social e Desenvolvimento Social) [P23, Resposta anterior]. Isso garante que a deliberação sobre a alocação dos recursos envolva representantes dos principais setores de execução social.</w:t>
            </w:r>
          </w:p>
          <w:p w14:paraId="13D053AF" w14:textId="77777777" w:rsidR="001C7E6F" w:rsidRPr="0065685D" w:rsidRDefault="001C7E6F" w:rsidP="0032733E">
            <w:pPr>
              <w:pStyle w:val="PargrafodaLista"/>
              <w:numPr>
                <w:ilvl w:val="0"/>
                <w:numId w:val="22"/>
              </w:numPr>
              <w:spacing w:after="0" w:line="240" w:lineRule="auto"/>
              <w:ind w:left="370" w:hanging="283"/>
              <w:rPr>
                <w:rFonts w:eastAsia="Arial"/>
                <w:color w:val="000000"/>
                <w:sz w:val="18"/>
                <w:szCs w:val="18"/>
              </w:rPr>
            </w:pPr>
            <w:r w:rsidRPr="0065685D">
              <w:rPr>
                <w:rFonts w:eastAsia="Arial"/>
                <w:color w:val="000000"/>
                <w:sz w:val="18"/>
                <w:szCs w:val="18"/>
              </w:rPr>
              <w:lastRenderedPageBreak/>
              <w:t>A Rede de Planejamento, coordenada pela Secretaria de Estado de Planejamento e Gestão (SEPLAG), é o principal mecanismo de coordenação, assegurando que o planejamento e a elaboração do PPA ocorram de forma conjunta e que a SEPLAG possa mediar a interlocução dos órgãos participantes de um mesmo Programa.</w:t>
            </w:r>
          </w:p>
          <w:p w14:paraId="3A2728BB" w14:textId="77777777" w:rsidR="001C7E6F" w:rsidRPr="0065685D" w:rsidRDefault="001C7E6F" w:rsidP="0032733E">
            <w:pPr>
              <w:pStyle w:val="PargrafodaLista"/>
              <w:numPr>
                <w:ilvl w:val="0"/>
                <w:numId w:val="22"/>
              </w:numPr>
              <w:spacing w:after="0" w:line="240" w:lineRule="auto"/>
              <w:ind w:left="370" w:hanging="283"/>
              <w:rPr>
                <w:rFonts w:eastAsia="Arial"/>
                <w:color w:val="000000"/>
                <w:sz w:val="18"/>
                <w:szCs w:val="18"/>
              </w:rPr>
            </w:pPr>
            <w:r w:rsidRPr="0065685D">
              <w:rPr>
                <w:rFonts w:eastAsia="Arial"/>
                <w:color w:val="000000"/>
                <w:sz w:val="18"/>
                <w:szCs w:val="18"/>
              </w:rPr>
              <w:t>A Secretaria de Estado da Casa Civil (SECC) é o órgão central de articulação política e de elaboração das ações estratégicas para as políticas de estado. A Secretaria de Estado de Governo (SEGOV) também atua como órgão central de integração governamental para a realização de políticas preventivas prioritárias.</w:t>
            </w:r>
          </w:p>
          <w:p w14:paraId="0B527312" w14:textId="77777777" w:rsidR="001C7E6F" w:rsidRPr="0065685D" w:rsidRDefault="001C7E6F" w:rsidP="0032733E">
            <w:pPr>
              <w:pStyle w:val="PargrafodaLista"/>
              <w:numPr>
                <w:ilvl w:val="0"/>
                <w:numId w:val="22"/>
              </w:numPr>
              <w:spacing w:after="0" w:line="240" w:lineRule="auto"/>
              <w:ind w:left="370" w:hanging="283"/>
              <w:rPr>
                <w:rFonts w:eastAsia="Arial"/>
                <w:color w:val="000000"/>
                <w:sz w:val="18"/>
                <w:szCs w:val="18"/>
              </w:rPr>
            </w:pPr>
            <w:r w:rsidRPr="0065685D">
              <w:rPr>
                <w:rFonts w:eastAsia="Arial"/>
                <w:color w:val="000000"/>
                <w:sz w:val="18"/>
                <w:szCs w:val="18"/>
              </w:rPr>
              <w:t>Comitês e Redes Setoriais:</w:t>
            </w:r>
          </w:p>
          <w:p w14:paraId="75153D1F" w14:textId="77777777" w:rsidR="001C7E6F" w:rsidRDefault="001C7E6F" w:rsidP="0032733E">
            <w:pPr>
              <w:pStyle w:val="PargrafodaLista"/>
              <w:numPr>
                <w:ilvl w:val="0"/>
                <w:numId w:val="23"/>
              </w:numPr>
              <w:spacing w:after="0" w:line="240" w:lineRule="auto"/>
              <w:rPr>
                <w:rFonts w:eastAsia="Arial"/>
                <w:color w:val="000000"/>
                <w:sz w:val="18"/>
                <w:szCs w:val="18"/>
              </w:rPr>
            </w:pPr>
            <w:r w:rsidRPr="0065685D">
              <w:rPr>
                <w:rFonts w:eastAsia="Arial"/>
                <w:color w:val="000000"/>
                <w:sz w:val="18"/>
                <w:szCs w:val="18"/>
              </w:rPr>
              <w:t>Saúde: A Secretaria de Estado de Saúde (SES) tem atribuições que exigem promoção de forma integrada a outros órgãos do Estado e da União, a melhoria do meio ambiente, das condições de trabalho, habitação e a elevação do nível nutricional da população. Existem mecanismos como o Conselho Estadual de Saúde para o fortalecimento do controle social e políticas de gestão estratégica e participativa.</w:t>
            </w:r>
          </w:p>
          <w:p w14:paraId="4AD6C852" w14:textId="77777777" w:rsidR="001C7E6F" w:rsidRDefault="001C7E6F" w:rsidP="0032733E">
            <w:pPr>
              <w:pStyle w:val="PargrafodaLista"/>
              <w:numPr>
                <w:ilvl w:val="0"/>
                <w:numId w:val="23"/>
              </w:numPr>
              <w:spacing w:after="0" w:line="240" w:lineRule="auto"/>
              <w:rPr>
                <w:rFonts w:eastAsia="Arial"/>
                <w:color w:val="000000"/>
                <w:sz w:val="18"/>
                <w:szCs w:val="18"/>
              </w:rPr>
            </w:pPr>
            <w:r w:rsidRPr="0065685D">
              <w:rPr>
                <w:rFonts w:eastAsia="Arial"/>
                <w:color w:val="000000"/>
                <w:sz w:val="18"/>
                <w:szCs w:val="18"/>
              </w:rPr>
              <w:t>Assistência Social: O Fundo Estadual de Assistência Social (FEAS) atua na integração das políticas sociais, em cumprimento ao pacto federativo do SUAS (Sistema Único de Assistência Social).</w:t>
            </w:r>
          </w:p>
          <w:p w14:paraId="2CCFC795" w14:textId="77777777" w:rsidR="001C7E6F" w:rsidRDefault="001C7E6F" w:rsidP="0032733E">
            <w:pPr>
              <w:pStyle w:val="PargrafodaLista"/>
              <w:numPr>
                <w:ilvl w:val="0"/>
                <w:numId w:val="23"/>
              </w:numPr>
              <w:spacing w:after="0" w:line="240" w:lineRule="auto"/>
              <w:rPr>
                <w:rFonts w:eastAsia="Arial"/>
                <w:color w:val="000000"/>
                <w:sz w:val="18"/>
                <w:szCs w:val="18"/>
              </w:rPr>
            </w:pPr>
            <w:r w:rsidRPr="0065685D">
              <w:rPr>
                <w:rFonts w:eastAsia="Arial"/>
                <w:color w:val="000000"/>
                <w:sz w:val="18"/>
                <w:szCs w:val="18"/>
              </w:rPr>
              <w:t>Juventude e Idoso: Iniciativas como a Promoção de Programas e Projetos voltados para Juventude (Ação 4813) e Promoção de Direitos da Pessoa Idosa (Ação 4659) buscam a otimização dos conselhos de políticas e de direitos da juventude e da pessoa Idosa e a realização de programações de caráter multidisciplinar.</w:t>
            </w:r>
          </w:p>
          <w:p w14:paraId="3A287825" w14:textId="77777777" w:rsidR="001C7E6F" w:rsidRDefault="001C7E6F" w:rsidP="0032733E">
            <w:pPr>
              <w:pStyle w:val="PargrafodaLista"/>
              <w:numPr>
                <w:ilvl w:val="0"/>
                <w:numId w:val="23"/>
              </w:numPr>
              <w:spacing w:after="0" w:line="240" w:lineRule="auto"/>
              <w:rPr>
                <w:rFonts w:eastAsia="Arial"/>
                <w:color w:val="000000"/>
                <w:sz w:val="18"/>
                <w:szCs w:val="18"/>
              </w:rPr>
            </w:pPr>
            <w:r>
              <w:rPr>
                <w:rFonts w:eastAsia="Arial"/>
                <w:color w:val="000000"/>
                <w:sz w:val="18"/>
                <w:szCs w:val="18"/>
              </w:rPr>
              <w:t>I</w:t>
            </w:r>
            <w:r w:rsidRPr="0065685D">
              <w:rPr>
                <w:rFonts w:eastAsia="Arial"/>
                <w:color w:val="000000"/>
                <w:sz w:val="18"/>
                <w:szCs w:val="18"/>
              </w:rPr>
              <w:t>ntegração Regional e Urbana: A Secretaria de Estado de Infraestrutura e Obras busca consolidar mecanismos de articulação institucional entre as esferas de governo, visando à integração do planejamento e gestão. Da mesma forma, a Secretaria de Estado de Transportes visa a implantação de um plano diretor integrado de transportes da Região Metropolitana, disciplinando os investimentos públicos e indicando soluções para integração harmônica de suas modalidades</w:t>
            </w:r>
            <w:r>
              <w:rPr>
                <w:rFonts w:eastAsia="Arial"/>
                <w:color w:val="000000"/>
                <w:sz w:val="18"/>
                <w:szCs w:val="18"/>
              </w:rPr>
              <w:t>.</w:t>
            </w:r>
          </w:p>
          <w:p w14:paraId="3D95F530" w14:textId="77777777" w:rsidR="001C7E6F" w:rsidRPr="0065685D" w:rsidRDefault="001C7E6F" w:rsidP="00BD3046">
            <w:pPr>
              <w:pStyle w:val="PargrafodaLista"/>
              <w:spacing w:after="0" w:line="240" w:lineRule="auto"/>
              <w:ind w:left="720" w:firstLine="0"/>
              <w:rPr>
                <w:rFonts w:eastAsia="Arial"/>
                <w:color w:val="000000"/>
                <w:sz w:val="18"/>
                <w:szCs w:val="18"/>
              </w:rPr>
            </w:pPr>
            <w:r w:rsidRPr="0065685D">
              <w:rPr>
                <w:rFonts w:eastAsia="Arial"/>
                <w:color w:val="000000"/>
                <w:sz w:val="18"/>
                <w:szCs w:val="18"/>
              </w:rPr>
              <w:t xml:space="preserve"> </w:t>
            </w:r>
          </w:p>
        </w:tc>
      </w:tr>
      <w:tr w:rsidR="001C7E6F" w14:paraId="41686FB2" w14:textId="77777777" w:rsidTr="00BD3046">
        <w:trPr>
          <w:trHeight w:val="20"/>
        </w:trPr>
        <w:tc>
          <w:tcPr>
            <w:tcW w:w="0" w:type="auto"/>
            <w:shd w:val="clear" w:color="auto" w:fill="auto"/>
            <w:vAlign w:val="center"/>
          </w:tcPr>
          <w:p w14:paraId="4799E637"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2.7 Prestação de contas</w:t>
            </w:r>
          </w:p>
        </w:tc>
        <w:tc>
          <w:tcPr>
            <w:tcW w:w="0" w:type="auto"/>
            <w:shd w:val="clear" w:color="auto" w:fill="auto"/>
            <w:vAlign w:val="center"/>
          </w:tcPr>
          <w:p w14:paraId="7621981B"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A lei prevê “o quê”, “quando” e “como” os resultados do Fundo serão reportados ao público e aos controles. Periodicidade e publicidade de relatórios específicos.</w:t>
            </w:r>
          </w:p>
          <w:p w14:paraId="01D532A2" w14:textId="77777777" w:rsidR="001C7E6F" w:rsidRDefault="001C7E6F" w:rsidP="00BD3046">
            <w:pPr>
              <w:spacing w:after="0" w:line="240" w:lineRule="auto"/>
              <w:rPr>
                <w:rFonts w:ascii="Arial" w:eastAsia="Arial" w:hAnsi="Arial" w:cs="Arial"/>
                <w:color w:val="000000"/>
                <w:sz w:val="18"/>
                <w:szCs w:val="18"/>
              </w:rPr>
            </w:pPr>
          </w:p>
          <w:p w14:paraId="6B0416D7" w14:textId="77777777" w:rsidR="001C7E6F" w:rsidRDefault="001C7E6F" w:rsidP="00BD3046">
            <w:pPr>
              <w:spacing w:after="0" w:line="240" w:lineRule="auto"/>
              <w:jc w:val="both"/>
              <w:rPr>
                <w:rFonts w:ascii="Arial" w:eastAsia="Arial" w:hAnsi="Arial" w:cs="Arial"/>
                <w:color w:val="000000"/>
                <w:sz w:val="18"/>
                <w:szCs w:val="18"/>
              </w:rPr>
            </w:pPr>
            <w:r w:rsidRPr="005E7698">
              <w:rPr>
                <w:rFonts w:ascii="Arial" w:eastAsia="Arial" w:hAnsi="Arial" w:cs="Arial"/>
                <w:color w:val="000000"/>
                <w:sz w:val="18"/>
                <w:szCs w:val="18"/>
              </w:rPr>
              <w:t>A Lei de Responsabilidade Fiscal (LRF) garante a publicação e disponibilização de relatórios (RREO, RGF) e do Parecer Prévio do Tribunal de Contas. As informações contábeis do setor público apoiam a governança e o controle social</w:t>
            </w:r>
            <w:r>
              <w:rPr>
                <w:rFonts w:ascii="Arial" w:eastAsia="Arial" w:hAnsi="Arial" w:cs="Arial"/>
                <w:color w:val="000000"/>
                <w:sz w:val="18"/>
                <w:szCs w:val="18"/>
              </w:rPr>
              <w:t>.</w:t>
            </w:r>
          </w:p>
          <w:p w14:paraId="16ED1379" w14:textId="77777777" w:rsidR="001C7E6F" w:rsidRDefault="001C7E6F" w:rsidP="00BD3046">
            <w:pPr>
              <w:spacing w:after="0" w:line="240" w:lineRule="auto"/>
              <w:jc w:val="both"/>
              <w:rPr>
                <w:rFonts w:ascii="Arial" w:eastAsia="Arial" w:hAnsi="Arial" w:cs="Arial"/>
                <w:color w:val="000000"/>
                <w:sz w:val="18"/>
                <w:szCs w:val="18"/>
              </w:rPr>
            </w:pPr>
          </w:p>
          <w:p w14:paraId="2010B996"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Sobre esse aspecto, relevante apontar que a Lei n° 4.086, de 13 de março de 2003, revogada </w:t>
            </w:r>
            <w:r w:rsidRPr="00805E54">
              <w:rPr>
                <w:rFonts w:ascii="Arial" w:eastAsia="Arial" w:hAnsi="Arial" w:cs="Arial"/>
                <w:color w:val="000000"/>
                <w:sz w:val="18"/>
                <w:szCs w:val="18"/>
              </w:rPr>
              <w:t>pela Lei Complementar nº 210/2023</w:t>
            </w:r>
            <w:r>
              <w:rPr>
                <w:rFonts w:ascii="Arial" w:eastAsia="Arial" w:hAnsi="Arial" w:cs="Arial"/>
                <w:color w:val="000000"/>
                <w:sz w:val="18"/>
                <w:szCs w:val="18"/>
              </w:rPr>
              <w:t>, anteriormente previa no seu a</w:t>
            </w:r>
            <w:r w:rsidRPr="00805E54">
              <w:rPr>
                <w:rFonts w:ascii="Arial" w:eastAsia="Arial" w:hAnsi="Arial" w:cs="Arial"/>
                <w:color w:val="000000"/>
                <w:sz w:val="18"/>
                <w:szCs w:val="18"/>
              </w:rPr>
              <w:t>rt. 4º</w:t>
            </w:r>
            <w:r>
              <w:rPr>
                <w:rFonts w:ascii="Arial" w:eastAsia="Arial" w:hAnsi="Arial" w:cs="Arial"/>
                <w:color w:val="000000"/>
                <w:sz w:val="18"/>
                <w:szCs w:val="18"/>
              </w:rPr>
              <w:t>:</w:t>
            </w:r>
          </w:p>
          <w:p w14:paraId="3CAC84E9" w14:textId="77777777" w:rsidR="001C7E6F" w:rsidRDefault="001C7E6F" w:rsidP="00BD3046">
            <w:pPr>
              <w:spacing w:after="0" w:line="240" w:lineRule="auto"/>
              <w:jc w:val="both"/>
              <w:rPr>
                <w:rFonts w:ascii="Arial" w:eastAsia="Arial" w:hAnsi="Arial" w:cs="Arial"/>
                <w:color w:val="000000"/>
                <w:sz w:val="18"/>
                <w:szCs w:val="18"/>
              </w:rPr>
            </w:pPr>
          </w:p>
          <w:p w14:paraId="4173BB2E" w14:textId="77777777" w:rsidR="001C7E6F" w:rsidRPr="00805E54"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Art. 4°</w:t>
            </w:r>
            <w:r w:rsidRPr="00805E54">
              <w:rPr>
                <w:rFonts w:ascii="Arial" w:eastAsia="Arial" w:hAnsi="Arial" w:cs="Arial"/>
                <w:color w:val="000000"/>
                <w:sz w:val="18"/>
                <w:szCs w:val="18"/>
              </w:rPr>
              <w:t xml:space="preserve"> Fica criado um Conselho Gestor do Fundo de Combate à Pobreza e às Desigualdades Sociais, presidido pela Governadora do Estado e integrado pelos seguintes membros:</w:t>
            </w:r>
          </w:p>
          <w:p w14:paraId="0FE0BA11" w14:textId="77777777" w:rsidR="001C7E6F" w:rsidRPr="00805E54" w:rsidRDefault="001C7E6F" w:rsidP="00BD3046">
            <w:pPr>
              <w:spacing w:after="0" w:line="240" w:lineRule="auto"/>
              <w:jc w:val="both"/>
              <w:rPr>
                <w:rFonts w:ascii="Arial" w:eastAsia="Arial" w:hAnsi="Arial" w:cs="Arial"/>
                <w:color w:val="000000"/>
                <w:sz w:val="18"/>
                <w:szCs w:val="18"/>
              </w:rPr>
            </w:pPr>
          </w:p>
          <w:p w14:paraId="3B4ED64C" w14:textId="77777777" w:rsidR="001C7E6F" w:rsidRPr="00805E54"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I - Secretário de Estado Chefe do Gabinete Civil;</w:t>
            </w:r>
          </w:p>
          <w:p w14:paraId="5A7FFD52" w14:textId="77777777" w:rsidR="001C7E6F" w:rsidRPr="00805E54"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II - Secretário de Estado de Fazenda;</w:t>
            </w:r>
          </w:p>
          <w:p w14:paraId="7B261936" w14:textId="77777777" w:rsidR="001C7E6F" w:rsidRPr="00805E54"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III - Secretário de Planejamento, Controle e Gestão;</w:t>
            </w:r>
          </w:p>
          <w:p w14:paraId="7FA2386E" w14:textId="77777777" w:rsidR="001C7E6F" w:rsidRPr="00805E54"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IV - Secretário de Estado de Ação Social;</w:t>
            </w:r>
          </w:p>
          <w:p w14:paraId="0D5BD212" w14:textId="77777777" w:rsidR="001C7E6F" w:rsidRPr="00805E54"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V - Secretário de Estado de Integração Governamental.</w:t>
            </w:r>
          </w:p>
          <w:p w14:paraId="1696A4A1" w14:textId="77777777" w:rsidR="001C7E6F" w:rsidRPr="00805E54"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 1º Serão convidados a integrar o Conselho Gestor:</w:t>
            </w:r>
          </w:p>
          <w:p w14:paraId="2C366EC9" w14:textId="77777777" w:rsidR="001C7E6F" w:rsidRPr="00805E54"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I - 01 (um) representante da Federação das Indústrias do Estado do Rio de Janeiro - FIRJAN;</w:t>
            </w:r>
          </w:p>
          <w:p w14:paraId="3F44D4A2" w14:textId="77777777" w:rsidR="001C7E6F" w:rsidRPr="00805E54"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II - 01 (um) representante da Federação do Comércio do Estado do Rio de Janeiro - FECOMÉRCIO-RJ;</w:t>
            </w:r>
          </w:p>
          <w:p w14:paraId="4E9E2CDB" w14:textId="77777777" w:rsidR="001C7E6F" w:rsidRPr="00805E54"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III - 01 (um) representante da Ação da Cidadania contra a Fome, a Miséria e Pela Vida;</w:t>
            </w:r>
          </w:p>
          <w:p w14:paraId="252BBDE1" w14:textId="77777777" w:rsidR="001C7E6F" w:rsidRPr="00805E54"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IV - 03 (três) representantes da sociedade civil.</w:t>
            </w:r>
          </w:p>
          <w:p w14:paraId="1A201EEE" w14:textId="77777777" w:rsidR="001C7E6F" w:rsidRPr="00805E54" w:rsidRDefault="001C7E6F" w:rsidP="00BD3046">
            <w:pPr>
              <w:spacing w:after="0" w:line="240" w:lineRule="auto"/>
              <w:jc w:val="both"/>
              <w:rPr>
                <w:rFonts w:ascii="Arial" w:eastAsia="Arial" w:hAnsi="Arial" w:cs="Arial"/>
                <w:color w:val="000000"/>
                <w:sz w:val="18"/>
                <w:szCs w:val="18"/>
              </w:rPr>
            </w:pPr>
          </w:p>
          <w:p w14:paraId="5D4F6128" w14:textId="77777777" w:rsidR="001C7E6F"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 xml:space="preserve">§ 2º </w:t>
            </w:r>
            <w:r w:rsidRPr="00805E54">
              <w:rPr>
                <w:rFonts w:ascii="Arial" w:eastAsia="Arial" w:hAnsi="Arial" w:cs="Arial"/>
                <w:b/>
                <w:color w:val="000000"/>
                <w:sz w:val="18"/>
                <w:szCs w:val="18"/>
              </w:rPr>
              <w:t>O Conselho Gestor do Fundo de Combate à Pobreza e às Desigualdades Sociais fará publicar no Diário Oficial, mensalmente, um relatório do total arrecadado pelo Fundo, bem como a destinação dos recursos, de forma detalhada</w:t>
            </w:r>
            <w:r w:rsidRPr="00805E54">
              <w:rPr>
                <w:rFonts w:ascii="Arial" w:eastAsia="Arial" w:hAnsi="Arial" w:cs="Arial"/>
                <w:color w:val="000000"/>
                <w:sz w:val="18"/>
                <w:szCs w:val="18"/>
              </w:rPr>
              <w:t>.</w:t>
            </w:r>
          </w:p>
          <w:p w14:paraId="494F2D6C" w14:textId="77777777" w:rsidR="001C7E6F" w:rsidRDefault="001C7E6F" w:rsidP="00BD3046">
            <w:pPr>
              <w:spacing w:after="0" w:line="240" w:lineRule="auto"/>
              <w:jc w:val="both"/>
              <w:rPr>
                <w:rFonts w:ascii="Arial" w:eastAsia="Arial" w:hAnsi="Arial" w:cs="Arial"/>
                <w:color w:val="000000"/>
                <w:sz w:val="18"/>
                <w:szCs w:val="18"/>
              </w:rPr>
            </w:pPr>
          </w:p>
          <w:p w14:paraId="7D8E65AB"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Não há outra evidenciação obrigatória atualmente, além daquelas previstas na LRF.</w:t>
            </w:r>
          </w:p>
          <w:p w14:paraId="5ADF3E5E" w14:textId="77777777" w:rsidR="001C7E6F" w:rsidRDefault="001C7E6F" w:rsidP="00BD3046">
            <w:pPr>
              <w:spacing w:after="0" w:line="240" w:lineRule="auto"/>
              <w:rPr>
                <w:rFonts w:ascii="Arial" w:eastAsia="Arial" w:hAnsi="Arial" w:cs="Arial"/>
                <w:color w:val="000000"/>
                <w:sz w:val="18"/>
                <w:szCs w:val="18"/>
              </w:rPr>
            </w:pPr>
          </w:p>
        </w:tc>
      </w:tr>
      <w:tr w:rsidR="001C7E6F" w14:paraId="1F4669A7" w14:textId="77777777" w:rsidTr="00BD3046">
        <w:trPr>
          <w:trHeight w:val="20"/>
        </w:trPr>
        <w:tc>
          <w:tcPr>
            <w:tcW w:w="0" w:type="auto"/>
            <w:shd w:val="clear" w:color="auto" w:fill="auto"/>
            <w:vAlign w:val="center"/>
          </w:tcPr>
          <w:p w14:paraId="5E91C772"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2.8 Critérios redistributivos</w:t>
            </w:r>
          </w:p>
        </w:tc>
        <w:tc>
          <w:tcPr>
            <w:tcW w:w="0" w:type="auto"/>
            <w:shd w:val="clear" w:color="auto" w:fill="auto"/>
            <w:vAlign w:val="center"/>
          </w:tcPr>
          <w:p w14:paraId="199D3AB5"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Orientação sobre a alocação de recursos por equidade (território, vulnerabilidade e público-alvo), mediante aplicação de parâmetros técnicos (IDH, CadÚnico, mapas de pobreza, entre outros).</w:t>
            </w:r>
          </w:p>
          <w:p w14:paraId="3FE1E082" w14:textId="77777777" w:rsidR="001C7E6F" w:rsidRDefault="001C7E6F" w:rsidP="00BD3046">
            <w:pPr>
              <w:spacing w:after="0" w:line="240" w:lineRule="auto"/>
              <w:rPr>
                <w:rFonts w:ascii="Arial" w:eastAsia="Arial" w:hAnsi="Arial" w:cs="Arial"/>
                <w:color w:val="000000"/>
                <w:sz w:val="18"/>
                <w:szCs w:val="18"/>
              </w:rPr>
            </w:pPr>
          </w:p>
          <w:p w14:paraId="576EC240"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A lei do FEC-RJ </w:t>
            </w:r>
            <w:r w:rsidRPr="00805E54">
              <w:rPr>
                <w:rFonts w:ascii="Arial" w:eastAsia="Arial" w:hAnsi="Arial" w:cs="Arial"/>
                <w:color w:val="000000"/>
                <w:sz w:val="18"/>
                <w:szCs w:val="18"/>
              </w:rPr>
              <w:t>(</w:t>
            </w:r>
            <w:r>
              <w:rPr>
                <w:rFonts w:ascii="Arial" w:eastAsia="Arial" w:hAnsi="Arial" w:cs="Arial"/>
                <w:color w:val="000000"/>
                <w:sz w:val="18"/>
                <w:szCs w:val="18"/>
              </w:rPr>
              <w:t>LC</w:t>
            </w:r>
            <w:r w:rsidRPr="00805E54">
              <w:rPr>
                <w:rFonts w:ascii="Arial" w:eastAsia="Arial" w:hAnsi="Arial" w:cs="Arial"/>
                <w:color w:val="000000"/>
                <w:sz w:val="18"/>
                <w:szCs w:val="18"/>
              </w:rPr>
              <w:t xml:space="preserve"> Estad</w:t>
            </w:r>
            <w:r>
              <w:rPr>
                <w:rFonts w:ascii="Arial" w:eastAsia="Arial" w:hAnsi="Arial" w:cs="Arial"/>
                <w:color w:val="000000"/>
                <w:sz w:val="18"/>
                <w:szCs w:val="18"/>
              </w:rPr>
              <w:t xml:space="preserve">ual nº 210/2023) estabelece </w:t>
            </w:r>
            <w:r w:rsidRPr="00805E54">
              <w:rPr>
                <w:rFonts w:ascii="Arial" w:eastAsia="Arial" w:hAnsi="Arial" w:cs="Arial"/>
                <w:color w:val="000000"/>
                <w:sz w:val="18"/>
                <w:szCs w:val="18"/>
              </w:rPr>
              <w:t>orientação para a equidade ao determinar que os recursos deverão ser aplicados em iniciativas que beneficiem prioritariamente pessoas e grupos em situação de vulnerabilidade social, contribuindo para a mitigação e superação da pobreza e das desigualdades sociais</w:t>
            </w:r>
            <w:r>
              <w:rPr>
                <w:rFonts w:ascii="Arial" w:eastAsia="Arial" w:hAnsi="Arial" w:cs="Arial"/>
                <w:color w:val="000000"/>
                <w:sz w:val="18"/>
                <w:szCs w:val="18"/>
              </w:rPr>
              <w:t xml:space="preserve">. </w:t>
            </w:r>
            <w:r w:rsidRPr="00805E54">
              <w:rPr>
                <w:rFonts w:ascii="Arial" w:eastAsia="Arial" w:hAnsi="Arial" w:cs="Arial"/>
                <w:color w:val="000000"/>
                <w:sz w:val="18"/>
                <w:szCs w:val="18"/>
              </w:rPr>
              <w:t>A vinculação dos recursos a grupos específicos de alta vulnerabilidade é garantida através das nove áreas de resultado obrigatórias, que direcionam a aplicação para funções-fim do governo</w:t>
            </w:r>
            <w:r>
              <w:rPr>
                <w:rFonts w:ascii="Arial" w:eastAsia="Arial" w:hAnsi="Arial" w:cs="Arial"/>
                <w:color w:val="000000"/>
                <w:sz w:val="18"/>
                <w:szCs w:val="18"/>
              </w:rPr>
              <w:t>.</w:t>
            </w:r>
          </w:p>
          <w:p w14:paraId="4F1F0816" w14:textId="77777777" w:rsidR="001C7E6F" w:rsidRDefault="001C7E6F" w:rsidP="00BD3046">
            <w:pPr>
              <w:spacing w:after="0" w:line="240" w:lineRule="auto"/>
              <w:jc w:val="both"/>
              <w:rPr>
                <w:rFonts w:ascii="Arial" w:eastAsia="Arial" w:hAnsi="Arial" w:cs="Arial"/>
                <w:color w:val="000000"/>
                <w:sz w:val="18"/>
                <w:szCs w:val="18"/>
              </w:rPr>
            </w:pPr>
          </w:p>
          <w:p w14:paraId="748610FA" w14:textId="77777777" w:rsidR="001C7E6F"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O diagnóstico dos problemas, riscos e necessidades deve ser feito com base em dados de um horizonte temporal amplo, abordando diferentes facetas</w:t>
            </w:r>
            <w:r>
              <w:rPr>
                <w:rFonts w:ascii="Arial" w:eastAsia="Arial" w:hAnsi="Arial" w:cs="Arial"/>
                <w:color w:val="000000"/>
                <w:sz w:val="18"/>
                <w:szCs w:val="18"/>
              </w:rPr>
              <w:t xml:space="preserve">. </w:t>
            </w:r>
            <w:r w:rsidRPr="00805E54">
              <w:rPr>
                <w:rFonts w:ascii="Arial" w:eastAsia="Arial" w:hAnsi="Arial" w:cs="Arial"/>
                <w:color w:val="000000"/>
                <w:sz w:val="18"/>
                <w:szCs w:val="18"/>
              </w:rPr>
              <w:t xml:space="preserve">A Subsecretaria de Planejamento Estratégico (SUBPLE) </w:t>
            </w:r>
            <w:r>
              <w:rPr>
                <w:rFonts w:ascii="Arial" w:eastAsia="Arial" w:hAnsi="Arial" w:cs="Arial"/>
                <w:color w:val="000000"/>
                <w:sz w:val="18"/>
                <w:szCs w:val="18"/>
              </w:rPr>
              <w:t>utiliza</w:t>
            </w:r>
            <w:r w:rsidRPr="00805E54">
              <w:rPr>
                <w:rFonts w:ascii="Arial" w:eastAsia="Arial" w:hAnsi="Arial" w:cs="Arial"/>
                <w:color w:val="000000"/>
                <w:sz w:val="18"/>
                <w:szCs w:val="18"/>
              </w:rPr>
              <w:t xml:space="preserve"> instrumentos capazes de </w:t>
            </w:r>
            <w:r>
              <w:rPr>
                <w:rFonts w:ascii="Arial" w:eastAsia="Arial" w:hAnsi="Arial" w:cs="Arial"/>
                <w:color w:val="000000"/>
                <w:sz w:val="18"/>
                <w:szCs w:val="18"/>
              </w:rPr>
              <w:t xml:space="preserve">avaliar a </w:t>
            </w:r>
            <w:r w:rsidRPr="00805E54">
              <w:rPr>
                <w:rFonts w:ascii="Arial" w:eastAsia="Arial" w:hAnsi="Arial" w:cs="Arial"/>
                <w:color w:val="000000"/>
                <w:sz w:val="18"/>
                <w:szCs w:val="18"/>
              </w:rPr>
              <w:t>racionalidade nas decisões, utilizando ferramentas analíticas avançadas</w:t>
            </w:r>
            <w:r>
              <w:rPr>
                <w:rFonts w:ascii="Arial" w:eastAsia="Arial" w:hAnsi="Arial" w:cs="Arial"/>
                <w:color w:val="000000"/>
                <w:sz w:val="18"/>
                <w:szCs w:val="18"/>
              </w:rPr>
              <w:t xml:space="preserve"> (Nota Técnica n° 001/2022/SUBPLE – Nota Metodológica)</w:t>
            </w:r>
            <w:r w:rsidRPr="00805E54">
              <w:rPr>
                <w:rFonts w:ascii="Arial" w:eastAsia="Arial" w:hAnsi="Arial" w:cs="Arial"/>
                <w:color w:val="000000"/>
                <w:sz w:val="18"/>
                <w:szCs w:val="18"/>
              </w:rPr>
              <w:t>:</w:t>
            </w:r>
          </w:p>
          <w:p w14:paraId="5646309E" w14:textId="77777777" w:rsidR="001C7E6F" w:rsidRDefault="001C7E6F" w:rsidP="00BD3046">
            <w:pPr>
              <w:spacing w:after="0" w:line="240" w:lineRule="auto"/>
              <w:jc w:val="both"/>
              <w:rPr>
                <w:rFonts w:ascii="Arial" w:eastAsia="Arial" w:hAnsi="Arial" w:cs="Arial"/>
                <w:color w:val="000000"/>
                <w:sz w:val="18"/>
                <w:szCs w:val="18"/>
              </w:rPr>
            </w:pPr>
          </w:p>
          <w:p w14:paraId="5DC40985" w14:textId="77777777" w:rsidR="001C7E6F" w:rsidRDefault="001C7E6F" w:rsidP="0032733E">
            <w:pPr>
              <w:pStyle w:val="PargrafodaLista"/>
              <w:numPr>
                <w:ilvl w:val="0"/>
                <w:numId w:val="24"/>
              </w:numPr>
              <w:spacing w:after="0" w:line="240" w:lineRule="auto"/>
              <w:rPr>
                <w:rFonts w:eastAsia="Arial"/>
                <w:color w:val="000000"/>
                <w:sz w:val="18"/>
                <w:szCs w:val="18"/>
              </w:rPr>
            </w:pPr>
            <w:r w:rsidRPr="00805E54">
              <w:rPr>
                <w:rFonts w:eastAsia="Arial"/>
                <w:color w:val="000000"/>
                <w:sz w:val="18"/>
                <w:szCs w:val="18"/>
              </w:rPr>
              <w:t>Análise de Complexidade Econômica: São utilizadas metodologias como Redes de Complexidade Econômica e Matriz Insumo-Produto para um diagnóstico das bases produtivas existentes e dos efeitos multiplicadores do gasto público. A Matriz Insumo-Produto permite associar níveis de gasto a efeitos sobre a atividade econômica, desagregados por setor produtivo.</w:t>
            </w:r>
          </w:p>
          <w:p w14:paraId="44AE1147" w14:textId="77777777" w:rsidR="001C7E6F" w:rsidRPr="00805E54" w:rsidRDefault="001C7E6F" w:rsidP="0032733E">
            <w:pPr>
              <w:pStyle w:val="PargrafodaLista"/>
              <w:numPr>
                <w:ilvl w:val="0"/>
                <w:numId w:val="24"/>
              </w:numPr>
              <w:spacing w:after="0" w:line="240" w:lineRule="auto"/>
              <w:rPr>
                <w:rFonts w:eastAsia="Arial"/>
                <w:color w:val="000000"/>
                <w:sz w:val="18"/>
                <w:szCs w:val="18"/>
              </w:rPr>
            </w:pPr>
            <w:r w:rsidRPr="00805E54">
              <w:rPr>
                <w:rFonts w:eastAsia="Arial"/>
                <w:color w:val="000000"/>
                <w:sz w:val="18"/>
                <w:szCs w:val="18"/>
              </w:rPr>
              <w:t>Bases de Conhecimento: O planejamento utiliza Bases de Conhecimento e Resultado Fiscal Estrutural. A metodologia de Complexidade Econômica permite a análise das potencialidades específicas dos setores em cada região.</w:t>
            </w:r>
          </w:p>
          <w:p w14:paraId="64D9A217" w14:textId="77777777" w:rsidR="001C7E6F" w:rsidRDefault="001C7E6F" w:rsidP="00BD3046">
            <w:pPr>
              <w:spacing w:after="0" w:line="240" w:lineRule="auto"/>
              <w:jc w:val="both"/>
              <w:rPr>
                <w:rFonts w:ascii="Arial" w:eastAsia="Arial" w:hAnsi="Arial" w:cs="Arial"/>
                <w:color w:val="000000"/>
                <w:sz w:val="18"/>
                <w:szCs w:val="18"/>
              </w:rPr>
            </w:pPr>
          </w:p>
          <w:p w14:paraId="0C2C2945" w14:textId="77777777" w:rsidR="001C7E6F" w:rsidRDefault="001C7E6F" w:rsidP="00BD3046">
            <w:pPr>
              <w:spacing w:after="0" w:line="240" w:lineRule="auto"/>
              <w:jc w:val="both"/>
              <w:rPr>
                <w:rFonts w:ascii="Arial" w:eastAsia="Arial" w:hAnsi="Arial" w:cs="Arial"/>
                <w:color w:val="000000"/>
                <w:sz w:val="18"/>
                <w:szCs w:val="18"/>
              </w:rPr>
            </w:pPr>
            <w:r w:rsidRPr="00805E54">
              <w:rPr>
                <w:rFonts w:ascii="Arial" w:eastAsia="Arial" w:hAnsi="Arial" w:cs="Arial"/>
                <w:color w:val="000000"/>
                <w:sz w:val="18"/>
                <w:szCs w:val="18"/>
              </w:rPr>
              <w:t xml:space="preserve">A Plataforma Integrada de Planejamento Estratégico do Estado do Rio de Janeiro </w:t>
            </w:r>
            <w:r>
              <w:rPr>
                <w:rFonts w:ascii="Arial" w:eastAsia="Arial" w:hAnsi="Arial" w:cs="Arial"/>
                <w:color w:val="000000"/>
                <w:sz w:val="18"/>
                <w:szCs w:val="18"/>
              </w:rPr>
              <w:br/>
            </w:r>
            <w:r w:rsidRPr="00805E54">
              <w:rPr>
                <w:rFonts w:ascii="Arial" w:eastAsia="Arial" w:hAnsi="Arial" w:cs="Arial"/>
                <w:color w:val="000000"/>
                <w:sz w:val="18"/>
                <w:szCs w:val="18"/>
              </w:rPr>
              <w:t>(</w:t>
            </w:r>
            <w:hyperlink r:id="rId17" w:history="1">
              <w:r w:rsidRPr="003A28BF">
                <w:rPr>
                  <w:rStyle w:val="Hyperlink"/>
                  <w:rFonts w:ascii="Arial" w:eastAsia="Arial" w:hAnsi="Arial" w:cs="Arial"/>
                  <w:sz w:val="18"/>
                  <w:szCs w:val="18"/>
                </w:rPr>
                <w:t>www.estrategia.planejamento.rj.gov.br</w:t>
              </w:r>
            </w:hyperlink>
            <w:r>
              <w:rPr>
                <w:rFonts w:ascii="Arial" w:eastAsia="Arial" w:hAnsi="Arial" w:cs="Arial"/>
                <w:color w:val="000000"/>
                <w:sz w:val="18"/>
                <w:szCs w:val="18"/>
              </w:rPr>
              <w:t>) coordenada</w:t>
            </w:r>
            <w:r w:rsidRPr="004F08C1">
              <w:rPr>
                <w:rFonts w:ascii="Arial" w:eastAsia="Arial" w:hAnsi="Arial" w:cs="Arial"/>
                <w:color w:val="000000"/>
                <w:sz w:val="18"/>
                <w:szCs w:val="18"/>
              </w:rPr>
              <w:t xml:space="preserve"> pela SUBPLE, </w:t>
            </w:r>
            <w:r>
              <w:rPr>
                <w:rFonts w:ascii="Arial" w:eastAsia="Arial" w:hAnsi="Arial" w:cs="Arial"/>
                <w:color w:val="000000"/>
                <w:sz w:val="18"/>
                <w:szCs w:val="18"/>
              </w:rPr>
              <w:t>foi</w:t>
            </w:r>
            <w:r w:rsidRPr="004F08C1">
              <w:rPr>
                <w:rFonts w:ascii="Arial" w:eastAsia="Arial" w:hAnsi="Arial" w:cs="Arial"/>
                <w:color w:val="000000"/>
                <w:sz w:val="18"/>
                <w:szCs w:val="18"/>
              </w:rPr>
              <w:t xml:space="preserve"> estrutura</w:t>
            </w:r>
            <w:r>
              <w:rPr>
                <w:rFonts w:ascii="Arial" w:eastAsia="Arial" w:hAnsi="Arial" w:cs="Arial"/>
                <w:color w:val="000000"/>
                <w:sz w:val="18"/>
                <w:szCs w:val="18"/>
              </w:rPr>
              <w:t xml:space="preserve">da </w:t>
            </w:r>
            <w:r w:rsidRPr="004F08C1">
              <w:rPr>
                <w:rFonts w:ascii="Arial" w:eastAsia="Arial" w:hAnsi="Arial" w:cs="Arial"/>
                <w:color w:val="000000"/>
                <w:sz w:val="18"/>
                <w:szCs w:val="18"/>
              </w:rPr>
              <w:t xml:space="preserve">inicialmente </w:t>
            </w:r>
            <w:r>
              <w:rPr>
                <w:rFonts w:ascii="Arial" w:eastAsia="Arial" w:hAnsi="Arial" w:cs="Arial"/>
                <w:color w:val="000000"/>
                <w:sz w:val="18"/>
                <w:szCs w:val="18"/>
              </w:rPr>
              <w:t>para ser</w:t>
            </w:r>
            <w:r w:rsidRPr="004F08C1">
              <w:rPr>
                <w:rFonts w:ascii="Arial" w:eastAsia="Arial" w:hAnsi="Arial" w:cs="Arial"/>
                <w:color w:val="000000"/>
                <w:sz w:val="18"/>
                <w:szCs w:val="18"/>
              </w:rPr>
              <w:t xml:space="preserve"> um banco de dados organizado em quatro áreas de avaliação e monitoramento: Economia (estrutura produtiva e mercado de trabalho), Ciência, Inovação e Tecnologia, Sustentabilidade Ambiental e Bem-Estar Social. Todas essas áreas articulam-se de forma transversal pela dimensão da Territorialidade, entendida como categoria síntese derivada da noção teórico-analítica de formação socioespacial. </w:t>
            </w:r>
          </w:p>
          <w:p w14:paraId="1537F889" w14:textId="77777777" w:rsidR="001C7E6F" w:rsidRDefault="001C7E6F" w:rsidP="00BD3046">
            <w:pPr>
              <w:spacing w:after="0" w:line="240" w:lineRule="auto"/>
              <w:rPr>
                <w:rFonts w:ascii="Arial" w:eastAsia="Arial" w:hAnsi="Arial" w:cs="Arial"/>
                <w:color w:val="000000"/>
                <w:sz w:val="18"/>
                <w:szCs w:val="18"/>
              </w:rPr>
            </w:pPr>
          </w:p>
        </w:tc>
      </w:tr>
      <w:tr w:rsidR="001C7E6F" w14:paraId="304A9DBE" w14:textId="77777777" w:rsidTr="00BD3046">
        <w:trPr>
          <w:trHeight w:val="20"/>
        </w:trPr>
        <w:tc>
          <w:tcPr>
            <w:tcW w:w="0" w:type="auto"/>
            <w:shd w:val="clear" w:color="auto" w:fill="auto"/>
            <w:vAlign w:val="center"/>
          </w:tcPr>
          <w:p w14:paraId="6B4FE2E3"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2.9 Estabilidade institucional</w:t>
            </w:r>
          </w:p>
        </w:tc>
        <w:tc>
          <w:tcPr>
            <w:tcW w:w="0" w:type="auto"/>
            <w:shd w:val="clear" w:color="auto" w:fill="auto"/>
            <w:vAlign w:val="center"/>
          </w:tcPr>
          <w:p w14:paraId="72C019A5" w14:textId="77777777" w:rsidR="001C7E6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sz w:val="18"/>
                <w:szCs w:val="18"/>
              </w:rPr>
              <w:t>Identificação do t</w:t>
            </w:r>
            <w:r w:rsidRPr="007953EF">
              <w:rPr>
                <w:rFonts w:ascii="Arial" w:eastAsia="Arial" w:hAnsi="Arial" w:cs="Arial"/>
                <w:i/>
                <w:color w:val="000000"/>
                <w:sz w:val="18"/>
                <w:szCs w:val="18"/>
              </w:rPr>
              <w:t>empo de existência do Fundo, alterações normativas relevantes, ausência de judicializações, continuidade do Conselho nos últimos 5 anos. Mensuração da previsibilidade do planejamento frente a trocas de gestão e ciclos eleitorais.</w:t>
            </w:r>
          </w:p>
          <w:p w14:paraId="4EA4C075" w14:textId="77777777" w:rsidR="001C7E6F" w:rsidRDefault="001C7E6F" w:rsidP="00BD3046">
            <w:pPr>
              <w:spacing w:after="0" w:line="240" w:lineRule="auto"/>
              <w:rPr>
                <w:rFonts w:ascii="Arial" w:eastAsia="Arial" w:hAnsi="Arial" w:cs="Arial"/>
                <w:i/>
                <w:color w:val="000000"/>
                <w:sz w:val="18"/>
                <w:szCs w:val="18"/>
              </w:rPr>
            </w:pPr>
          </w:p>
          <w:p w14:paraId="2178298A" w14:textId="77777777" w:rsidR="001C7E6F" w:rsidRDefault="001C7E6F" w:rsidP="00BD3046">
            <w:pPr>
              <w:spacing w:after="0" w:line="240" w:lineRule="auto"/>
              <w:jc w:val="both"/>
              <w:rPr>
                <w:rFonts w:ascii="Arial" w:eastAsia="Arial" w:hAnsi="Arial" w:cs="Arial"/>
                <w:color w:val="000000"/>
                <w:sz w:val="18"/>
                <w:szCs w:val="18"/>
              </w:rPr>
            </w:pPr>
            <w:r w:rsidRPr="004F08C1">
              <w:rPr>
                <w:rFonts w:ascii="Arial" w:eastAsia="Arial" w:hAnsi="Arial" w:cs="Arial"/>
                <w:color w:val="000000"/>
                <w:sz w:val="18"/>
                <w:szCs w:val="18"/>
              </w:rPr>
              <w:t>O FECP</w:t>
            </w:r>
            <w:r>
              <w:rPr>
                <w:rFonts w:ascii="Arial" w:eastAsia="Arial" w:hAnsi="Arial" w:cs="Arial"/>
                <w:color w:val="000000"/>
                <w:sz w:val="18"/>
                <w:szCs w:val="18"/>
              </w:rPr>
              <w:t>-RJ</w:t>
            </w:r>
            <w:r w:rsidRPr="004F08C1">
              <w:rPr>
                <w:rFonts w:ascii="Arial" w:eastAsia="Arial" w:hAnsi="Arial" w:cs="Arial"/>
                <w:color w:val="000000"/>
                <w:sz w:val="18"/>
                <w:szCs w:val="18"/>
              </w:rPr>
              <w:t xml:space="preserve"> possui longo tempo de existência, mas passou por alterações normativas extremamente relevantes</w:t>
            </w:r>
            <w:r>
              <w:rPr>
                <w:rFonts w:ascii="Arial" w:eastAsia="Arial" w:hAnsi="Arial" w:cs="Arial"/>
                <w:color w:val="000000"/>
                <w:sz w:val="18"/>
                <w:szCs w:val="18"/>
              </w:rPr>
              <w:t xml:space="preserve">. </w:t>
            </w:r>
          </w:p>
          <w:p w14:paraId="19DE4F3A" w14:textId="77777777" w:rsidR="001C7E6F" w:rsidRDefault="001C7E6F" w:rsidP="00BD3046">
            <w:pPr>
              <w:spacing w:after="0" w:line="240" w:lineRule="auto"/>
              <w:jc w:val="both"/>
              <w:rPr>
                <w:rFonts w:ascii="Arial" w:eastAsia="Arial" w:hAnsi="Arial" w:cs="Arial"/>
                <w:color w:val="000000"/>
                <w:sz w:val="18"/>
                <w:szCs w:val="18"/>
              </w:rPr>
            </w:pPr>
          </w:p>
          <w:p w14:paraId="0092317A" w14:textId="77777777" w:rsidR="001C7E6F" w:rsidRDefault="001C7E6F" w:rsidP="00BD3046">
            <w:pPr>
              <w:spacing w:after="0" w:line="240" w:lineRule="auto"/>
              <w:jc w:val="both"/>
              <w:rPr>
                <w:rFonts w:ascii="Arial" w:eastAsia="Arial" w:hAnsi="Arial" w:cs="Arial"/>
                <w:color w:val="000000"/>
                <w:sz w:val="18"/>
                <w:szCs w:val="18"/>
              </w:rPr>
            </w:pPr>
            <w:r w:rsidRPr="004F08C1">
              <w:rPr>
                <w:rFonts w:ascii="Arial" w:eastAsia="Arial" w:hAnsi="Arial" w:cs="Arial"/>
                <w:color w:val="000000"/>
                <w:sz w:val="18"/>
                <w:szCs w:val="18"/>
              </w:rPr>
              <w:t>O FECP</w:t>
            </w:r>
            <w:r>
              <w:rPr>
                <w:rFonts w:ascii="Arial" w:eastAsia="Arial" w:hAnsi="Arial" w:cs="Arial"/>
                <w:color w:val="000000"/>
                <w:sz w:val="18"/>
                <w:szCs w:val="18"/>
              </w:rPr>
              <w:t>-RJ</w:t>
            </w:r>
            <w:r w:rsidRPr="004F08C1">
              <w:rPr>
                <w:rFonts w:ascii="Arial" w:eastAsia="Arial" w:hAnsi="Arial" w:cs="Arial"/>
                <w:color w:val="000000"/>
                <w:sz w:val="18"/>
                <w:szCs w:val="18"/>
              </w:rPr>
              <w:t xml:space="preserve"> foi instituído originalmente em 200</w:t>
            </w:r>
            <w:r>
              <w:rPr>
                <w:rFonts w:ascii="Arial" w:eastAsia="Arial" w:hAnsi="Arial" w:cs="Arial"/>
                <w:color w:val="000000"/>
                <w:sz w:val="18"/>
                <w:szCs w:val="18"/>
              </w:rPr>
              <w:t xml:space="preserve">2 pela Lei Estadual nº 4.056/02. </w:t>
            </w:r>
            <w:r w:rsidRPr="004F08C1">
              <w:rPr>
                <w:rFonts w:ascii="Arial" w:eastAsia="Arial" w:hAnsi="Arial" w:cs="Arial"/>
                <w:color w:val="000000"/>
                <w:sz w:val="18"/>
                <w:szCs w:val="18"/>
              </w:rPr>
              <w:t>Originalmente, sua vigência era temporária, sendo prorrogada sucessivamente. Em 2023, o Fundo foi reinstituído com caráter permanente</w:t>
            </w:r>
            <w:r>
              <w:rPr>
                <w:rFonts w:ascii="Arial" w:eastAsia="Arial" w:hAnsi="Arial" w:cs="Arial"/>
                <w:color w:val="000000"/>
                <w:sz w:val="18"/>
                <w:szCs w:val="18"/>
              </w:rPr>
              <w:t>. Assim, h</w:t>
            </w:r>
            <w:r w:rsidRPr="004F08C1">
              <w:rPr>
                <w:rFonts w:ascii="Arial" w:eastAsia="Arial" w:hAnsi="Arial" w:cs="Arial"/>
                <w:color w:val="000000"/>
                <w:sz w:val="18"/>
                <w:szCs w:val="18"/>
              </w:rPr>
              <w:t>ouve mudanças significativas na estrutura normativa, espec</w:t>
            </w:r>
            <w:r>
              <w:rPr>
                <w:rFonts w:ascii="Arial" w:eastAsia="Arial" w:hAnsi="Arial" w:cs="Arial"/>
                <w:color w:val="000000"/>
                <w:sz w:val="18"/>
                <w:szCs w:val="18"/>
              </w:rPr>
              <w:t xml:space="preserve">ialmente nos últimos cinco anos. </w:t>
            </w:r>
          </w:p>
          <w:p w14:paraId="0380BACA" w14:textId="77777777" w:rsidR="001C7E6F" w:rsidRDefault="001C7E6F" w:rsidP="00BD3046">
            <w:pPr>
              <w:spacing w:after="0" w:line="240" w:lineRule="auto"/>
              <w:jc w:val="both"/>
              <w:rPr>
                <w:rFonts w:ascii="Arial" w:eastAsia="Arial" w:hAnsi="Arial" w:cs="Arial"/>
                <w:color w:val="000000"/>
                <w:sz w:val="18"/>
                <w:szCs w:val="18"/>
              </w:rPr>
            </w:pPr>
          </w:p>
          <w:p w14:paraId="7C8A83F7" w14:textId="77777777" w:rsidR="001C7E6F" w:rsidRDefault="001C7E6F" w:rsidP="00BD3046">
            <w:pPr>
              <w:spacing w:after="0" w:line="240" w:lineRule="auto"/>
              <w:jc w:val="both"/>
              <w:rPr>
                <w:rFonts w:ascii="Arial" w:eastAsia="Arial" w:hAnsi="Arial" w:cs="Arial"/>
                <w:color w:val="000000"/>
                <w:sz w:val="18"/>
                <w:szCs w:val="18"/>
              </w:rPr>
            </w:pPr>
            <w:r w:rsidRPr="004F08C1">
              <w:rPr>
                <w:rFonts w:ascii="Arial" w:eastAsia="Arial" w:hAnsi="Arial" w:cs="Arial"/>
                <w:color w:val="000000"/>
                <w:sz w:val="18"/>
                <w:szCs w:val="18"/>
              </w:rPr>
              <w:t xml:space="preserve">A lei original havia sido alterada repetidamente em 2003, 2007, 2010, 2013, 2015, 2018 e 2019. Em seu último ano de vigência, a lei contava com 27 parágrafos e 35 incisos, mencionando iniciativas que muitas vezes já não existiam. </w:t>
            </w:r>
          </w:p>
          <w:p w14:paraId="68F582FD" w14:textId="77777777" w:rsidR="001C7E6F" w:rsidRPr="004F08C1" w:rsidRDefault="001C7E6F" w:rsidP="00BD3046">
            <w:pPr>
              <w:spacing w:after="0" w:line="240" w:lineRule="auto"/>
              <w:jc w:val="both"/>
              <w:rPr>
                <w:rFonts w:ascii="Arial" w:eastAsia="Arial" w:hAnsi="Arial" w:cs="Arial"/>
                <w:color w:val="000000"/>
                <w:sz w:val="18"/>
                <w:szCs w:val="18"/>
              </w:rPr>
            </w:pPr>
          </w:p>
          <w:p w14:paraId="2DAEFFD9" w14:textId="77777777" w:rsidR="001C7E6F" w:rsidRDefault="001C7E6F" w:rsidP="00BD3046">
            <w:pPr>
              <w:spacing w:after="0" w:line="240" w:lineRule="auto"/>
              <w:jc w:val="both"/>
              <w:rPr>
                <w:rFonts w:ascii="Arial" w:eastAsia="Arial" w:hAnsi="Arial" w:cs="Arial"/>
                <w:color w:val="000000"/>
                <w:sz w:val="18"/>
                <w:szCs w:val="18"/>
              </w:rPr>
            </w:pPr>
            <w:r w:rsidRPr="004F08C1">
              <w:rPr>
                <w:rFonts w:ascii="Arial" w:eastAsia="Arial" w:hAnsi="Arial" w:cs="Arial"/>
                <w:color w:val="000000"/>
                <w:sz w:val="18"/>
                <w:szCs w:val="18"/>
              </w:rPr>
              <w:t>A LC nº 210/2023 criou (ou reinstituiu) o Conselho Gestor para deliberar sobre a alocação dos recursos. Além disso, estabeleceu vedações rigorosas ao remanejamento, transposição ou transferência de recursos do Fundo para finalidade diversa da proposta, ainda que prevista na Lei Orçamentária Anual.</w:t>
            </w:r>
          </w:p>
          <w:p w14:paraId="2D99FCCD" w14:textId="77777777" w:rsidR="001C7E6F" w:rsidRDefault="001C7E6F" w:rsidP="00BD3046">
            <w:pPr>
              <w:spacing w:after="0" w:line="240" w:lineRule="auto"/>
              <w:jc w:val="both"/>
              <w:rPr>
                <w:rFonts w:ascii="Arial" w:eastAsia="Arial" w:hAnsi="Arial" w:cs="Arial"/>
                <w:color w:val="000000"/>
                <w:sz w:val="18"/>
                <w:szCs w:val="18"/>
              </w:rPr>
            </w:pPr>
          </w:p>
          <w:p w14:paraId="07841D91" w14:textId="77777777" w:rsidR="001C7E6F" w:rsidRPr="004F08C1" w:rsidRDefault="001C7E6F" w:rsidP="00BD3046">
            <w:pPr>
              <w:spacing w:after="0" w:line="240" w:lineRule="auto"/>
              <w:jc w:val="both"/>
              <w:rPr>
                <w:rFonts w:ascii="Arial" w:eastAsia="Arial" w:hAnsi="Arial" w:cs="Arial"/>
                <w:color w:val="000000"/>
                <w:sz w:val="18"/>
                <w:szCs w:val="18"/>
              </w:rPr>
            </w:pPr>
            <w:r w:rsidRPr="004F08C1">
              <w:rPr>
                <w:rFonts w:ascii="Arial" w:eastAsia="Arial" w:hAnsi="Arial" w:cs="Arial"/>
                <w:color w:val="000000"/>
                <w:sz w:val="18"/>
                <w:szCs w:val="18"/>
              </w:rPr>
              <w:t>Art. 3º Os recursos do Fundo Estadual de Combate à Pobreza e às Desigualdades Sociais deverão ser aplicados em iniciativas que beneficiem prioritariamente pessoas e grupos em situação de vulnerabilidade social, contribuindo para a mitigação e superação da pobreza e das desigualdades sociais:</w:t>
            </w:r>
          </w:p>
          <w:p w14:paraId="726EF606" w14:textId="77777777" w:rsidR="001C7E6F" w:rsidRPr="004F08C1" w:rsidRDefault="001C7E6F" w:rsidP="00BD3046">
            <w:pPr>
              <w:spacing w:after="0" w:line="240" w:lineRule="auto"/>
              <w:jc w:val="both"/>
              <w:rPr>
                <w:rFonts w:ascii="Arial" w:eastAsia="Arial" w:hAnsi="Arial" w:cs="Arial"/>
                <w:color w:val="000000"/>
                <w:sz w:val="18"/>
                <w:szCs w:val="18"/>
              </w:rPr>
            </w:pPr>
            <w:r w:rsidRPr="004F08C1">
              <w:rPr>
                <w:rFonts w:ascii="Arial" w:eastAsia="Arial" w:hAnsi="Arial" w:cs="Arial"/>
                <w:color w:val="000000"/>
                <w:sz w:val="18"/>
                <w:szCs w:val="18"/>
              </w:rPr>
              <w:t xml:space="preserve">[...] </w:t>
            </w:r>
          </w:p>
          <w:p w14:paraId="25E146C8" w14:textId="77777777" w:rsidR="001C7E6F" w:rsidRPr="004F08C1" w:rsidRDefault="001C7E6F" w:rsidP="00BD3046">
            <w:pPr>
              <w:spacing w:after="0" w:line="240" w:lineRule="auto"/>
              <w:jc w:val="both"/>
              <w:rPr>
                <w:rFonts w:ascii="Arial" w:eastAsia="Arial" w:hAnsi="Arial" w:cs="Arial"/>
                <w:color w:val="000000"/>
                <w:sz w:val="18"/>
                <w:szCs w:val="18"/>
              </w:rPr>
            </w:pPr>
            <w:r w:rsidRPr="004F08C1">
              <w:rPr>
                <w:rFonts w:ascii="Arial" w:eastAsia="Arial" w:hAnsi="Arial" w:cs="Arial"/>
                <w:color w:val="000000"/>
                <w:sz w:val="18"/>
                <w:szCs w:val="18"/>
              </w:rPr>
              <w:t>§ 7º Ficam vedados o remanejamento, a transposição ou a transferência de recursos deste fundo para finalidade diversa da proposta, ainda que prevista na Lei Orçamentária Anual.</w:t>
            </w:r>
          </w:p>
          <w:p w14:paraId="4E653136" w14:textId="77777777" w:rsidR="001C7E6F" w:rsidRPr="004F08C1" w:rsidRDefault="001C7E6F" w:rsidP="00BD3046">
            <w:pPr>
              <w:spacing w:after="0" w:line="240" w:lineRule="auto"/>
              <w:jc w:val="both"/>
              <w:rPr>
                <w:rFonts w:ascii="Arial" w:eastAsia="Arial" w:hAnsi="Arial" w:cs="Arial"/>
                <w:color w:val="000000"/>
                <w:sz w:val="18"/>
                <w:szCs w:val="18"/>
              </w:rPr>
            </w:pPr>
            <w:r w:rsidRPr="004F08C1">
              <w:rPr>
                <w:rFonts w:ascii="Arial" w:eastAsia="Arial" w:hAnsi="Arial" w:cs="Arial"/>
                <w:color w:val="000000"/>
                <w:sz w:val="18"/>
                <w:szCs w:val="18"/>
              </w:rPr>
              <w:t>§ 8º Qualquer alteração que implique na aplicação e vinculação de recursos do FECP de forma não prevista nesta lei deverá ser objeto de lei específica.</w:t>
            </w:r>
          </w:p>
          <w:p w14:paraId="1B1DB432" w14:textId="77777777" w:rsidR="001C7E6F" w:rsidRDefault="001C7E6F" w:rsidP="00BD3046">
            <w:pPr>
              <w:spacing w:after="0" w:line="240" w:lineRule="auto"/>
              <w:jc w:val="both"/>
              <w:rPr>
                <w:rFonts w:ascii="Arial" w:eastAsia="Arial" w:hAnsi="Arial" w:cs="Arial"/>
                <w:color w:val="000000"/>
                <w:sz w:val="18"/>
                <w:szCs w:val="18"/>
              </w:rPr>
            </w:pPr>
          </w:p>
          <w:p w14:paraId="5D9691E4" w14:textId="77777777" w:rsidR="001C7E6F" w:rsidRPr="00B54DA6"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No entanto, a</w:t>
            </w:r>
            <w:r w:rsidRPr="00B54DA6">
              <w:rPr>
                <w:rFonts w:ascii="Arial" w:eastAsia="Arial" w:hAnsi="Arial" w:cs="Arial"/>
                <w:color w:val="000000"/>
                <w:sz w:val="18"/>
                <w:szCs w:val="18"/>
              </w:rPr>
              <w:t xml:space="preserve"> inadequação e a falta de fidedignidade na mensuração das dotações na LOA são problemas sistemáticos identificados, afetando a execução do planejamento, incluindo, potencialmente, as ações do FECP</w:t>
            </w:r>
            <w:r>
              <w:rPr>
                <w:rFonts w:ascii="Arial" w:eastAsia="Arial" w:hAnsi="Arial" w:cs="Arial"/>
                <w:color w:val="000000"/>
                <w:sz w:val="18"/>
                <w:szCs w:val="18"/>
              </w:rPr>
              <w:t xml:space="preserve">-RJ. </w:t>
            </w:r>
            <w:r w:rsidRPr="00B54DA6">
              <w:rPr>
                <w:rFonts w:ascii="Arial" w:eastAsia="Arial" w:hAnsi="Arial" w:cs="Arial"/>
                <w:color w:val="000000"/>
                <w:sz w:val="18"/>
                <w:szCs w:val="18"/>
              </w:rPr>
              <w:t xml:space="preserve">Auditorias constataram que as </w:t>
            </w:r>
            <w:r w:rsidRPr="00B54DA6">
              <w:rPr>
                <w:rFonts w:ascii="Arial" w:eastAsia="Arial" w:hAnsi="Arial" w:cs="Arial"/>
                <w:color w:val="000000"/>
                <w:sz w:val="18"/>
                <w:szCs w:val="18"/>
              </w:rPr>
              <w:lastRenderedPageBreak/>
              <w:t>dotações aprovadas não estavam coerentes com os montantes necessários à execução dos planejamentos das unidades, sendo significativamente inferiores aos demandados.</w:t>
            </w:r>
          </w:p>
          <w:p w14:paraId="7467CCB7" w14:textId="77777777" w:rsidR="001C7E6F" w:rsidRDefault="001C7E6F" w:rsidP="00BD3046">
            <w:pPr>
              <w:spacing w:after="0" w:line="240" w:lineRule="auto"/>
              <w:jc w:val="both"/>
              <w:rPr>
                <w:rFonts w:ascii="Arial" w:eastAsia="Arial" w:hAnsi="Arial" w:cs="Arial"/>
                <w:color w:val="000000"/>
                <w:sz w:val="18"/>
                <w:szCs w:val="18"/>
              </w:rPr>
            </w:pPr>
            <w:r w:rsidRPr="00B54DA6">
              <w:rPr>
                <w:rFonts w:ascii="Arial" w:eastAsia="Arial" w:hAnsi="Arial" w:cs="Arial"/>
                <w:color w:val="000000"/>
                <w:sz w:val="18"/>
                <w:szCs w:val="18"/>
              </w:rPr>
              <w:t>O TCE-RJ emitiu Determinações para que a Secretaria de Estado de Fazenda e a Secretaria de Estado de Planejamento e Gestão (SEPLAG) regulamentem procedimentos para a adequada mensuração das dotações na LOA, visando representar de forma fidedigna os recursos necessários para subsidiar as necessidades das unidades orçamentárias</w:t>
            </w:r>
            <w:r>
              <w:rPr>
                <w:rFonts w:ascii="Arial" w:eastAsia="Arial" w:hAnsi="Arial" w:cs="Arial"/>
                <w:color w:val="000000"/>
                <w:sz w:val="18"/>
                <w:szCs w:val="18"/>
              </w:rPr>
              <w:t>.</w:t>
            </w:r>
          </w:p>
          <w:p w14:paraId="4D25701B" w14:textId="77777777" w:rsidR="001C7E6F" w:rsidRDefault="001C7E6F" w:rsidP="00BD3046">
            <w:pPr>
              <w:spacing w:after="0" w:line="240" w:lineRule="auto"/>
              <w:rPr>
                <w:rFonts w:ascii="Arial" w:eastAsia="Arial" w:hAnsi="Arial" w:cs="Arial"/>
                <w:color w:val="000000"/>
                <w:sz w:val="18"/>
                <w:szCs w:val="18"/>
              </w:rPr>
            </w:pPr>
          </w:p>
        </w:tc>
      </w:tr>
      <w:tr w:rsidR="001C7E6F" w14:paraId="70B19649" w14:textId="77777777" w:rsidTr="00BD3046">
        <w:trPr>
          <w:trHeight w:val="20"/>
        </w:trPr>
        <w:tc>
          <w:tcPr>
            <w:tcW w:w="0" w:type="auto"/>
            <w:shd w:val="clear" w:color="auto" w:fill="auto"/>
            <w:vAlign w:val="center"/>
          </w:tcPr>
          <w:p w14:paraId="39924503"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2.10 Revisão e correção de metas</w:t>
            </w:r>
          </w:p>
        </w:tc>
        <w:tc>
          <w:tcPr>
            <w:tcW w:w="0" w:type="auto"/>
            <w:shd w:val="clear" w:color="auto" w:fill="auto"/>
            <w:vAlign w:val="center"/>
          </w:tcPr>
          <w:p w14:paraId="3B6E4667"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Incorporação do PDCA na gestão dos recursos do Fundo. Monitora e ajusta os planos (PA e PAF) diante de desafios.</w:t>
            </w:r>
          </w:p>
          <w:p w14:paraId="108FADBF" w14:textId="77777777" w:rsidR="001C7E6F" w:rsidRDefault="001C7E6F" w:rsidP="00BD3046">
            <w:pPr>
              <w:spacing w:after="0" w:line="240" w:lineRule="auto"/>
              <w:rPr>
                <w:rFonts w:ascii="Arial" w:eastAsia="Arial" w:hAnsi="Arial" w:cs="Arial"/>
                <w:color w:val="000000"/>
                <w:sz w:val="18"/>
                <w:szCs w:val="18"/>
              </w:rPr>
            </w:pPr>
          </w:p>
          <w:p w14:paraId="73092112"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As fontes não evidenciam tais informações.</w:t>
            </w:r>
          </w:p>
          <w:p w14:paraId="4046A195" w14:textId="77777777" w:rsidR="001C7E6F" w:rsidRDefault="001C7E6F" w:rsidP="00BD3046">
            <w:pPr>
              <w:spacing w:after="0" w:line="240" w:lineRule="auto"/>
              <w:rPr>
                <w:rFonts w:ascii="Arial" w:eastAsia="Arial" w:hAnsi="Arial" w:cs="Arial"/>
                <w:color w:val="000000"/>
                <w:sz w:val="18"/>
                <w:szCs w:val="18"/>
              </w:rPr>
            </w:pPr>
          </w:p>
        </w:tc>
      </w:tr>
      <w:tr w:rsidR="001C7E6F" w14:paraId="13CC8F64" w14:textId="77777777" w:rsidTr="00BD3046">
        <w:trPr>
          <w:trHeight w:val="20"/>
        </w:trPr>
        <w:tc>
          <w:tcPr>
            <w:tcW w:w="0" w:type="auto"/>
            <w:shd w:val="clear" w:color="auto" w:fill="auto"/>
            <w:vAlign w:val="center"/>
          </w:tcPr>
          <w:p w14:paraId="67DF6175"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2.11 Participação social no planejamento</w:t>
            </w:r>
          </w:p>
        </w:tc>
        <w:tc>
          <w:tcPr>
            <w:tcW w:w="0" w:type="auto"/>
            <w:shd w:val="clear" w:color="auto" w:fill="auto"/>
            <w:vAlign w:val="center"/>
          </w:tcPr>
          <w:p w14:paraId="7FAAB7EA" w14:textId="77777777" w:rsidR="001C7E6F" w:rsidRDefault="001C7E6F" w:rsidP="00BD3046">
            <w:pPr>
              <w:spacing w:after="0" w:line="240" w:lineRule="auto"/>
              <w:rPr>
                <w:rFonts w:ascii="Arial" w:eastAsia="Arial" w:hAnsi="Arial" w:cs="Arial"/>
                <w:color w:val="000000"/>
                <w:sz w:val="18"/>
                <w:szCs w:val="18"/>
              </w:rPr>
            </w:pPr>
            <w:r w:rsidRPr="007953EF">
              <w:rPr>
                <w:rFonts w:ascii="Arial" w:eastAsia="Arial" w:hAnsi="Arial" w:cs="Arial"/>
                <w:i/>
                <w:color w:val="000000"/>
                <w:sz w:val="18"/>
                <w:szCs w:val="18"/>
              </w:rPr>
              <w:t>Participação ex ante. Avalia se sociedade ou o Conselho interveio antes da alocação dos recursos, definindo prioridades, metas, PA ou PAF e critérios objetivos de aplicação. O foco está na representatividade paritária, influência efetiva, tempestividade e rastreabilidade (atas, deliberações, calendário de reuniões, versões comparadas dos planos etc.). Realização de audiências</w:t>
            </w:r>
            <w:r>
              <w:rPr>
                <w:rFonts w:ascii="Arial" w:eastAsia="Arial" w:hAnsi="Arial" w:cs="Arial"/>
                <w:color w:val="000000"/>
                <w:sz w:val="18"/>
                <w:szCs w:val="18"/>
              </w:rPr>
              <w:t xml:space="preserve"> </w:t>
            </w:r>
            <w:r w:rsidRPr="007953EF">
              <w:rPr>
                <w:rFonts w:ascii="Arial" w:eastAsia="Arial" w:hAnsi="Arial" w:cs="Arial"/>
                <w:i/>
                <w:color w:val="000000"/>
                <w:sz w:val="18"/>
                <w:szCs w:val="18"/>
              </w:rPr>
              <w:t>públicas ou consultas sobre prioridades custeadas. A sociedade decide “o quê” e “por quê”.</w:t>
            </w:r>
          </w:p>
          <w:p w14:paraId="535E9A39" w14:textId="77777777" w:rsidR="001C7E6F" w:rsidRDefault="001C7E6F" w:rsidP="00BD3046">
            <w:pPr>
              <w:spacing w:after="0" w:line="240" w:lineRule="auto"/>
              <w:rPr>
                <w:rFonts w:ascii="Arial" w:eastAsia="Arial" w:hAnsi="Arial" w:cs="Arial"/>
                <w:color w:val="000000"/>
                <w:sz w:val="18"/>
                <w:szCs w:val="18"/>
              </w:rPr>
            </w:pPr>
          </w:p>
          <w:p w14:paraId="6F4F4D41" w14:textId="77777777" w:rsidR="001C7E6F" w:rsidRDefault="001C7E6F" w:rsidP="00BD3046">
            <w:pPr>
              <w:spacing w:after="0" w:line="240" w:lineRule="auto"/>
              <w:jc w:val="both"/>
              <w:rPr>
                <w:rFonts w:ascii="Arial" w:eastAsia="Arial" w:hAnsi="Arial" w:cs="Arial"/>
                <w:color w:val="000000"/>
                <w:sz w:val="18"/>
                <w:szCs w:val="18"/>
              </w:rPr>
            </w:pPr>
            <w:r w:rsidRPr="004F08C1">
              <w:rPr>
                <w:rFonts w:ascii="Arial" w:eastAsia="Arial" w:hAnsi="Arial" w:cs="Arial"/>
                <w:color w:val="000000"/>
                <w:sz w:val="18"/>
                <w:szCs w:val="18"/>
              </w:rPr>
              <w:t xml:space="preserve">A participação ex ante (anterior à alocação) da sociedade e do </w:t>
            </w:r>
            <w:r>
              <w:rPr>
                <w:rFonts w:ascii="Arial" w:eastAsia="Arial" w:hAnsi="Arial" w:cs="Arial"/>
                <w:color w:val="000000"/>
                <w:sz w:val="18"/>
                <w:szCs w:val="18"/>
              </w:rPr>
              <w:t>CGF</w:t>
            </w:r>
            <w:r w:rsidRPr="004F08C1">
              <w:rPr>
                <w:rFonts w:ascii="Arial" w:eastAsia="Arial" w:hAnsi="Arial" w:cs="Arial"/>
                <w:color w:val="000000"/>
                <w:sz w:val="18"/>
                <w:szCs w:val="18"/>
              </w:rPr>
              <w:t xml:space="preserve"> na definição das prioridades do FECP</w:t>
            </w:r>
            <w:r>
              <w:rPr>
                <w:rFonts w:ascii="Arial" w:eastAsia="Arial" w:hAnsi="Arial" w:cs="Arial"/>
                <w:color w:val="000000"/>
                <w:sz w:val="18"/>
                <w:szCs w:val="18"/>
              </w:rPr>
              <w:t>-RJ</w:t>
            </w:r>
            <w:r w:rsidRPr="004F08C1">
              <w:rPr>
                <w:rFonts w:ascii="Arial" w:eastAsia="Arial" w:hAnsi="Arial" w:cs="Arial"/>
                <w:color w:val="000000"/>
                <w:sz w:val="18"/>
                <w:szCs w:val="18"/>
              </w:rPr>
              <w:t xml:space="preserve"> é requisito legal, embora a estrutura de governança apresente falhas na representatividade e na transparência para o pleno exercício do controle social.</w:t>
            </w:r>
          </w:p>
          <w:p w14:paraId="50539A91" w14:textId="77777777" w:rsidR="001C7E6F" w:rsidRDefault="001C7E6F" w:rsidP="00BD3046">
            <w:pPr>
              <w:spacing w:after="0" w:line="240" w:lineRule="auto"/>
              <w:jc w:val="both"/>
              <w:rPr>
                <w:rFonts w:ascii="Arial" w:eastAsia="Arial" w:hAnsi="Arial" w:cs="Arial"/>
                <w:color w:val="000000"/>
                <w:sz w:val="18"/>
                <w:szCs w:val="18"/>
              </w:rPr>
            </w:pPr>
          </w:p>
          <w:p w14:paraId="325D9281" w14:textId="77777777" w:rsidR="001C7E6F" w:rsidRDefault="001C7E6F" w:rsidP="00BD3046">
            <w:pPr>
              <w:spacing w:after="0" w:line="240" w:lineRule="auto"/>
              <w:jc w:val="both"/>
              <w:rPr>
                <w:rFonts w:ascii="Arial" w:eastAsia="Arial" w:hAnsi="Arial" w:cs="Arial"/>
                <w:color w:val="000000"/>
                <w:sz w:val="18"/>
                <w:szCs w:val="18"/>
              </w:rPr>
            </w:pPr>
            <w:r w:rsidRPr="004F08C1">
              <w:rPr>
                <w:rFonts w:ascii="Arial" w:eastAsia="Arial" w:hAnsi="Arial" w:cs="Arial"/>
                <w:color w:val="000000"/>
                <w:sz w:val="18"/>
                <w:szCs w:val="18"/>
              </w:rPr>
              <w:t>O CGF deve deliberar sobre a alocação dos recursos. Essa deliberação deve estar em consonância com as diretrizes do Plano Estratégico de Desenvolvimento Econômico e Social e o Plano Plurianual</w:t>
            </w:r>
            <w:r>
              <w:rPr>
                <w:rFonts w:ascii="Arial" w:eastAsia="Arial" w:hAnsi="Arial" w:cs="Arial"/>
                <w:color w:val="000000"/>
                <w:sz w:val="18"/>
                <w:szCs w:val="18"/>
              </w:rPr>
              <w:t xml:space="preserve">, com base nas </w:t>
            </w:r>
            <w:r w:rsidRPr="004F08C1">
              <w:rPr>
                <w:rFonts w:ascii="Arial" w:eastAsia="Arial" w:hAnsi="Arial" w:cs="Arial"/>
                <w:color w:val="000000"/>
                <w:sz w:val="18"/>
                <w:szCs w:val="18"/>
              </w:rPr>
              <w:t>nove áreas</w:t>
            </w:r>
            <w:r>
              <w:rPr>
                <w:rFonts w:ascii="Arial" w:eastAsia="Arial" w:hAnsi="Arial" w:cs="Arial"/>
                <w:color w:val="000000"/>
                <w:sz w:val="18"/>
                <w:szCs w:val="18"/>
              </w:rPr>
              <w:t xml:space="preserve"> de resultado.</w:t>
            </w:r>
          </w:p>
          <w:p w14:paraId="4ACA32EF" w14:textId="77777777" w:rsidR="001C7E6F" w:rsidRDefault="001C7E6F" w:rsidP="00BD3046">
            <w:pPr>
              <w:spacing w:after="0" w:line="240" w:lineRule="auto"/>
              <w:jc w:val="both"/>
              <w:rPr>
                <w:rFonts w:ascii="Arial" w:eastAsia="Arial" w:hAnsi="Arial" w:cs="Arial"/>
                <w:color w:val="000000"/>
                <w:sz w:val="18"/>
                <w:szCs w:val="18"/>
              </w:rPr>
            </w:pPr>
          </w:p>
          <w:p w14:paraId="4A10CD05" w14:textId="77777777" w:rsidR="001C7E6F" w:rsidRDefault="001C7E6F" w:rsidP="00BD3046">
            <w:pPr>
              <w:spacing w:after="0" w:line="240" w:lineRule="auto"/>
              <w:jc w:val="both"/>
              <w:rPr>
                <w:rFonts w:ascii="Arial" w:eastAsia="Arial" w:hAnsi="Arial" w:cs="Arial"/>
                <w:color w:val="000000"/>
                <w:sz w:val="18"/>
                <w:szCs w:val="18"/>
              </w:rPr>
            </w:pPr>
            <w:r w:rsidRPr="005F5007">
              <w:rPr>
                <w:rFonts w:ascii="Arial" w:eastAsia="Arial" w:hAnsi="Arial" w:cs="Arial"/>
                <w:color w:val="000000"/>
                <w:sz w:val="18"/>
                <w:szCs w:val="18"/>
              </w:rPr>
              <w:t xml:space="preserve">O Regimento Interno do Conselho Gestor é delegado ao Secretário de Estado de Planejamento e Gestão. O Regimento Interno anterior (Decreto nº 33.124/2003) previa que os Conselheiros deviam participar das discussões, sugerir normas e procedimentos, e que cópia das Atas das reuniões realizadas </w:t>
            </w:r>
            <w:r>
              <w:rPr>
                <w:rFonts w:ascii="Arial" w:eastAsia="Arial" w:hAnsi="Arial" w:cs="Arial"/>
                <w:color w:val="000000"/>
                <w:sz w:val="18"/>
                <w:szCs w:val="18"/>
              </w:rPr>
              <w:t>fosse</w:t>
            </w:r>
            <w:r w:rsidRPr="005F5007">
              <w:rPr>
                <w:rFonts w:ascii="Arial" w:eastAsia="Arial" w:hAnsi="Arial" w:cs="Arial"/>
                <w:color w:val="000000"/>
                <w:sz w:val="18"/>
                <w:szCs w:val="18"/>
              </w:rPr>
              <w:t xml:space="preserve"> encaminhada à Secretaria de Estado de Finanças. Contudo, a efetiva rastreabilidade e tempestividade dos documentos (atas, calendário) sob o novo decreto (2024) dependerão do Regimento Interno </w:t>
            </w:r>
            <w:r>
              <w:rPr>
                <w:rFonts w:ascii="Arial" w:eastAsia="Arial" w:hAnsi="Arial" w:cs="Arial"/>
                <w:color w:val="000000"/>
                <w:sz w:val="18"/>
                <w:szCs w:val="18"/>
              </w:rPr>
              <w:t>ainda não</w:t>
            </w:r>
            <w:r w:rsidRPr="005F5007">
              <w:rPr>
                <w:rFonts w:ascii="Arial" w:eastAsia="Arial" w:hAnsi="Arial" w:cs="Arial"/>
                <w:color w:val="000000"/>
                <w:sz w:val="18"/>
                <w:szCs w:val="18"/>
              </w:rPr>
              <w:t xml:space="preserve"> editado.</w:t>
            </w:r>
          </w:p>
          <w:p w14:paraId="01961CA0" w14:textId="77777777" w:rsidR="001C7E6F" w:rsidRDefault="001C7E6F" w:rsidP="00BD3046">
            <w:pPr>
              <w:spacing w:after="0" w:line="240" w:lineRule="auto"/>
              <w:jc w:val="both"/>
              <w:rPr>
                <w:rFonts w:ascii="Arial" w:eastAsia="Arial" w:hAnsi="Arial" w:cs="Arial"/>
                <w:color w:val="000000"/>
                <w:sz w:val="18"/>
                <w:szCs w:val="18"/>
              </w:rPr>
            </w:pPr>
          </w:p>
          <w:p w14:paraId="76D4D780"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Sobre essa questão, a</w:t>
            </w:r>
            <w:r w:rsidRPr="005F5007">
              <w:rPr>
                <w:rFonts w:ascii="Arial" w:eastAsia="Arial" w:hAnsi="Arial" w:cs="Arial"/>
                <w:color w:val="000000"/>
                <w:sz w:val="18"/>
                <w:szCs w:val="18"/>
              </w:rPr>
              <w:t>pesar da obrigatoriedade legal de transparência, o acesso aos dados de execução orçamentária do FECP</w:t>
            </w:r>
            <w:r>
              <w:rPr>
                <w:rFonts w:ascii="Arial" w:eastAsia="Arial" w:hAnsi="Arial" w:cs="Arial"/>
                <w:color w:val="000000"/>
                <w:sz w:val="18"/>
                <w:szCs w:val="18"/>
              </w:rPr>
              <w:t>-RJ</w:t>
            </w:r>
            <w:r w:rsidRPr="005F5007">
              <w:rPr>
                <w:rFonts w:ascii="Arial" w:eastAsia="Arial" w:hAnsi="Arial" w:cs="Arial"/>
                <w:color w:val="000000"/>
                <w:sz w:val="18"/>
                <w:szCs w:val="18"/>
              </w:rPr>
              <w:t xml:space="preserve"> foi relatado</w:t>
            </w:r>
            <w:r>
              <w:rPr>
                <w:rStyle w:val="Refdenotaderodap"/>
                <w:rFonts w:ascii="Arial" w:eastAsia="Arial" w:hAnsi="Arial" w:cs="Arial"/>
                <w:color w:val="000000"/>
                <w:sz w:val="18"/>
                <w:szCs w:val="18"/>
              </w:rPr>
              <w:footnoteReference w:id="19"/>
            </w:r>
            <w:r w:rsidRPr="005F5007">
              <w:rPr>
                <w:rFonts w:ascii="Arial" w:eastAsia="Arial" w:hAnsi="Arial" w:cs="Arial"/>
                <w:color w:val="000000"/>
                <w:sz w:val="18"/>
                <w:szCs w:val="18"/>
              </w:rPr>
              <w:t xml:space="preserve"> como uma dificuldade pelo Conselho Estadual de Segurança Alimentar e Nutricional (Consea), o que prejudica a capacidade da sociedade de exercer o controle social efetivo e tempestivo sobre as prioridades definidas </w:t>
            </w:r>
            <w:r w:rsidRPr="005F5007">
              <w:rPr>
                <w:rFonts w:ascii="Arial" w:eastAsia="Arial" w:hAnsi="Arial" w:cs="Arial"/>
                <w:i/>
                <w:color w:val="000000"/>
                <w:sz w:val="18"/>
                <w:szCs w:val="18"/>
              </w:rPr>
              <w:t>ex ante</w:t>
            </w:r>
            <w:r w:rsidRPr="005F5007">
              <w:rPr>
                <w:rFonts w:ascii="Arial" w:eastAsia="Arial" w:hAnsi="Arial" w:cs="Arial"/>
                <w:color w:val="000000"/>
                <w:sz w:val="18"/>
                <w:szCs w:val="18"/>
              </w:rPr>
              <w:t>.</w:t>
            </w:r>
          </w:p>
          <w:p w14:paraId="5E5C3E3D" w14:textId="77777777" w:rsidR="001C7E6F" w:rsidRDefault="001C7E6F" w:rsidP="00BD3046">
            <w:pPr>
              <w:spacing w:after="0" w:line="240" w:lineRule="auto"/>
              <w:rPr>
                <w:rFonts w:ascii="Arial" w:eastAsia="Arial" w:hAnsi="Arial" w:cs="Arial"/>
                <w:color w:val="000000"/>
                <w:sz w:val="18"/>
                <w:szCs w:val="18"/>
              </w:rPr>
            </w:pPr>
          </w:p>
        </w:tc>
      </w:tr>
      <w:tr w:rsidR="001C7E6F" w14:paraId="27F2D4FC" w14:textId="77777777" w:rsidTr="00BD3046">
        <w:trPr>
          <w:trHeight w:val="20"/>
        </w:trPr>
        <w:tc>
          <w:tcPr>
            <w:tcW w:w="0" w:type="auto"/>
            <w:shd w:val="clear" w:color="auto" w:fill="auto"/>
            <w:vAlign w:val="center"/>
          </w:tcPr>
          <w:p w14:paraId="29A5B204"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2.12 Histórico de Políticas Públicas custeadas pelo Fundo</w:t>
            </w:r>
          </w:p>
        </w:tc>
        <w:tc>
          <w:tcPr>
            <w:tcW w:w="0" w:type="auto"/>
            <w:shd w:val="clear" w:color="auto" w:fill="auto"/>
            <w:vAlign w:val="center"/>
          </w:tcPr>
          <w:p w14:paraId="54AB1041" w14:textId="77777777" w:rsidR="001C7E6F" w:rsidRPr="007953EF" w:rsidRDefault="001C7E6F" w:rsidP="00BD3046">
            <w:pPr>
              <w:spacing w:after="0" w:line="240" w:lineRule="auto"/>
              <w:rPr>
                <w:rFonts w:ascii="Arial" w:eastAsia="Arial" w:hAnsi="Arial" w:cs="Arial"/>
                <w:i/>
                <w:color w:val="000000"/>
                <w:sz w:val="18"/>
                <w:szCs w:val="18"/>
              </w:rPr>
            </w:pPr>
            <w:r w:rsidRPr="007953EF">
              <w:rPr>
                <w:rFonts w:ascii="Arial" w:eastAsia="Arial" w:hAnsi="Arial" w:cs="Arial"/>
                <w:i/>
                <w:color w:val="000000"/>
                <w:sz w:val="18"/>
                <w:szCs w:val="18"/>
              </w:rPr>
              <w:t>Registr</w:t>
            </w:r>
            <w:r w:rsidRPr="007953EF">
              <w:rPr>
                <w:rFonts w:ascii="Arial" w:eastAsia="Arial" w:hAnsi="Arial" w:cs="Arial"/>
                <w:i/>
                <w:sz w:val="18"/>
                <w:szCs w:val="18"/>
              </w:rPr>
              <w:t>os</w:t>
            </w:r>
            <w:r w:rsidRPr="007953EF">
              <w:rPr>
                <w:rFonts w:ascii="Arial" w:eastAsia="Arial" w:hAnsi="Arial" w:cs="Arial"/>
                <w:i/>
                <w:color w:val="000000"/>
                <w:sz w:val="18"/>
                <w:szCs w:val="18"/>
              </w:rPr>
              <w:t xml:space="preserve"> do que funcionou (eficácia), quanto financiou (eficiência) e para quem chegou (equidade), gerando lições para calibrar o PA e o PAF, as metas e os critérios de alocação. </w:t>
            </w:r>
          </w:p>
          <w:p w14:paraId="419B6E6C" w14:textId="77777777" w:rsidR="001C7E6F" w:rsidRDefault="001C7E6F" w:rsidP="00BD3046">
            <w:pPr>
              <w:spacing w:after="0" w:line="240" w:lineRule="auto"/>
              <w:rPr>
                <w:rFonts w:ascii="Arial" w:eastAsia="Arial" w:hAnsi="Arial" w:cs="Arial"/>
                <w:color w:val="000000"/>
                <w:sz w:val="18"/>
                <w:szCs w:val="18"/>
              </w:rPr>
            </w:pPr>
          </w:p>
          <w:p w14:paraId="02E7F2CA" w14:textId="77777777" w:rsidR="001C7E6F" w:rsidRDefault="001C7E6F" w:rsidP="00BD3046">
            <w:pPr>
              <w:spacing w:after="0" w:line="240" w:lineRule="auto"/>
              <w:jc w:val="both"/>
              <w:rPr>
                <w:rFonts w:ascii="Arial" w:eastAsia="Arial" w:hAnsi="Arial" w:cs="Arial"/>
                <w:color w:val="000000"/>
                <w:sz w:val="18"/>
                <w:szCs w:val="18"/>
              </w:rPr>
            </w:pPr>
            <w:r w:rsidRPr="00F0268B">
              <w:rPr>
                <w:rFonts w:ascii="Arial" w:eastAsia="Arial" w:hAnsi="Arial" w:cs="Arial"/>
                <w:color w:val="000000"/>
                <w:sz w:val="18"/>
                <w:szCs w:val="18"/>
              </w:rPr>
              <w:t>A eficácia, que se refere ao grau de atingimento dos resultados previstos, é monitorada por meio de indicadores de resultado e pela avaliação da efetividade das ações.</w:t>
            </w:r>
            <w:r>
              <w:rPr>
                <w:rFonts w:ascii="Arial" w:eastAsia="Arial" w:hAnsi="Arial" w:cs="Arial"/>
                <w:color w:val="000000"/>
                <w:sz w:val="18"/>
                <w:szCs w:val="18"/>
              </w:rPr>
              <w:t xml:space="preserve"> </w:t>
            </w:r>
            <w:r w:rsidRPr="00F0268B">
              <w:rPr>
                <w:rFonts w:ascii="Arial" w:eastAsia="Arial" w:hAnsi="Arial" w:cs="Arial"/>
                <w:color w:val="000000"/>
                <w:sz w:val="18"/>
                <w:szCs w:val="18"/>
              </w:rPr>
              <w:t xml:space="preserve">As iniciativas que recebem recursos do </w:t>
            </w:r>
            <w:r>
              <w:rPr>
                <w:rFonts w:ascii="Arial" w:eastAsia="Arial" w:hAnsi="Arial" w:cs="Arial"/>
                <w:color w:val="000000"/>
                <w:sz w:val="18"/>
                <w:szCs w:val="18"/>
              </w:rPr>
              <w:t>Fundo</w:t>
            </w:r>
            <w:r w:rsidRPr="00F0268B">
              <w:rPr>
                <w:rFonts w:ascii="Arial" w:eastAsia="Arial" w:hAnsi="Arial" w:cs="Arial"/>
                <w:color w:val="000000"/>
                <w:sz w:val="18"/>
                <w:szCs w:val="18"/>
              </w:rPr>
              <w:t xml:space="preserve"> devem, obrigatoriamente, definir indicadores de resultado pertinentes, com linha de base e </w:t>
            </w:r>
            <w:r>
              <w:rPr>
                <w:rFonts w:ascii="Arial" w:eastAsia="Arial" w:hAnsi="Arial" w:cs="Arial"/>
                <w:color w:val="000000"/>
                <w:sz w:val="18"/>
                <w:szCs w:val="18"/>
              </w:rPr>
              <w:t>meta no Plano Plurianual</w:t>
            </w:r>
            <w:r w:rsidRPr="00F0268B">
              <w:rPr>
                <w:rFonts w:ascii="Arial" w:eastAsia="Arial" w:hAnsi="Arial" w:cs="Arial"/>
                <w:color w:val="000000"/>
                <w:sz w:val="18"/>
                <w:szCs w:val="18"/>
              </w:rPr>
              <w:t>. Esses indicadores medem o grau de atingimento dos resultados das iniciativas</w:t>
            </w:r>
            <w:r>
              <w:rPr>
                <w:rFonts w:ascii="Arial" w:eastAsia="Arial" w:hAnsi="Arial" w:cs="Arial"/>
                <w:color w:val="000000"/>
                <w:sz w:val="18"/>
                <w:szCs w:val="18"/>
              </w:rPr>
              <w:t>.</w:t>
            </w:r>
          </w:p>
          <w:p w14:paraId="1759E2C9" w14:textId="77777777" w:rsidR="001C7E6F" w:rsidRDefault="001C7E6F" w:rsidP="00BD3046">
            <w:pPr>
              <w:spacing w:after="0" w:line="240" w:lineRule="auto"/>
              <w:jc w:val="both"/>
              <w:rPr>
                <w:rFonts w:ascii="Arial" w:eastAsia="Arial" w:hAnsi="Arial" w:cs="Arial"/>
                <w:color w:val="000000"/>
                <w:sz w:val="18"/>
                <w:szCs w:val="18"/>
              </w:rPr>
            </w:pPr>
          </w:p>
          <w:p w14:paraId="6E5E03B9" w14:textId="77777777" w:rsidR="001C7E6F" w:rsidRDefault="001C7E6F" w:rsidP="00BD3046">
            <w:pPr>
              <w:spacing w:after="0" w:line="240" w:lineRule="auto"/>
              <w:jc w:val="both"/>
              <w:rPr>
                <w:rFonts w:ascii="Arial" w:eastAsia="Arial" w:hAnsi="Arial" w:cs="Arial"/>
                <w:color w:val="000000"/>
                <w:sz w:val="18"/>
                <w:szCs w:val="18"/>
              </w:rPr>
            </w:pPr>
            <w:r w:rsidRPr="00F0268B">
              <w:rPr>
                <w:rFonts w:ascii="Arial" w:eastAsia="Arial" w:hAnsi="Arial" w:cs="Arial"/>
                <w:color w:val="000000"/>
                <w:sz w:val="18"/>
                <w:szCs w:val="18"/>
              </w:rPr>
              <w:t xml:space="preserve">Os relatórios de acompanhamento </w:t>
            </w:r>
            <w:r>
              <w:rPr>
                <w:rFonts w:ascii="Arial" w:eastAsia="Arial" w:hAnsi="Arial" w:cs="Arial"/>
                <w:color w:val="000000"/>
                <w:sz w:val="18"/>
                <w:szCs w:val="18"/>
              </w:rPr>
              <w:t xml:space="preserve">das ações </w:t>
            </w:r>
            <w:r w:rsidRPr="00F0268B">
              <w:rPr>
                <w:rFonts w:ascii="Arial" w:eastAsia="Arial" w:hAnsi="Arial" w:cs="Arial"/>
                <w:color w:val="000000"/>
                <w:sz w:val="18"/>
                <w:szCs w:val="18"/>
              </w:rPr>
              <w:t xml:space="preserve">do PPA, extraídos do Sistema de Inteligência em Planejamento e Gestão (SIPLAG), mostram a </w:t>
            </w:r>
            <w:r>
              <w:rPr>
                <w:rFonts w:ascii="Arial" w:eastAsia="Arial" w:hAnsi="Arial" w:cs="Arial"/>
                <w:color w:val="000000"/>
                <w:sz w:val="18"/>
                <w:szCs w:val="18"/>
              </w:rPr>
              <w:t>“m</w:t>
            </w:r>
            <w:r w:rsidRPr="00F0268B">
              <w:rPr>
                <w:rFonts w:ascii="Arial" w:eastAsia="Arial" w:hAnsi="Arial" w:cs="Arial"/>
                <w:color w:val="000000"/>
                <w:sz w:val="18"/>
                <w:szCs w:val="18"/>
              </w:rPr>
              <w:t xml:space="preserve">eta </w:t>
            </w:r>
            <w:r>
              <w:rPr>
                <w:rFonts w:ascii="Arial" w:eastAsia="Arial" w:hAnsi="Arial" w:cs="Arial"/>
                <w:color w:val="000000"/>
                <w:sz w:val="18"/>
                <w:szCs w:val="18"/>
              </w:rPr>
              <w:t>r</w:t>
            </w:r>
            <w:r w:rsidRPr="00F0268B">
              <w:rPr>
                <w:rFonts w:ascii="Arial" w:eastAsia="Arial" w:hAnsi="Arial" w:cs="Arial"/>
                <w:color w:val="000000"/>
                <w:sz w:val="18"/>
                <w:szCs w:val="18"/>
              </w:rPr>
              <w:t>ealizada</w:t>
            </w:r>
            <w:r>
              <w:rPr>
                <w:rFonts w:ascii="Arial" w:eastAsia="Arial" w:hAnsi="Arial" w:cs="Arial"/>
                <w:color w:val="000000"/>
                <w:sz w:val="18"/>
                <w:szCs w:val="18"/>
              </w:rPr>
              <w:t>”</w:t>
            </w:r>
            <w:r w:rsidRPr="00F0268B">
              <w:rPr>
                <w:rFonts w:ascii="Arial" w:eastAsia="Arial" w:hAnsi="Arial" w:cs="Arial"/>
                <w:color w:val="000000"/>
                <w:sz w:val="18"/>
                <w:szCs w:val="18"/>
              </w:rPr>
              <w:t xml:space="preserve"> em comparação com a </w:t>
            </w:r>
            <w:r>
              <w:rPr>
                <w:rFonts w:ascii="Arial" w:eastAsia="Arial" w:hAnsi="Arial" w:cs="Arial"/>
                <w:color w:val="000000"/>
                <w:sz w:val="18"/>
                <w:szCs w:val="18"/>
              </w:rPr>
              <w:t>“m</w:t>
            </w:r>
            <w:r w:rsidRPr="00F0268B">
              <w:rPr>
                <w:rFonts w:ascii="Arial" w:eastAsia="Arial" w:hAnsi="Arial" w:cs="Arial"/>
                <w:color w:val="000000"/>
                <w:sz w:val="18"/>
                <w:szCs w:val="18"/>
              </w:rPr>
              <w:t xml:space="preserve">eta </w:t>
            </w:r>
            <w:r>
              <w:rPr>
                <w:rFonts w:ascii="Arial" w:eastAsia="Arial" w:hAnsi="Arial" w:cs="Arial"/>
                <w:color w:val="000000"/>
                <w:sz w:val="18"/>
                <w:szCs w:val="18"/>
              </w:rPr>
              <w:t>a</w:t>
            </w:r>
            <w:r w:rsidRPr="00F0268B">
              <w:rPr>
                <w:rFonts w:ascii="Arial" w:eastAsia="Arial" w:hAnsi="Arial" w:cs="Arial"/>
                <w:color w:val="000000"/>
                <w:sz w:val="18"/>
                <w:szCs w:val="18"/>
              </w:rPr>
              <w:t>dequada</w:t>
            </w:r>
            <w:r>
              <w:rPr>
                <w:rFonts w:ascii="Arial" w:eastAsia="Arial" w:hAnsi="Arial" w:cs="Arial"/>
                <w:color w:val="000000"/>
                <w:sz w:val="18"/>
                <w:szCs w:val="18"/>
              </w:rPr>
              <w:t>”</w:t>
            </w:r>
            <w:r w:rsidRPr="00F0268B">
              <w:rPr>
                <w:rFonts w:ascii="Arial" w:eastAsia="Arial" w:hAnsi="Arial" w:cs="Arial"/>
                <w:color w:val="000000"/>
                <w:sz w:val="18"/>
                <w:szCs w:val="18"/>
              </w:rPr>
              <w:t>, avaliando a execução física dos produtos</w:t>
            </w:r>
            <w:r>
              <w:rPr>
                <w:rFonts w:ascii="Arial" w:eastAsia="Arial" w:hAnsi="Arial" w:cs="Arial"/>
                <w:color w:val="000000"/>
                <w:sz w:val="18"/>
                <w:szCs w:val="18"/>
              </w:rPr>
              <w:t xml:space="preserve">, além de consolidarem </w:t>
            </w:r>
            <w:r w:rsidRPr="00F0268B">
              <w:rPr>
                <w:rFonts w:ascii="Arial" w:eastAsia="Arial" w:hAnsi="Arial" w:cs="Arial"/>
                <w:color w:val="000000"/>
                <w:sz w:val="18"/>
                <w:szCs w:val="18"/>
              </w:rPr>
              <w:t>a execução físico</w:t>
            </w:r>
            <w:r>
              <w:rPr>
                <w:rFonts w:ascii="Arial" w:eastAsia="Arial" w:hAnsi="Arial" w:cs="Arial"/>
                <w:color w:val="000000"/>
                <w:sz w:val="18"/>
                <w:szCs w:val="18"/>
              </w:rPr>
              <w:t xml:space="preserve">-financeira e </w:t>
            </w:r>
            <w:r w:rsidRPr="00F0268B">
              <w:rPr>
                <w:rFonts w:ascii="Arial" w:eastAsia="Arial" w:hAnsi="Arial" w:cs="Arial"/>
                <w:color w:val="000000"/>
                <w:sz w:val="18"/>
                <w:szCs w:val="18"/>
              </w:rPr>
              <w:t>os resultados mensurados a partir dos Indicadores</w:t>
            </w:r>
            <w:r>
              <w:rPr>
                <w:rFonts w:ascii="Arial" w:eastAsia="Arial" w:hAnsi="Arial" w:cs="Arial"/>
                <w:color w:val="000000"/>
                <w:sz w:val="18"/>
                <w:szCs w:val="18"/>
              </w:rPr>
              <w:t xml:space="preserve"> iniciais. </w:t>
            </w:r>
            <w:r w:rsidRPr="00F0268B">
              <w:rPr>
                <w:rFonts w:ascii="Arial" w:eastAsia="Arial" w:hAnsi="Arial" w:cs="Arial"/>
                <w:color w:val="000000"/>
                <w:sz w:val="18"/>
                <w:szCs w:val="18"/>
              </w:rPr>
              <w:t xml:space="preserve">O relatório </w:t>
            </w:r>
            <w:r>
              <w:rPr>
                <w:rFonts w:ascii="Arial" w:eastAsia="Arial" w:hAnsi="Arial" w:cs="Arial"/>
                <w:color w:val="000000"/>
                <w:sz w:val="18"/>
                <w:szCs w:val="18"/>
              </w:rPr>
              <w:t>é</w:t>
            </w:r>
            <w:r w:rsidRPr="00F0268B">
              <w:rPr>
                <w:rFonts w:ascii="Arial" w:eastAsia="Arial" w:hAnsi="Arial" w:cs="Arial"/>
                <w:color w:val="000000"/>
                <w:sz w:val="18"/>
                <w:szCs w:val="18"/>
              </w:rPr>
              <w:t xml:space="preserve"> elaborado com base nas informações fornecidas pelos órgãos setoriais</w:t>
            </w:r>
            <w:r>
              <w:rPr>
                <w:rFonts w:ascii="Arial" w:eastAsia="Arial" w:hAnsi="Arial" w:cs="Arial"/>
                <w:color w:val="000000"/>
                <w:sz w:val="18"/>
                <w:szCs w:val="18"/>
              </w:rPr>
              <w:t xml:space="preserve"> </w:t>
            </w:r>
            <w:r w:rsidRPr="00F0268B">
              <w:rPr>
                <w:rFonts w:ascii="Arial" w:eastAsia="Arial" w:hAnsi="Arial" w:cs="Arial"/>
                <w:color w:val="000000"/>
                <w:sz w:val="18"/>
                <w:szCs w:val="18"/>
              </w:rPr>
              <w:t>do governo, denominadas Unidades de Planejamento (UP), que registraram, no âmbito de</w:t>
            </w:r>
            <w:r>
              <w:rPr>
                <w:rFonts w:ascii="Arial" w:eastAsia="Arial" w:hAnsi="Arial" w:cs="Arial"/>
                <w:color w:val="000000"/>
                <w:sz w:val="18"/>
                <w:szCs w:val="18"/>
              </w:rPr>
              <w:t xml:space="preserve"> </w:t>
            </w:r>
            <w:r w:rsidRPr="00F0268B">
              <w:rPr>
                <w:rFonts w:ascii="Arial" w:eastAsia="Arial" w:hAnsi="Arial" w:cs="Arial"/>
                <w:color w:val="000000"/>
                <w:sz w:val="18"/>
                <w:szCs w:val="18"/>
              </w:rPr>
              <w:t>cada produto, as quantidades realizadas e sua posição, permitindo identificar produtos</w:t>
            </w:r>
            <w:r>
              <w:rPr>
                <w:rFonts w:ascii="Arial" w:eastAsia="Arial" w:hAnsi="Arial" w:cs="Arial"/>
                <w:color w:val="000000"/>
                <w:sz w:val="18"/>
                <w:szCs w:val="18"/>
              </w:rPr>
              <w:t xml:space="preserve"> </w:t>
            </w:r>
            <w:r w:rsidRPr="00F0268B">
              <w:rPr>
                <w:rFonts w:ascii="Arial" w:eastAsia="Arial" w:hAnsi="Arial" w:cs="Arial"/>
                <w:color w:val="000000"/>
                <w:sz w:val="18"/>
                <w:szCs w:val="18"/>
              </w:rPr>
              <w:t>concluídos e em andamento</w:t>
            </w:r>
            <w:r>
              <w:rPr>
                <w:rFonts w:ascii="Arial" w:eastAsia="Arial" w:hAnsi="Arial" w:cs="Arial"/>
                <w:color w:val="000000"/>
                <w:sz w:val="18"/>
                <w:szCs w:val="18"/>
              </w:rPr>
              <w:t>.</w:t>
            </w:r>
          </w:p>
          <w:p w14:paraId="27C1C4B9" w14:textId="77777777" w:rsidR="001C7E6F" w:rsidRDefault="001C7E6F" w:rsidP="00BD3046">
            <w:pPr>
              <w:spacing w:after="0" w:line="240" w:lineRule="auto"/>
              <w:jc w:val="both"/>
              <w:rPr>
                <w:rFonts w:ascii="Arial" w:eastAsia="Arial" w:hAnsi="Arial" w:cs="Arial"/>
                <w:color w:val="000000"/>
                <w:sz w:val="18"/>
                <w:szCs w:val="18"/>
              </w:rPr>
            </w:pPr>
          </w:p>
          <w:p w14:paraId="4FA4B211"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O que se observa é que </w:t>
            </w:r>
            <w:r w:rsidRPr="0052275F">
              <w:rPr>
                <w:rFonts w:ascii="Arial" w:eastAsia="Arial" w:hAnsi="Arial" w:cs="Arial"/>
                <w:color w:val="000000"/>
                <w:sz w:val="18"/>
                <w:szCs w:val="18"/>
              </w:rPr>
              <w:t>o Estado possui um ciclo formal de gestão que visa garantir que os dados sobre o desempenho (eficácia, eficiência e equidade) do FECP</w:t>
            </w:r>
            <w:r>
              <w:rPr>
                <w:rFonts w:ascii="Arial" w:eastAsia="Arial" w:hAnsi="Arial" w:cs="Arial"/>
                <w:color w:val="000000"/>
                <w:sz w:val="18"/>
                <w:szCs w:val="18"/>
              </w:rPr>
              <w:t>-RJ</w:t>
            </w:r>
            <w:r w:rsidRPr="0052275F">
              <w:rPr>
                <w:rFonts w:ascii="Arial" w:eastAsia="Arial" w:hAnsi="Arial" w:cs="Arial"/>
                <w:color w:val="000000"/>
                <w:sz w:val="18"/>
                <w:szCs w:val="18"/>
              </w:rPr>
              <w:t xml:space="preserve"> gerem lições aprendidas para o aprimoramento contínuo dos critérios de alocação de recursos e das metas.</w:t>
            </w:r>
          </w:p>
          <w:p w14:paraId="7C500D3D" w14:textId="77777777" w:rsidR="001C7E6F" w:rsidRDefault="001C7E6F" w:rsidP="00BD3046">
            <w:pPr>
              <w:spacing w:after="0" w:line="240" w:lineRule="auto"/>
              <w:jc w:val="both"/>
              <w:rPr>
                <w:rFonts w:ascii="Arial" w:eastAsia="Arial" w:hAnsi="Arial" w:cs="Arial"/>
                <w:color w:val="000000"/>
                <w:sz w:val="18"/>
                <w:szCs w:val="18"/>
              </w:rPr>
            </w:pPr>
          </w:p>
          <w:p w14:paraId="2618DFE9"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No geral, os recursos do FECP-RJ foram autorizados para os seguintes Programas de Governo:</w:t>
            </w:r>
          </w:p>
          <w:p w14:paraId="2352C623" w14:textId="77777777" w:rsidR="001C7E6F" w:rsidRDefault="001C7E6F" w:rsidP="00BD3046">
            <w:pPr>
              <w:spacing w:after="0" w:line="240" w:lineRule="auto"/>
              <w:jc w:val="both"/>
              <w:rPr>
                <w:rFonts w:ascii="Arial" w:eastAsia="Arial" w:hAnsi="Arial" w:cs="Arial"/>
                <w:color w:val="000000"/>
                <w:sz w:val="18"/>
                <w:szCs w:val="18"/>
              </w:rPr>
            </w:pPr>
          </w:p>
          <w:p w14:paraId="3987F40C" w14:textId="77777777" w:rsidR="001C7E6F" w:rsidRDefault="001C7E6F" w:rsidP="00BD3046">
            <w:pPr>
              <w:spacing w:after="0" w:line="240" w:lineRule="auto"/>
              <w:jc w:val="both"/>
              <w:rPr>
                <w:rFonts w:ascii="Arial" w:eastAsia="Arial" w:hAnsi="Arial" w:cs="Arial"/>
                <w:color w:val="000000"/>
                <w:sz w:val="18"/>
                <w:szCs w:val="18"/>
              </w:rPr>
            </w:pPr>
          </w:p>
          <w:tbl>
            <w:tblPr>
              <w:tblW w:w="4847"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384"/>
              <w:gridCol w:w="1937"/>
              <w:gridCol w:w="853"/>
              <w:gridCol w:w="943"/>
              <w:gridCol w:w="1065"/>
              <w:gridCol w:w="952"/>
              <w:gridCol w:w="683"/>
            </w:tblGrid>
            <w:tr w:rsidR="001C7E6F" w:rsidRPr="00B20FE6" w14:paraId="59DAFBAA" w14:textId="77777777" w:rsidTr="00BD3046">
              <w:trPr>
                <w:trHeight w:val="20"/>
              </w:trPr>
              <w:tc>
                <w:tcPr>
                  <w:tcW w:w="281" w:type="pct"/>
                  <w:shd w:val="clear" w:color="auto" w:fill="auto"/>
                  <w:vAlign w:val="center"/>
                  <w:hideMark/>
                </w:tcPr>
                <w:p w14:paraId="2FAA4734" w14:textId="77777777" w:rsidR="001C7E6F" w:rsidRPr="00B20FE6" w:rsidRDefault="001C7E6F" w:rsidP="00BD3046">
                  <w:pPr>
                    <w:spacing w:after="0" w:line="240" w:lineRule="auto"/>
                    <w:jc w:val="center"/>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Ano</w:t>
                  </w:r>
                </w:p>
              </w:tc>
              <w:tc>
                <w:tcPr>
                  <w:tcW w:w="1420" w:type="pct"/>
                  <w:shd w:val="clear" w:color="auto" w:fill="auto"/>
                  <w:vAlign w:val="center"/>
                  <w:hideMark/>
                </w:tcPr>
                <w:p w14:paraId="327A5D60" w14:textId="77777777" w:rsidR="001C7E6F" w:rsidRPr="00B20FE6" w:rsidRDefault="001C7E6F" w:rsidP="00BD3046">
                  <w:pPr>
                    <w:spacing w:after="0" w:line="240" w:lineRule="auto"/>
                    <w:jc w:val="center"/>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Programa</w:t>
                  </w:r>
                </w:p>
              </w:tc>
              <w:tc>
                <w:tcPr>
                  <w:tcW w:w="626" w:type="pct"/>
                  <w:shd w:val="clear" w:color="auto" w:fill="auto"/>
                  <w:vAlign w:val="center"/>
                  <w:hideMark/>
                </w:tcPr>
                <w:p w14:paraId="1B5CEA4B" w14:textId="77777777" w:rsidR="001C7E6F" w:rsidRPr="00B20FE6" w:rsidRDefault="001C7E6F" w:rsidP="00BD3046">
                  <w:pPr>
                    <w:spacing w:after="0" w:line="240" w:lineRule="auto"/>
                    <w:jc w:val="center"/>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Dotação Inicial</w:t>
                  </w:r>
                </w:p>
              </w:tc>
              <w:tc>
                <w:tcPr>
                  <w:tcW w:w="692" w:type="pct"/>
                  <w:shd w:val="clear" w:color="auto" w:fill="auto"/>
                  <w:vAlign w:val="center"/>
                  <w:hideMark/>
                </w:tcPr>
                <w:p w14:paraId="5694FE7C" w14:textId="77777777" w:rsidR="001C7E6F" w:rsidRPr="00B20FE6" w:rsidRDefault="001C7E6F" w:rsidP="00BD3046">
                  <w:pPr>
                    <w:spacing w:after="0" w:line="240" w:lineRule="auto"/>
                    <w:jc w:val="center"/>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Dotação Atualizada</w:t>
                  </w:r>
                </w:p>
              </w:tc>
              <w:tc>
                <w:tcPr>
                  <w:tcW w:w="781" w:type="pct"/>
                  <w:shd w:val="clear" w:color="auto" w:fill="auto"/>
                  <w:vAlign w:val="center"/>
                  <w:hideMark/>
                </w:tcPr>
                <w:p w14:paraId="2CF3C094" w14:textId="77777777" w:rsidR="001C7E6F" w:rsidRPr="00B20FE6" w:rsidRDefault="001C7E6F" w:rsidP="00BD3046">
                  <w:pPr>
                    <w:spacing w:after="0" w:line="240" w:lineRule="auto"/>
                    <w:jc w:val="center"/>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Crédito Contingenciado</w:t>
                  </w:r>
                </w:p>
              </w:tc>
              <w:tc>
                <w:tcPr>
                  <w:tcW w:w="698" w:type="pct"/>
                  <w:shd w:val="clear" w:color="auto" w:fill="auto"/>
                  <w:vAlign w:val="center"/>
                  <w:hideMark/>
                </w:tcPr>
                <w:p w14:paraId="1E2FA5F7" w14:textId="77777777" w:rsidR="001C7E6F" w:rsidRPr="00B20FE6" w:rsidRDefault="001C7E6F" w:rsidP="00BD3046">
                  <w:pPr>
                    <w:spacing w:after="0" w:line="240" w:lineRule="auto"/>
                    <w:jc w:val="center"/>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Alteração</w:t>
                  </w:r>
                </w:p>
              </w:tc>
              <w:tc>
                <w:tcPr>
                  <w:tcW w:w="501" w:type="pct"/>
                  <w:shd w:val="clear" w:color="auto" w:fill="auto"/>
                  <w:vAlign w:val="center"/>
                  <w:hideMark/>
                </w:tcPr>
                <w:p w14:paraId="24FEB10D" w14:textId="77777777" w:rsidR="001C7E6F" w:rsidRPr="00B20FE6" w:rsidRDefault="001C7E6F" w:rsidP="00BD3046">
                  <w:pPr>
                    <w:spacing w:after="0" w:line="240" w:lineRule="auto"/>
                    <w:jc w:val="center"/>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 de Bloqueio</w:t>
                  </w:r>
                </w:p>
              </w:tc>
            </w:tr>
            <w:tr w:rsidR="001C7E6F" w:rsidRPr="00B20FE6" w14:paraId="28AD2EA8" w14:textId="77777777" w:rsidTr="00BD3046">
              <w:trPr>
                <w:trHeight w:val="20"/>
              </w:trPr>
              <w:tc>
                <w:tcPr>
                  <w:tcW w:w="281" w:type="pct"/>
                  <w:vMerge w:val="restart"/>
                  <w:shd w:val="clear" w:color="auto" w:fill="auto"/>
                  <w:hideMark/>
                </w:tcPr>
                <w:p w14:paraId="40F58E96"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2023</w:t>
                  </w:r>
                </w:p>
              </w:tc>
              <w:tc>
                <w:tcPr>
                  <w:tcW w:w="1420" w:type="pct"/>
                  <w:shd w:val="clear" w:color="auto" w:fill="auto"/>
                  <w:hideMark/>
                </w:tcPr>
                <w:p w14:paraId="276BE490"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0002 - Gestão Administrativa</w:t>
                  </w:r>
                </w:p>
              </w:tc>
              <w:tc>
                <w:tcPr>
                  <w:tcW w:w="626" w:type="pct"/>
                  <w:shd w:val="clear" w:color="auto" w:fill="auto"/>
                  <w:vAlign w:val="center"/>
                  <w:hideMark/>
                </w:tcPr>
                <w:p w14:paraId="712C3A8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1.381.191.874</w:t>
                  </w:r>
                </w:p>
              </w:tc>
              <w:tc>
                <w:tcPr>
                  <w:tcW w:w="692" w:type="pct"/>
                  <w:shd w:val="clear" w:color="auto" w:fill="auto"/>
                  <w:vAlign w:val="center"/>
                  <w:hideMark/>
                </w:tcPr>
                <w:p w14:paraId="48CD710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906.270.375</w:t>
                  </w:r>
                </w:p>
              </w:tc>
              <w:tc>
                <w:tcPr>
                  <w:tcW w:w="781" w:type="pct"/>
                  <w:shd w:val="clear" w:color="auto" w:fill="auto"/>
                  <w:vAlign w:val="center"/>
                  <w:hideMark/>
                </w:tcPr>
                <w:p w14:paraId="0C7617A7"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24.431.852</w:t>
                  </w:r>
                </w:p>
              </w:tc>
              <w:tc>
                <w:tcPr>
                  <w:tcW w:w="698" w:type="pct"/>
                  <w:shd w:val="clear" w:color="auto" w:fill="auto"/>
                  <w:vAlign w:val="bottom"/>
                  <w:hideMark/>
                </w:tcPr>
                <w:p w14:paraId="297609A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-474.921.499</w:t>
                  </w:r>
                </w:p>
              </w:tc>
              <w:tc>
                <w:tcPr>
                  <w:tcW w:w="501" w:type="pct"/>
                  <w:shd w:val="clear" w:color="auto" w:fill="auto"/>
                  <w:vAlign w:val="bottom"/>
                  <w:hideMark/>
                </w:tcPr>
                <w:p w14:paraId="305E31E7"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2,70%</w:t>
                  </w:r>
                </w:p>
              </w:tc>
            </w:tr>
            <w:tr w:rsidR="001C7E6F" w:rsidRPr="00B20FE6" w14:paraId="076BE414" w14:textId="77777777" w:rsidTr="00BD3046">
              <w:trPr>
                <w:trHeight w:val="20"/>
              </w:trPr>
              <w:tc>
                <w:tcPr>
                  <w:tcW w:w="281" w:type="pct"/>
                  <w:vMerge/>
                  <w:vAlign w:val="center"/>
                  <w:hideMark/>
                </w:tcPr>
                <w:p w14:paraId="16E39E4D"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353CBD73"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0461 - Atenção à Saúde</w:t>
                  </w:r>
                </w:p>
              </w:tc>
              <w:tc>
                <w:tcPr>
                  <w:tcW w:w="626" w:type="pct"/>
                  <w:shd w:val="clear" w:color="auto" w:fill="auto"/>
                  <w:vAlign w:val="center"/>
                  <w:hideMark/>
                </w:tcPr>
                <w:p w14:paraId="763CB79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41.231.372</w:t>
                  </w:r>
                </w:p>
              </w:tc>
              <w:tc>
                <w:tcPr>
                  <w:tcW w:w="692" w:type="pct"/>
                  <w:shd w:val="clear" w:color="auto" w:fill="auto"/>
                  <w:vAlign w:val="center"/>
                  <w:hideMark/>
                </w:tcPr>
                <w:p w14:paraId="125B513B"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284.161.330</w:t>
                  </w:r>
                </w:p>
              </w:tc>
              <w:tc>
                <w:tcPr>
                  <w:tcW w:w="781" w:type="pct"/>
                  <w:shd w:val="clear" w:color="auto" w:fill="auto"/>
                  <w:vAlign w:val="center"/>
                  <w:hideMark/>
                </w:tcPr>
                <w:p w14:paraId="5447FB3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411</w:t>
                  </w:r>
                </w:p>
              </w:tc>
              <w:tc>
                <w:tcPr>
                  <w:tcW w:w="698" w:type="pct"/>
                  <w:shd w:val="clear" w:color="auto" w:fill="auto"/>
                  <w:vAlign w:val="bottom"/>
                  <w:hideMark/>
                </w:tcPr>
                <w:p w14:paraId="687CF1A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242.929.958</w:t>
                  </w:r>
                </w:p>
              </w:tc>
              <w:tc>
                <w:tcPr>
                  <w:tcW w:w="501" w:type="pct"/>
                  <w:shd w:val="clear" w:color="auto" w:fill="auto"/>
                  <w:vAlign w:val="bottom"/>
                  <w:hideMark/>
                </w:tcPr>
                <w:p w14:paraId="1C4E6B02"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31E05CFD" w14:textId="77777777" w:rsidTr="00BD3046">
              <w:trPr>
                <w:trHeight w:val="20"/>
              </w:trPr>
              <w:tc>
                <w:tcPr>
                  <w:tcW w:w="281" w:type="pct"/>
                  <w:vMerge/>
                  <w:vAlign w:val="center"/>
                  <w:hideMark/>
                </w:tcPr>
                <w:p w14:paraId="51197728"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58FD1398"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0443 - Educação Básica</w:t>
                  </w:r>
                </w:p>
              </w:tc>
              <w:tc>
                <w:tcPr>
                  <w:tcW w:w="626" w:type="pct"/>
                  <w:shd w:val="clear" w:color="auto" w:fill="auto"/>
                  <w:vAlign w:val="center"/>
                  <w:hideMark/>
                </w:tcPr>
                <w:p w14:paraId="7FE594CB"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11.848.194</w:t>
                  </w:r>
                </w:p>
              </w:tc>
              <w:tc>
                <w:tcPr>
                  <w:tcW w:w="692" w:type="pct"/>
                  <w:shd w:val="clear" w:color="auto" w:fill="auto"/>
                  <w:vAlign w:val="center"/>
                  <w:hideMark/>
                </w:tcPr>
                <w:p w14:paraId="258A2323"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280.060.449</w:t>
                  </w:r>
                </w:p>
              </w:tc>
              <w:tc>
                <w:tcPr>
                  <w:tcW w:w="781" w:type="pct"/>
                  <w:shd w:val="clear" w:color="auto" w:fill="auto"/>
                  <w:vAlign w:val="center"/>
                  <w:hideMark/>
                </w:tcPr>
                <w:p w14:paraId="3F72C51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30FEDE5D"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268.212.255</w:t>
                  </w:r>
                </w:p>
              </w:tc>
              <w:tc>
                <w:tcPr>
                  <w:tcW w:w="501" w:type="pct"/>
                  <w:shd w:val="clear" w:color="auto" w:fill="auto"/>
                  <w:vAlign w:val="bottom"/>
                  <w:hideMark/>
                </w:tcPr>
                <w:p w14:paraId="3CA570AC"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25B2DBD4" w14:textId="77777777" w:rsidTr="00BD3046">
              <w:trPr>
                <w:trHeight w:val="20"/>
              </w:trPr>
              <w:tc>
                <w:tcPr>
                  <w:tcW w:w="281" w:type="pct"/>
                  <w:vMerge/>
                  <w:vAlign w:val="center"/>
                  <w:hideMark/>
                </w:tcPr>
                <w:p w14:paraId="075C1BF9"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73A9CC90"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0454 - Coordenação Federativa e Desenvolvimento Territorial</w:t>
                  </w:r>
                </w:p>
              </w:tc>
              <w:tc>
                <w:tcPr>
                  <w:tcW w:w="626" w:type="pct"/>
                  <w:shd w:val="clear" w:color="auto" w:fill="auto"/>
                  <w:vAlign w:val="center"/>
                  <w:hideMark/>
                </w:tcPr>
                <w:p w14:paraId="5419977D"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295.297.669</w:t>
                  </w:r>
                </w:p>
              </w:tc>
              <w:tc>
                <w:tcPr>
                  <w:tcW w:w="692" w:type="pct"/>
                  <w:shd w:val="clear" w:color="auto" w:fill="auto"/>
                  <w:vAlign w:val="center"/>
                  <w:hideMark/>
                </w:tcPr>
                <w:p w14:paraId="74D574E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276.529.595</w:t>
                  </w:r>
                </w:p>
              </w:tc>
              <w:tc>
                <w:tcPr>
                  <w:tcW w:w="781" w:type="pct"/>
                  <w:shd w:val="clear" w:color="auto" w:fill="auto"/>
                  <w:vAlign w:val="center"/>
                  <w:hideMark/>
                </w:tcPr>
                <w:p w14:paraId="3BF250E7"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5A16945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-18.768.074</w:t>
                  </w:r>
                </w:p>
              </w:tc>
              <w:tc>
                <w:tcPr>
                  <w:tcW w:w="501" w:type="pct"/>
                  <w:shd w:val="clear" w:color="auto" w:fill="auto"/>
                  <w:vAlign w:val="bottom"/>
                  <w:hideMark/>
                </w:tcPr>
                <w:p w14:paraId="2F45D96C"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35A08871" w14:textId="77777777" w:rsidTr="00BD3046">
              <w:trPr>
                <w:trHeight w:val="20"/>
              </w:trPr>
              <w:tc>
                <w:tcPr>
                  <w:tcW w:w="281" w:type="pct"/>
                  <w:vMerge/>
                  <w:vAlign w:val="center"/>
                  <w:hideMark/>
                </w:tcPr>
                <w:p w14:paraId="59A81474"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20258813"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0450 - Gestão do SUAS, Proteção Social e Redução da Pobreza</w:t>
                  </w:r>
                </w:p>
              </w:tc>
              <w:tc>
                <w:tcPr>
                  <w:tcW w:w="626" w:type="pct"/>
                  <w:shd w:val="clear" w:color="auto" w:fill="auto"/>
                  <w:vAlign w:val="center"/>
                  <w:hideMark/>
                </w:tcPr>
                <w:p w14:paraId="5AE203E3"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235.465.325</w:t>
                  </w:r>
                </w:p>
              </w:tc>
              <w:tc>
                <w:tcPr>
                  <w:tcW w:w="692" w:type="pct"/>
                  <w:shd w:val="clear" w:color="auto" w:fill="auto"/>
                  <w:vAlign w:val="center"/>
                  <w:hideMark/>
                </w:tcPr>
                <w:p w14:paraId="2BBC042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269.564.447</w:t>
                  </w:r>
                </w:p>
              </w:tc>
              <w:tc>
                <w:tcPr>
                  <w:tcW w:w="781" w:type="pct"/>
                  <w:shd w:val="clear" w:color="auto" w:fill="auto"/>
                  <w:vAlign w:val="center"/>
                  <w:hideMark/>
                </w:tcPr>
                <w:p w14:paraId="66F7A96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25.959.115</w:t>
                  </w:r>
                </w:p>
              </w:tc>
              <w:tc>
                <w:tcPr>
                  <w:tcW w:w="698" w:type="pct"/>
                  <w:shd w:val="clear" w:color="auto" w:fill="auto"/>
                  <w:vAlign w:val="bottom"/>
                  <w:hideMark/>
                </w:tcPr>
                <w:p w14:paraId="462AA37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34.099.122</w:t>
                  </w:r>
                </w:p>
              </w:tc>
              <w:tc>
                <w:tcPr>
                  <w:tcW w:w="501" w:type="pct"/>
                  <w:shd w:val="clear" w:color="auto" w:fill="auto"/>
                  <w:vAlign w:val="bottom"/>
                  <w:hideMark/>
                </w:tcPr>
                <w:p w14:paraId="6CCDFE45"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9,63%</w:t>
                  </w:r>
                </w:p>
              </w:tc>
            </w:tr>
            <w:tr w:rsidR="001C7E6F" w:rsidRPr="00B20FE6" w14:paraId="118BDD51" w14:textId="77777777" w:rsidTr="00BD3046">
              <w:trPr>
                <w:trHeight w:val="20"/>
              </w:trPr>
              <w:tc>
                <w:tcPr>
                  <w:tcW w:w="281" w:type="pct"/>
                  <w:vMerge/>
                  <w:vAlign w:val="center"/>
                  <w:hideMark/>
                </w:tcPr>
                <w:p w14:paraId="6A9F15C3"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7412DB50"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0469 - Mobilidade Urbana na Região Metropolitana</w:t>
                  </w:r>
                </w:p>
              </w:tc>
              <w:tc>
                <w:tcPr>
                  <w:tcW w:w="626" w:type="pct"/>
                  <w:shd w:val="clear" w:color="auto" w:fill="auto"/>
                  <w:vAlign w:val="center"/>
                  <w:hideMark/>
                </w:tcPr>
                <w:p w14:paraId="1274877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132.758.162</w:t>
                  </w:r>
                </w:p>
              </w:tc>
              <w:tc>
                <w:tcPr>
                  <w:tcW w:w="692" w:type="pct"/>
                  <w:shd w:val="clear" w:color="auto" w:fill="auto"/>
                  <w:vAlign w:val="center"/>
                  <w:hideMark/>
                </w:tcPr>
                <w:p w14:paraId="1B7DE6BB"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251.149.074</w:t>
                  </w:r>
                </w:p>
              </w:tc>
              <w:tc>
                <w:tcPr>
                  <w:tcW w:w="781" w:type="pct"/>
                  <w:shd w:val="clear" w:color="auto" w:fill="auto"/>
                  <w:vAlign w:val="center"/>
                  <w:hideMark/>
                </w:tcPr>
                <w:p w14:paraId="4809492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274775D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118.390.912</w:t>
                  </w:r>
                </w:p>
              </w:tc>
              <w:tc>
                <w:tcPr>
                  <w:tcW w:w="501" w:type="pct"/>
                  <w:shd w:val="clear" w:color="auto" w:fill="auto"/>
                  <w:vAlign w:val="bottom"/>
                  <w:hideMark/>
                </w:tcPr>
                <w:p w14:paraId="7B80A6CC"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0CB76506" w14:textId="77777777" w:rsidTr="00BD3046">
              <w:trPr>
                <w:trHeight w:val="20"/>
              </w:trPr>
              <w:tc>
                <w:tcPr>
                  <w:tcW w:w="281" w:type="pct"/>
                  <w:vMerge/>
                  <w:vAlign w:val="center"/>
                  <w:hideMark/>
                </w:tcPr>
                <w:p w14:paraId="3DB633FC"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11F50FEF"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0098 - Prevenção de Adversidades e Prestação de Socorro pela Defesa Civil e CBMERJ</w:t>
                  </w:r>
                </w:p>
              </w:tc>
              <w:tc>
                <w:tcPr>
                  <w:tcW w:w="626" w:type="pct"/>
                  <w:shd w:val="clear" w:color="auto" w:fill="auto"/>
                  <w:vAlign w:val="center"/>
                  <w:hideMark/>
                </w:tcPr>
                <w:p w14:paraId="0170FEF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196.514.670</w:t>
                  </w:r>
                </w:p>
              </w:tc>
              <w:tc>
                <w:tcPr>
                  <w:tcW w:w="692" w:type="pct"/>
                  <w:shd w:val="clear" w:color="auto" w:fill="auto"/>
                  <w:vAlign w:val="center"/>
                  <w:hideMark/>
                </w:tcPr>
                <w:p w14:paraId="66F1497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178.585.113</w:t>
                  </w:r>
                </w:p>
              </w:tc>
              <w:tc>
                <w:tcPr>
                  <w:tcW w:w="781" w:type="pct"/>
                  <w:shd w:val="clear" w:color="auto" w:fill="auto"/>
                  <w:vAlign w:val="center"/>
                  <w:hideMark/>
                </w:tcPr>
                <w:p w14:paraId="519BC22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5F75384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-17.929.557</w:t>
                  </w:r>
                </w:p>
              </w:tc>
              <w:tc>
                <w:tcPr>
                  <w:tcW w:w="501" w:type="pct"/>
                  <w:shd w:val="clear" w:color="auto" w:fill="auto"/>
                  <w:vAlign w:val="bottom"/>
                  <w:hideMark/>
                </w:tcPr>
                <w:p w14:paraId="2EFBCB6A"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595492B2" w14:textId="77777777" w:rsidTr="00BD3046">
              <w:trPr>
                <w:trHeight w:val="20"/>
              </w:trPr>
              <w:tc>
                <w:tcPr>
                  <w:tcW w:w="281" w:type="pct"/>
                  <w:vMerge/>
                  <w:vAlign w:val="center"/>
                  <w:hideMark/>
                </w:tcPr>
                <w:p w14:paraId="72AB3D8A"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2E64D756"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0467 - Segurança Alimentar e Nutricional</w:t>
                  </w:r>
                </w:p>
              </w:tc>
              <w:tc>
                <w:tcPr>
                  <w:tcW w:w="626" w:type="pct"/>
                  <w:shd w:val="clear" w:color="auto" w:fill="auto"/>
                  <w:vAlign w:val="center"/>
                  <w:hideMark/>
                </w:tcPr>
                <w:p w14:paraId="6DA5CFFD"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92.602.476</w:t>
                  </w:r>
                </w:p>
              </w:tc>
              <w:tc>
                <w:tcPr>
                  <w:tcW w:w="692" w:type="pct"/>
                  <w:shd w:val="clear" w:color="auto" w:fill="auto"/>
                  <w:vAlign w:val="center"/>
                  <w:hideMark/>
                </w:tcPr>
                <w:p w14:paraId="0D28FD4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123.401.354</w:t>
                  </w:r>
                </w:p>
              </w:tc>
              <w:tc>
                <w:tcPr>
                  <w:tcW w:w="781" w:type="pct"/>
                  <w:shd w:val="clear" w:color="auto" w:fill="auto"/>
                  <w:vAlign w:val="center"/>
                  <w:hideMark/>
                </w:tcPr>
                <w:p w14:paraId="78890A5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38.974.219</w:t>
                  </w:r>
                </w:p>
              </w:tc>
              <w:tc>
                <w:tcPr>
                  <w:tcW w:w="698" w:type="pct"/>
                  <w:shd w:val="clear" w:color="auto" w:fill="auto"/>
                  <w:vAlign w:val="bottom"/>
                  <w:hideMark/>
                </w:tcPr>
                <w:p w14:paraId="3C5DC5DA"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30.798.878</w:t>
                  </w:r>
                </w:p>
              </w:tc>
              <w:tc>
                <w:tcPr>
                  <w:tcW w:w="501" w:type="pct"/>
                  <w:shd w:val="clear" w:color="auto" w:fill="auto"/>
                  <w:vAlign w:val="bottom"/>
                  <w:hideMark/>
                </w:tcPr>
                <w:p w14:paraId="747C22EB"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31,58%</w:t>
                  </w:r>
                </w:p>
              </w:tc>
            </w:tr>
            <w:tr w:rsidR="001C7E6F" w:rsidRPr="00B20FE6" w14:paraId="63BA2AAF" w14:textId="77777777" w:rsidTr="00BD3046">
              <w:trPr>
                <w:trHeight w:val="20"/>
              </w:trPr>
              <w:tc>
                <w:tcPr>
                  <w:tcW w:w="281" w:type="pct"/>
                  <w:vMerge/>
                  <w:vAlign w:val="center"/>
                  <w:hideMark/>
                </w:tcPr>
                <w:p w14:paraId="1C8CA449"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5A875464"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0442 - Ensino Superior</w:t>
                  </w:r>
                </w:p>
              </w:tc>
              <w:tc>
                <w:tcPr>
                  <w:tcW w:w="626" w:type="pct"/>
                  <w:shd w:val="clear" w:color="auto" w:fill="auto"/>
                  <w:vAlign w:val="center"/>
                  <w:hideMark/>
                </w:tcPr>
                <w:p w14:paraId="14BD724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117.300.438</w:t>
                  </w:r>
                </w:p>
              </w:tc>
              <w:tc>
                <w:tcPr>
                  <w:tcW w:w="692" w:type="pct"/>
                  <w:shd w:val="clear" w:color="auto" w:fill="auto"/>
                  <w:vAlign w:val="center"/>
                  <w:hideMark/>
                </w:tcPr>
                <w:p w14:paraId="42D68BA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117.517.667</w:t>
                  </w:r>
                </w:p>
              </w:tc>
              <w:tc>
                <w:tcPr>
                  <w:tcW w:w="781" w:type="pct"/>
                  <w:shd w:val="clear" w:color="auto" w:fill="auto"/>
                  <w:vAlign w:val="center"/>
                  <w:hideMark/>
                </w:tcPr>
                <w:p w14:paraId="3BB8486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27BF77B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217.229</w:t>
                  </w:r>
                </w:p>
              </w:tc>
              <w:tc>
                <w:tcPr>
                  <w:tcW w:w="501" w:type="pct"/>
                  <w:shd w:val="clear" w:color="auto" w:fill="auto"/>
                  <w:vAlign w:val="bottom"/>
                  <w:hideMark/>
                </w:tcPr>
                <w:p w14:paraId="77611D9E"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5B7577A3" w14:textId="77777777" w:rsidTr="00BD3046">
              <w:trPr>
                <w:trHeight w:val="20"/>
              </w:trPr>
              <w:tc>
                <w:tcPr>
                  <w:tcW w:w="281" w:type="pct"/>
                  <w:vMerge/>
                  <w:vAlign w:val="center"/>
                  <w:hideMark/>
                </w:tcPr>
                <w:p w14:paraId="7804782D"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5E83592C"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0441 - Infraestrutura das Unidades Educacionais</w:t>
                  </w:r>
                </w:p>
              </w:tc>
              <w:tc>
                <w:tcPr>
                  <w:tcW w:w="626" w:type="pct"/>
                  <w:shd w:val="clear" w:color="auto" w:fill="auto"/>
                  <w:vAlign w:val="center"/>
                  <w:hideMark/>
                </w:tcPr>
                <w:p w14:paraId="7000CC8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36.968.547</w:t>
                  </w:r>
                </w:p>
              </w:tc>
              <w:tc>
                <w:tcPr>
                  <w:tcW w:w="692" w:type="pct"/>
                  <w:shd w:val="clear" w:color="auto" w:fill="auto"/>
                  <w:vAlign w:val="center"/>
                  <w:hideMark/>
                </w:tcPr>
                <w:p w14:paraId="69B2D47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93.128.066</w:t>
                  </w:r>
                </w:p>
              </w:tc>
              <w:tc>
                <w:tcPr>
                  <w:tcW w:w="781" w:type="pct"/>
                  <w:shd w:val="clear" w:color="auto" w:fill="auto"/>
                  <w:vAlign w:val="center"/>
                  <w:hideMark/>
                </w:tcPr>
                <w:p w14:paraId="0C8EDF63"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601C84D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56.159.519</w:t>
                  </w:r>
                </w:p>
              </w:tc>
              <w:tc>
                <w:tcPr>
                  <w:tcW w:w="501" w:type="pct"/>
                  <w:shd w:val="clear" w:color="auto" w:fill="auto"/>
                  <w:vAlign w:val="bottom"/>
                  <w:hideMark/>
                </w:tcPr>
                <w:p w14:paraId="412249C9"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147E0A91" w14:textId="77777777" w:rsidTr="00BD3046">
              <w:trPr>
                <w:trHeight w:val="20"/>
              </w:trPr>
              <w:tc>
                <w:tcPr>
                  <w:tcW w:w="281" w:type="pct"/>
                  <w:vMerge/>
                  <w:vAlign w:val="center"/>
                  <w:hideMark/>
                </w:tcPr>
                <w:p w14:paraId="447B9D54"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554F75AF"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0483 - Promoção de Políticas, Defesa e Atendimento às Mulheres</w:t>
                  </w:r>
                </w:p>
              </w:tc>
              <w:tc>
                <w:tcPr>
                  <w:tcW w:w="626" w:type="pct"/>
                  <w:shd w:val="clear" w:color="auto" w:fill="auto"/>
                  <w:vAlign w:val="center"/>
                  <w:hideMark/>
                </w:tcPr>
                <w:p w14:paraId="6462901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48.675.936</w:t>
                  </w:r>
                </w:p>
              </w:tc>
              <w:tc>
                <w:tcPr>
                  <w:tcW w:w="692" w:type="pct"/>
                  <w:shd w:val="clear" w:color="auto" w:fill="auto"/>
                  <w:vAlign w:val="center"/>
                  <w:hideMark/>
                </w:tcPr>
                <w:p w14:paraId="343DBFA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54.590.936</w:t>
                  </w:r>
                </w:p>
              </w:tc>
              <w:tc>
                <w:tcPr>
                  <w:tcW w:w="781" w:type="pct"/>
                  <w:shd w:val="clear" w:color="auto" w:fill="auto"/>
                  <w:vAlign w:val="center"/>
                  <w:hideMark/>
                </w:tcPr>
                <w:p w14:paraId="3FEF587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25.334.999</w:t>
                  </w:r>
                </w:p>
              </w:tc>
              <w:tc>
                <w:tcPr>
                  <w:tcW w:w="698" w:type="pct"/>
                  <w:shd w:val="clear" w:color="auto" w:fill="auto"/>
                  <w:vAlign w:val="bottom"/>
                  <w:hideMark/>
                </w:tcPr>
                <w:p w14:paraId="5C20C5E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5.915.000</w:t>
                  </w:r>
                </w:p>
              </w:tc>
              <w:tc>
                <w:tcPr>
                  <w:tcW w:w="501" w:type="pct"/>
                  <w:shd w:val="clear" w:color="auto" w:fill="auto"/>
                  <w:vAlign w:val="bottom"/>
                  <w:hideMark/>
                </w:tcPr>
                <w:p w14:paraId="705553D5"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46,41%</w:t>
                  </w:r>
                </w:p>
              </w:tc>
            </w:tr>
            <w:tr w:rsidR="001C7E6F" w:rsidRPr="00B20FE6" w14:paraId="02FB1FC5" w14:textId="77777777" w:rsidTr="00BD3046">
              <w:trPr>
                <w:trHeight w:val="20"/>
              </w:trPr>
              <w:tc>
                <w:tcPr>
                  <w:tcW w:w="281" w:type="pct"/>
                  <w:vMerge/>
                  <w:vAlign w:val="center"/>
                  <w:hideMark/>
                </w:tcPr>
                <w:p w14:paraId="42681DA4"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2F45E290"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0449 - Promoção e Garantia dos Direitos da Criança e do Adolescente</w:t>
                  </w:r>
                </w:p>
              </w:tc>
              <w:tc>
                <w:tcPr>
                  <w:tcW w:w="626" w:type="pct"/>
                  <w:shd w:val="clear" w:color="auto" w:fill="auto"/>
                  <w:vAlign w:val="center"/>
                  <w:hideMark/>
                </w:tcPr>
                <w:p w14:paraId="27117AD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40.478.247</w:t>
                  </w:r>
                </w:p>
              </w:tc>
              <w:tc>
                <w:tcPr>
                  <w:tcW w:w="692" w:type="pct"/>
                  <w:shd w:val="clear" w:color="auto" w:fill="auto"/>
                  <w:vAlign w:val="center"/>
                  <w:hideMark/>
                </w:tcPr>
                <w:p w14:paraId="64A168D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45.377.167</w:t>
                  </w:r>
                </w:p>
              </w:tc>
              <w:tc>
                <w:tcPr>
                  <w:tcW w:w="781" w:type="pct"/>
                  <w:shd w:val="clear" w:color="auto" w:fill="auto"/>
                  <w:vAlign w:val="center"/>
                  <w:hideMark/>
                </w:tcPr>
                <w:p w14:paraId="1F409DF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5.934.061</w:t>
                  </w:r>
                </w:p>
              </w:tc>
              <w:tc>
                <w:tcPr>
                  <w:tcW w:w="698" w:type="pct"/>
                  <w:shd w:val="clear" w:color="auto" w:fill="auto"/>
                  <w:vAlign w:val="bottom"/>
                  <w:hideMark/>
                </w:tcPr>
                <w:p w14:paraId="0CF8984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4.898.920</w:t>
                  </w:r>
                </w:p>
              </w:tc>
              <w:tc>
                <w:tcPr>
                  <w:tcW w:w="501" w:type="pct"/>
                  <w:shd w:val="clear" w:color="auto" w:fill="auto"/>
                  <w:vAlign w:val="bottom"/>
                  <w:hideMark/>
                </w:tcPr>
                <w:p w14:paraId="37F667DB"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13,08%</w:t>
                  </w:r>
                </w:p>
              </w:tc>
            </w:tr>
            <w:tr w:rsidR="001C7E6F" w:rsidRPr="00B20FE6" w14:paraId="4CB49E8F" w14:textId="77777777" w:rsidTr="00BD3046">
              <w:trPr>
                <w:trHeight w:val="20"/>
              </w:trPr>
              <w:tc>
                <w:tcPr>
                  <w:tcW w:w="281" w:type="pct"/>
                  <w:vMerge/>
                  <w:vAlign w:val="center"/>
                  <w:hideMark/>
                </w:tcPr>
                <w:p w14:paraId="76FE688F"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18FE254C"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0448 - Promoção e Defesa dos Direitos Humanos</w:t>
                  </w:r>
                </w:p>
              </w:tc>
              <w:tc>
                <w:tcPr>
                  <w:tcW w:w="626" w:type="pct"/>
                  <w:shd w:val="clear" w:color="auto" w:fill="auto"/>
                  <w:vAlign w:val="center"/>
                  <w:hideMark/>
                </w:tcPr>
                <w:p w14:paraId="68E99C0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22.595.614</w:t>
                  </w:r>
                </w:p>
              </w:tc>
              <w:tc>
                <w:tcPr>
                  <w:tcW w:w="692" w:type="pct"/>
                  <w:shd w:val="clear" w:color="auto" w:fill="auto"/>
                  <w:vAlign w:val="center"/>
                  <w:hideMark/>
                </w:tcPr>
                <w:p w14:paraId="65132343"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44.462.563</w:t>
                  </w:r>
                </w:p>
              </w:tc>
              <w:tc>
                <w:tcPr>
                  <w:tcW w:w="781" w:type="pct"/>
                  <w:shd w:val="clear" w:color="auto" w:fill="auto"/>
                  <w:vAlign w:val="center"/>
                  <w:hideMark/>
                </w:tcPr>
                <w:p w14:paraId="2A3CAB1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13.337.776</w:t>
                  </w:r>
                </w:p>
              </w:tc>
              <w:tc>
                <w:tcPr>
                  <w:tcW w:w="698" w:type="pct"/>
                  <w:shd w:val="clear" w:color="auto" w:fill="auto"/>
                  <w:vAlign w:val="bottom"/>
                  <w:hideMark/>
                </w:tcPr>
                <w:p w14:paraId="747B69F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21.866.949</w:t>
                  </w:r>
                </w:p>
              </w:tc>
              <w:tc>
                <w:tcPr>
                  <w:tcW w:w="501" w:type="pct"/>
                  <w:shd w:val="clear" w:color="auto" w:fill="auto"/>
                  <w:vAlign w:val="bottom"/>
                  <w:hideMark/>
                </w:tcPr>
                <w:p w14:paraId="3D9D0AD0"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30,00%</w:t>
                  </w:r>
                </w:p>
              </w:tc>
            </w:tr>
            <w:tr w:rsidR="001C7E6F" w:rsidRPr="00B20FE6" w14:paraId="09E40810" w14:textId="77777777" w:rsidTr="00BD3046">
              <w:trPr>
                <w:trHeight w:val="20"/>
              </w:trPr>
              <w:tc>
                <w:tcPr>
                  <w:tcW w:w="281" w:type="pct"/>
                  <w:vMerge/>
                  <w:vAlign w:val="center"/>
                  <w:hideMark/>
                </w:tcPr>
                <w:p w14:paraId="4833BB5A"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03A738A7"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0444 - Prevenção e Resposta ao Risco e Recuperação de Áreas Atingidas por Catástrofes</w:t>
                  </w:r>
                </w:p>
              </w:tc>
              <w:tc>
                <w:tcPr>
                  <w:tcW w:w="626" w:type="pct"/>
                  <w:shd w:val="clear" w:color="auto" w:fill="auto"/>
                  <w:vAlign w:val="center"/>
                  <w:hideMark/>
                </w:tcPr>
                <w:p w14:paraId="413500B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10.265.322</w:t>
                  </w:r>
                </w:p>
              </w:tc>
              <w:tc>
                <w:tcPr>
                  <w:tcW w:w="692" w:type="pct"/>
                  <w:shd w:val="clear" w:color="auto" w:fill="auto"/>
                  <w:vAlign w:val="center"/>
                  <w:hideMark/>
                </w:tcPr>
                <w:p w14:paraId="2968253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35.233.383</w:t>
                  </w:r>
                </w:p>
              </w:tc>
              <w:tc>
                <w:tcPr>
                  <w:tcW w:w="781" w:type="pct"/>
                  <w:shd w:val="clear" w:color="auto" w:fill="auto"/>
                  <w:vAlign w:val="center"/>
                  <w:hideMark/>
                </w:tcPr>
                <w:p w14:paraId="1B69BC67"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152.833</w:t>
                  </w:r>
                </w:p>
              </w:tc>
              <w:tc>
                <w:tcPr>
                  <w:tcW w:w="698" w:type="pct"/>
                  <w:shd w:val="clear" w:color="auto" w:fill="auto"/>
                  <w:vAlign w:val="bottom"/>
                  <w:hideMark/>
                </w:tcPr>
                <w:p w14:paraId="426D7F1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24.968.061</w:t>
                  </w:r>
                </w:p>
              </w:tc>
              <w:tc>
                <w:tcPr>
                  <w:tcW w:w="501" w:type="pct"/>
                  <w:shd w:val="clear" w:color="auto" w:fill="auto"/>
                  <w:vAlign w:val="bottom"/>
                  <w:hideMark/>
                </w:tcPr>
                <w:p w14:paraId="7DB0FCED"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0,43%</w:t>
                  </w:r>
                </w:p>
              </w:tc>
            </w:tr>
            <w:tr w:rsidR="001C7E6F" w:rsidRPr="00B20FE6" w14:paraId="6523EC03" w14:textId="77777777" w:rsidTr="00BD3046">
              <w:trPr>
                <w:trHeight w:val="20"/>
              </w:trPr>
              <w:tc>
                <w:tcPr>
                  <w:tcW w:w="281" w:type="pct"/>
                  <w:vMerge/>
                  <w:vAlign w:val="center"/>
                  <w:hideMark/>
                </w:tcPr>
                <w:p w14:paraId="0C15F9F3"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4222923B"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0458 - Esporte, Cidadania e Desenvolvimento</w:t>
                  </w:r>
                </w:p>
              </w:tc>
              <w:tc>
                <w:tcPr>
                  <w:tcW w:w="626" w:type="pct"/>
                  <w:shd w:val="clear" w:color="auto" w:fill="auto"/>
                  <w:vAlign w:val="center"/>
                  <w:hideMark/>
                </w:tcPr>
                <w:p w14:paraId="4350A8B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20.172.302</w:t>
                  </w:r>
                </w:p>
              </w:tc>
              <w:tc>
                <w:tcPr>
                  <w:tcW w:w="692" w:type="pct"/>
                  <w:shd w:val="clear" w:color="auto" w:fill="auto"/>
                  <w:vAlign w:val="center"/>
                  <w:hideMark/>
                </w:tcPr>
                <w:p w14:paraId="08645E2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28.656.378</w:t>
                  </w:r>
                </w:p>
              </w:tc>
              <w:tc>
                <w:tcPr>
                  <w:tcW w:w="781" w:type="pct"/>
                  <w:shd w:val="clear" w:color="auto" w:fill="auto"/>
                  <w:vAlign w:val="center"/>
                  <w:hideMark/>
                </w:tcPr>
                <w:p w14:paraId="0D7DAFF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3.947.762</w:t>
                  </w:r>
                </w:p>
              </w:tc>
              <w:tc>
                <w:tcPr>
                  <w:tcW w:w="698" w:type="pct"/>
                  <w:shd w:val="clear" w:color="auto" w:fill="auto"/>
                  <w:vAlign w:val="bottom"/>
                  <w:hideMark/>
                </w:tcPr>
                <w:p w14:paraId="29D3E1A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8.484.076</w:t>
                  </w:r>
                </w:p>
              </w:tc>
              <w:tc>
                <w:tcPr>
                  <w:tcW w:w="501" w:type="pct"/>
                  <w:shd w:val="clear" w:color="auto" w:fill="auto"/>
                  <w:vAlign w:val="bottom"/>
                  <w:hideMark/>
                </w:tcPr>
                <w:p w14:paraId="4085B956"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13,78%</w:t>
                  </w:r>
                </w:p>
              </w:tc>
            </w:tr>
            <w:tr w:rsidR="001C7E6F" w:rsidRPr="00B20FE6" w14:paraId="6370DD60" w14:textId="77777777" w:rsidTr="00BD3046">
              <w:trPr>
                <w:trHeight w:val="20"/>
              </w:trPr>
              <w:tc>
                <w:tcPr>
                  <w:tcW w:w="281" w:type="pct"/>
                  <w:vMerge/>
                  <w:vAlign w:val="center"/>
                  <w:hideMark/>
                </w:tcPr>
                <w:p w14:paraId="2E220BC7"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6B2A9F37"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0460 - Estruturação das Unidades de Saúde</w:t>
                  </w:r>
                </w:p>
              </w:tc>
              <w:tc>
                <w:tcPr>
                  <w:tcW w:w="626" w:type="pct"/>
                  <w:shd w:val="clear" w:color="auto" w:fill="auto"/>
                  <w:vAlign w:val="center"/>
                  <w:hideMark/>
                </w:tcPr>
                <w:p w14:paraId="5D2AFD9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22.695.994</w:t>
                  </w:r>
                </w:p>
              </w:tc>
              <w:tc>
                <w:tcPr>
                  <w:tcW w:w="692" w:type="pct"/>
                  <w:shd w:val="clear" w:color="auto" w:fill="auto"/>
                  <w:vAlign w:val="center"/>
                  <w:hideMark/>
                </w:tcPr>
                <w:p w14:paraId="554F4007"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22.258.271</w:t>
                  </w:r>
                </w:p>
              </w:tc>
              <w:tc>
                <w:tcPr>
                  <w:tcW w:w="781" w:type="pct"/>
                  <w:shd w:val="clear" w:color="auto" w:fill="auto"/>
                  <w:vAlign w:val="center"/>
                  <w:hideMark/>
                </w:tcPr>
                <w:p w14:paraId="5C5832E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3EA559AD"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-437.723</w:t>
                  </w:r>
                </w:p>
              </w:tc>
              <w:tc>
                <w:tcPr>
                  <w:tcW w:w="501" w:type="pct"/>
                  <w:shd w:val="clear" w:color="auto" w:fill="auto"/>
                  <w:vAlign w:val="bottom"/>
                  <w:hideMark/>
                </w:tcPr>
                <w:p w14:paraId="686E1D8F"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6808DE2A" w14:textId="77777777" w:rsidTr="00BD3046">
              <w:trPr>
                <w:trHeight w:val="20"/>
              </w:trPr>
              <w:tc>
                <w:tcPr>
                  <w:tcW w:w="281" w:type="pct"/>
                  <w:vMerge/>
                  <w:vAlign w:val="center"/>
                  <w:hideMark/>
                </w:tcPr>
                <w:p w14:paraId="7BE99153"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4A791B1B"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0471 - Gestão das Unidades de Atendimento ao Cidadão</w:t>
                  </w:r>
                </w:p>
              </w:tc>
              <w:tc>
                <w:tcPr>
                  <w:tcW w:w="626" w:type="pct"/>
                  <w:shd w:val="clear" w:color="auto" w:fill="auto"/>
                  <w:vAlign w:val="center"/>
                  <w:hideMark/>
                </w:tcPr>
                <w:p w14:paraId="2311C1B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32.000.000</w:t>
                  </w:r>
                </w:p>
              </w:tc>
              <w:tc>
                <w:tcPr>
                  <w:tcW w:w="692" w:type="pct"/>
                  <w:shd w:val="clear" w:color="auto" w:fill="auto"/>
                  <w:vAlign w:val="center"/>
                  <w:hideMark/>
                </w:tcPr>
                <w:p w14:paraId="7B403F7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16.802.360</w:t>
                  </w:r>
                </w:p>
              </w:tc>
              <w:tc>
                <w:tcPr>
                  <w:tcW w:w="781" w:type="pct"/>
                  <w:shd w:val="clear" w:color="auto" w:fill="auto"/>
                  <w:vAlign w:val="center"/>
                  <w:hideMark/>
                </w:tcPr>
                <w:p w14:paraId="6ACFEA2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7.030.204</w:t>
                  </w:r>
                </w:p>
              </w:tc>
              <w:tc>
                <w:tcPr>
                  <w:tcW w:w="698" w:type="pct"/>
                  <w:shd w:val="clear" w:color="auto" w:fill="auto"/>
                  <w:vAlign w:val="bottom"/>
                  <w:hideMark/>
                </w:tcPr>
                <w:p w14:paraId="4557F633"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-15.197.640</w:t>
                  </w:r>
                </w:p>
              </w:tc>
              <w:tc>
                <w:tcPr>
                  <w:tcW w:w="501" w:type="pct"/>
                  <w:shd w:val="clear" w:color="auto" w:fill="auto"/>
                  <w:vAlign w:val="bottom"/>
                  <w:hideMark/>
                </w:tcPr>
                <w:p w14:paraId="5A8CD65F"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41,84%</w:t>
                  </w:r>
                </w:p>
              </w:tc>
            </w:tr>
            <w:tr w:rsidR="001C7E6F" w:rsidRPr="00B20FE6" w14:paraId="7F97D88A" w14:textId="77777777" w:rsidTr="00BD3046">
              <w:trPr>
                <w:trHeight w:val="20"/>
              </w:trPr>
              <w:tc>
                <w:tcPr>
                  <w:tcW w:w="281" w:type="pct"/>
                  <w:vMerge/>
                  <w:vAlign w:val="center"/>
                  <w:hideMark/>
                </w:tcPr>
                <w:p w14:paraId="373FE16D"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28B7E937"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0470 - Fortalecimento da Gestão Pública</w:t>
                  </w:r>
                </w:p>
              </w:tc>
              <w:tc>
                <w:tcPr>
                  <w:tcW w:w="626" w:type="pct"/>
                  <w:shd w:val="clear" w:color="auto" w:fill="auto"/>
                  <w:vAlign w:val="center"/>
                  <w:hideMark/>
                </w:tcPr>
                <w:p w14:paraId="327ABBE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197.071.208</w:t>
                  </w:r>
                </w:p>
              </w:tc>
              <w:tc>
                <w:tcPr>
                  <w:tcW w:w="692" w:type="pct"/>
                  <w:shd w:val="clear" w:color="auto" w:fill="auto"/>
                  <w:vAlign w:val="center"/>
                  <w:hideMark/>
                </w:tcPr>
                <w:p w14:paraId="2988178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14.888.256</w:t>
                  </w:r>
                </w:p>
              </w:tc>
              <w:tc>
                <w:tcPr>
                  <w:tcW w:w="781" w:type="pct"/>
                  <w:shd w:val="clear" w:color="auto" w:fill="auto"/>
                  <w:vAlign w:val="center"/>
                  <w:hideMark/>
                </w:tcPr>
                <w:p w14:paraId="64FAE11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14.642.216</w:t>
                  </w:r>
                </w:p>
              </w:tc>
              <w:tc>
                <w:tcPr>
                  <w:tcW w:w="698" w:type="pct"/>
                  <w:shd w:val="clear" w:color="auto" w:fill="auto"/>
                  <w:vAlign w:val="bottom"/>
                  <w:hideMark/>
                </w:tcPr>
                <w:p w14:paraId="0799394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-182.182.952</w:t>
                  </w:r>
                </w:p>
              </w:tc>
              <w:tc>
                <w:tcPr>
                  <w:tcW w:w="501" w:type="pct"/>
                  <w:shd w:val="clear" w:color="auto" w:fill="auto"/>
                  <w:vAlign w:val="bottom"/>
                  <w:hideMark/>
                </w:tcPr>
                <w:p w14:paraId="1C36DBB8"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98,35%</w:t>
                  </w:r>
                </w:p>
              </w:tc>
            </w:tr>
            <w:tr w:rsidR="001C7E6F" w:rsidRPr="00B20FE6" w14:paraId="29632341" w14:textId="77777777" w:rsidTr="00BD3046">
              <w:trPr>
                <w:trHeight w:val="20"/>
              </w:trPr>
              <w:tc>
                <w:tcPr>
                  <w:tcW w:w="281" w:type="pct"/>
                  <w:vMerge/>
                  <w:vAlign w:val="center"/>
                  <w:hideMark/>
                </w:tcPr>
                <w:p w14:paraId="7F5B16E5"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648A5DA1"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0468 - Vigilância em Saúde</w:t>
                  </w:r>
                </w:p>
              </w:tc>
              <w:tc>
                <w:tcPr>
                  <w:tcW w:w="626" w:type="pct"/>
                  <w:shd w:val="clear" w:color="auto" w:fill="auto"/>
                  <w:vAlign w:val="center"/>
                  <w:hideMark/>
                </w:tcPr>
                <w:p w14:paraId="2B36CED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31.052.901</w:t>
                  </w:r>
                </w:p>
              </w:tc>
              <w:tc>
                <w:tcPr>
                  <w:tcW w:w="692" w:type="pct"/>
                  <w:shd w:val="clear" w:color="auto" w:fill="auto"/>
                  <w:vAlign w:val="center"/>
                  <w:hideMark/>
                </w:tcPr>
                <w:p w14:paraId="70AAEB4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6.402.940</w:t>
                  </w:r>
                </w:p>
              </w:tc>
              <w:tc>
                <w:tcPr>
                  <w:tcW w:w="781" w:type="pct"/>
                  <w:shd w:val="clear" w:color="auto" w:fill="auto"/>
                  <w:vAlign w:val="center"/>
                  <w:hideMark/>
                </w:tcPr>
                <w:p w14:paraId="6810A0FD"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60FCEB8A"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-24.649.961</w:t>
                  </w:r>
                </w:p>
              </w:tc>
              <w:tc>
                <w:tcPr>
                  <w:tcW w:w="501" w:type="pct"/>
                  <w:shd w:val="clear" w:color="auto" w:fill="auto"/>
                  <w:vAlign w:val="bottom"/>
                  <w:hideMark/>
                </w:tcPr>
                <w:p w14:paraId="61E500F8"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176AFD19" w14:textId="77777777" w:rsidTr="00BD3046">
              <w:trPr>
                <w:trHeight w:val="20"/>
              </w:trPr>
              <w:tc>
                <w:tcPr>
                  <w:tcW w:w="281" w:type="pct"/>
                  <w:vMerge/>
                  <w:vAlign w:val="center"/>
                  <w:hideMark/>
                </w:tcPr>
                <w:p w14:paraId="5B4C4370"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17C3FCD3"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0466 - Prevenção ao Uso de Drogas</w:t>
                  </w:r>
                </w:p>
              </w:tc>
              <w:tc>
                <w:tcPr>
                  <w:tcW w:w="626" w:type="pct"/>
                  <w:shd w:val="clear" w:color="auto" w:fill="auto"/>
                  <w:vAlign w:val="center"/>
                  <w:hideMark/>
                </w:tcPr>
                <w:p w14:paraId="54C6FC0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2.609.696</w:t>
                  </w:r>
                </w:p>
              </w:tc>
              <w:tc>
                <w:tcPr>
                  <w:tcW w:w="692" w:type="pct"/>
                  <w:shd w:val="clear" w:color="auto" w:fill="auto"/>
                  <w:vAlign w:val="center"/>
                  <w:hideMark/>
                </w:tcPr>
                <w:p w14:paraId="70BF560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5.394.465</w:t>
                  </w:r>
                </w:p>
              </w:tc>
              <w:tc>
                <w:tcPr>
                  <w:tcW w:w="781" w:type="pct"/>
                  <w:shd w:val="clear" w:color="auto" w:fill="auto"/>
                  <w:vAlign w:val="center"/>
                  <w:hideMark/>
                </w:tcPr>
                <w:p w14:paraId="77555C2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1.135.210</w:t>
                  </w:r>
                </w:p>
              </w:tc>
              <w:tc>
                <w:tcPr>
                  <w:tcW w:w="698" w:type="pct"/>
                  <w:shd w:val="clear" w:color="auto" w:fill="auto"/>
                  <w:vAlign w:val="bottom"/>
                  <w:hideMark/>
                </w:tcPr>
                <w:p w14:paraId="20BD5B27"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2.784.769</w:t>
                  </w:r>
                </w:p>
              </w:tc>
              <w:tc>
                <w:tcPr>
                  <w:tcW w:w="501" w:type="pct"/>
                  <w:shd w:val="clear" w:color="auto" w:fill="auto"/>
                  <w:vAlign w:val="bottom"/>
                  <w:hideMark/>
                </w:tcPr>
                <w:p w14:paraId="1B5E9AF2"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21,04%</w:t>
                  </w:r>
                </w:p>
              </w:tc>
            </w:tr>
            <w:tr w:rsidR="001C7E6F" w:rsidRPr="00B20FE6" w14:paraId="24680125" w14:textId="77777777" w:rsidTr="00BD3046">
              <w:trPr>
                <w:trHeight w:val="20"/>
              </w:trPr>
              <w:tc>
                <w:tcPr>
                  <w:tcW w:w="281" w:type="pct"/>
                  <w:vMerge/>
                  <w:vAlign w:val="center"/>
                  <w:hideMark/>
                </w:tcPr>
                <w:p w14:paraId="7E7C70FC"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070769A3"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0462 - Assistência Farmacêutica</w:t>
                  </w:r>
                </w:p>
              </w:tc>
              <w:tc>
                <w:tcPr>
                  <w:tcW w:w="626" w:type="pct"/>
                  <w:shd w:val="clear" w:color="auto" w:fill="auto"/>
                  <w:vAlign w:val="center"/>
                  <w:hideMark/>
                </w:tcPr>
                <w:p w14:paraId="426C4FE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2" w:type="pct"/>
                  <w:shd w:val="clear" w:color="auto" w:fill="auto"/>
                  <w:vAlign w:val="center"/>
                  <w:hideMark/>
                </w:tcPr>
                <w:p w14:paraId="5041576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3.613.065</w:t>
                  </w:r>
                </w:p>
              </w:tc>
              <w:tc>
                <w:tcPr>
                  <w:tcW w:w="781" w:type="pct"/>
                  <w:shd w:val="clear" w:color="auto" w:fill="auto"/>
                  <w:vAlign w:val="center"/>
                  <w:hideMark/>
                </w:tcPr>
                <w:p w14:paraId="75C232F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362A7BA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3.613.065</w:t>
                  </w:r>
                </w:p>
              </w:tc>
              <w:tc>
                <w:tcPr>
                  <w:tcW w:w="501" w:type="pct"/>
                  <w:shd w:val="clear" w:color="auto" w:fill="auto"/>
                  <w:vAlign w:val="bottom"/>
                  <w:hideMark/>
                </w:tcPr>
                <w:p w14:paraId="16D5D563"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07718A3D" w14:textId="77777777" w:rsidTr="00BD3046">
              <w:trPr>
                <w:trHeight w:val="20"/>
              </w:trPr>
              <w:tc>
                <w:tcPr>
                  <w:tcW w:w="281" w:type="pct"/>
                  <w:vMerge/>
                  <w:vAlign w:val="center"/>
                  <w:hideMark/>
                </w:tcPr>
                <w:p w14:paraId="4500BB89"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48276178"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0457 - Fortalecimento da Participação Popular e do Controle Social</w:t>
                  </w:r>
                </w:p>
              </w:tc>
              <w:tc>
                <w:tcPr>
                  <w:tcW w:w="626" w:type="pct"/>
                  <w:shd w:val="clear" w:color="auto" w:fill="auto"/>
                  <w:vAlign w:val="center"/>
                  <w:hideMark/>
                </w:tcPr>
                <w:p w14:paraId="29D3053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5.000</w:t>
                  </w:r>
                </w:p>
              </w:tc>
              <w:tc>
                <w:tcPr>
                  <w:tcW w:w="692" w:type="pct"/>
                  <w:shd w:val="clear" w:color="auto" w:fill="auto"/>
                  <w:vAlign w:val="center"/>
                  <w:hideMark/>
                </w:tcPr>
                <w:p w14:paraId="1F7D14C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275.165</w:t>
                  </w:r>
                </w:p>
              </w:tc>
              <w:tc>
                <w:tcPr>
                  <w:tcW w:w="781" w:type="pct"/>
                  <w:shd w:val="clear" w:color="auto" w:fill="auto"/>
                  <w:vAlign w:val="center"/>
                  <w:hideMark/>
                </w:tcPr>
                <w:p w14:paraId="1C922C4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2EB92C1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270.165</w:t>
                  </w:r>
                </w:p>
              </w:tc>
              <w:tc>
                <w:tcPr>
                  <w:tcW w:w="501" w:type="pct"/>
                  <w:shd w:val="clear" w:color="auto" w:fill="auto"/>
                  <w:vAlign w:val="bottom"/>
                  <w:hideMark/>
                </w:tcPr>
                <w:p w14:paraId="10DCF361"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255ABB55" w14:textId="77777777" w:rsidTr="00BD3046">
              <w:trPr>
                <w:trHeight w:val="20"/>
              </w:trPr>
              <w:tc>
                <w:tcPr>
                  <w:tcW w:w="281" w:type="pct"/>
                  <w:vMerge/>
                  <w:vAlign w:val="center"/>
                  <w:hideMark/>
                </w:tcPr>
                <w:p w14:paraId="29D0E9E7"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4EAA0F0B"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0435 - Modernização Tecnológica</w:t>
                  </w:r>
                </w:p>
              </w:tc>
              <w:tc>
                <w:tcPr>
                  <w:tcW w:w="626" w:type="pct"/>
                  <w:shd w:val="clear" w:color="auto" w:fill="auto"/>
                  <w:vAlign w:val="center"/>
                  <w:hideMark/>
                </w:tcPr>
                <w:p w14:paraId="6D1007D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3.000.000</w:t>
                  </w:r>
                </w:p>
              </w:tc>
              <w:tc>
                <w:tcPr>
                  <w:tcW w:w="692" w:type="pct"/>
                  <w:shd w:val="clear" w:color="auto" w:fill="auto"/>
                  <w:vAlign w:val="center"/>
                  <w:hideMark/>
                </w:tcPr>
                <w:p w14:paraId="1B08A93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219.820</w:t>
                  </w:r>
                </w:p>
              </w:tc>
              <w:tc>
                <w:tcPr>
                  <w:tcW w:w="781" w:type="pct"/>
                  <w:shd w:val="clear" w:color="auto" w:fill="auto"/>
                  <w:vAlign w:val="center"/>
                  <w:hideMark/>
                </w:tcPr>
                <w:p w14:paraId="3650066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3713A24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-2.780.180</w:t>
                  </w:r>
                </w:p>
              </w:tc>
              <w:tc>
                <w:tcPr>
                  <w:tcW w:w="501" w:type="pct"/>
                  <w:shd w:val="clear" w:color="auto" w:fill="auto"/>
                  <w:vAlign w:val="bottom"/>
                  <w:hideMark/>
                </w:tcPr>
                <w:p w14:paraId="07460C83"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0763BC2F" w14:textId="77777777" w:rsidTr="00BD3046">
              <w:trPr>
                <w:trHeight w:val="20"/>
              </w:trPr>
              <w:tc>
                <w:tcPr>
                  <w:tcW w:w="281" w:type="pct"/>
                  <w:vMerge/>
                  <w:vAlign w:val="center"/>
                  <w:hideMark/>
                </w:tcPr>
                <w:p w14:paraId="24D17922"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1320CB3F"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0459 - Gestão da Política Habitacional e Regularização Fundiária</w:t>
                  </w:r>
                </w:p>
              </w:tc>
              <w:tc>
                <w:tcPr>
                  <w:tcW w:w="626" w:type="pct"/>
                  <w:shd w:val="clear" w:color="auto" w:fill="auto"/>
                  <w:vAlign w:val="center"/>
                  <w:hideMark/>
                </w:tcPr>
                <w:p w14:paraId="6C21E4B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183.461</w:t>
                  </w:r>
                </w:p>
              </w:tc>
              <w:tc>
                <w:tcPr>
                  <w:tcW w:w="692" w:type="pct"/>
                  <w:shd w:val="clear" w:color="auto" w:fill="auto"/>
                  <w:vAlign w:val="center"/>
                  <w:hideMark/>
                </w:tcPr>
                <w:p w14:paraId="6B4FF62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183.461</w:t>
                  </w:r>
                </w:p>
              </w:tc>
              <w:tc>
                <w:tcPr>
                  <w:tcW w:w="781" w:type="pct"/>
                  <w:shd w:val="clear" w:color="auto" w:fill="auto"/>
                  <w:vAlign w:val="center"/>
                  <w:hideMark/>
                </w:tcPr>
                <w:p w14:paraId="75A22BE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28.216</w:t>
                  </w:r>
                </w:p>
              </w:tc>
              <w:tc>
                <w:tcPr>
                  <w:tcW w:w="698" w:type="pct"/>
                  <w:shd w:val="clear" w:color="auto" w:fill="auto"/>
                  <w:vAlign w:val="bottom"/>
                  <w:hideMark/>
                </w:tcPr>
                <w:p w14:paraId="697BF82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501" w:type="pct"/>
                  <w:shd w:val="clear" w:color="auto" w:fill="auto"/>
                  <w:vAlign w:val="bottom"/>
                  <w:hideMark/>
                </w:tcPr>
                <w:p w14:paraId="53EB5D36"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15,38%</w:t>
                  </w:r>
                </w:p>
              </w:tc>
            </w:tr>
            <w:tr w:rsidR="001C7E6F" w:rsidRPr="00B20FE6" w14:paraId="671B655B" w14:textId="77777777" w:rsidTr="00BD3046">
              <w:trPr>
                <w:trHeight w:val="20"/>
              </w:trPr>
              <w:tc>
                <w:tcPr>
                  <w:tcW w:w="281" w:type="pct"/>
                  <w:vMerge/>
                  <w:vAlign w:val="center"/>
                  <w:hideMark/>
                </w:tcPr>
                <w:p w14:paraId="18370934"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1268D73A"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0453 - Atração de Investimentos e Desenvolvimento Econômico</w:t>
                  </w:r>
                </w:p>
              </w:tc>
              <w:tc>
                <w:tcPr>
                  <w:tcW w:w="626" w:type="pct"/>
                  <w:shd w:val="clear" w:color="auto" w:fill="auto"/>
                  <w:vAlign w:val="center"/>
                  <w:hideMark/>
                </w:tcPr>
                <w:p w14:paraId="5B157C8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5.000</w:t>
                  </w:r>
                </w:p>
              </w:tc>
              <w:tc>
                <w:tcPr>
                  <w:tcW w:w="692" w:type="pct"/>
                  <w:shd w:val="clear" w:color="auto" w:fill="auto"/>
                  <w:vAlign w:val="center"/>
                  <w:hideMark/>
                </w:tcPr>
                <w:p w14:paraId="6257F4B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769</w:t>
                  </w:r>
                </w:p>
              </w:tc>
              <w:tc>
                <w:tcPr>
                  <w:tcW w:w="781" w:type="pct"/>
                  <w:shd w:val="clear" w:color="auto" w:fill="auto"/>
                  <w:vAlign w:val="center"/>
                  <w:hideMark/>
                </w:tcPr>
                <w:p w14:paraId="6353822B"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769</w:t>
                  </w:r>
                </w:p>
              </w:tc>
              <w:tc>
                <w:tcPr>
                  <w:tcW w:w="698" w:type="pct"/>
                  <w:shd w:val="clear" w:color="auto" w:fill="auto"/>
                  <w:vAlign w:val="bottom"/>
                  <w:hideMark/>
                </w:tcPr>
                <w:p w14:paraId="15B5913A"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-4.231</w:t>
                  </w:r>
                </w:p>
              </w:tc>
              <w:tc>
                <w:tcPr>
                  <w:tcW w:w="501" w:type="pct"/>
                  <w:shd w:val="clear" w:color="auto" w:fill="auto"/>
                  <w:vAlign w:val="bottom"/>
                  <w:hideMark/>
                </w:tcPr>
                <w:p w14:paraId="71911D3B"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100,00%</w:t>
                  </w:r>
                </w:p>
              </w:tc>
            </w:tr>
            <w:tr w:rsidR="001C7E6F" w:rsidRPr="00B20FE6" w14:paraId="5113D16A" w14:textId="77777777" w:rsidTr="00BD3046">
              <w:trPr>
                <w:trHeight w:val="20"/>
              </w:trPr>
              <w:tc>
                <w:tcPr>
                  <w:tcW w:w="281" w:type="pct"/>
                  <w:vMerge/>
                  <w:vAlign w:val="center"/>
                  <w:hideMark/>
                </w:tcPr>
                <w:p w14:paraId="210C36E4"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6CA292B4"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0439 - Gestão Integrada de Recursos Hídricos</w:t>
                  </w:r>
                </w:p>
              </w:tc>
              <w:tc>
                <w:tcPr>
                  <w:tcW w:w="626" w:type="pct"/>
                  <w:shd w:val="clear" w:color="auto" w:fill="auto"/>
                  <w:vAlign w:val="center"/>
                  <w:hideMark/>
                </w:tcPr>
                <w:p w14:paraId="33E30757"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5.000</w:t>
                  </w:r>
                </w:p>
              </w:tc>
              <w:tc>
                <w:tcPr>
                  <w:tcW w:w="692" w:type="pct"/>
                  <w:shd w:val="clear" w:color="auto" w:fill="auto"/>
                  <w:vAlign w:val="center"/>
                  <w:hideMark/>
                </w:tcPr>
                <w:p w14:paraId="279D698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769</w:t>
                  </w:r>
                </w:p>
              </w:tc>
              <w:tc>
                <w:tcPr>
                  <w:tcW w:w="781" w:type="pct"/>
                  <w:shd w:val="clear" w:color="auto" w:fill="auto"/>
                  <w:vAlign w:val="center"/>
                  <w:hideMark/>
                </w:tcPr>
                <w:p w14:paraId="5CE5259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769</w:t>
                  </w:r>
                </w:p>
              </w:tc>
              <w:tc>
                <w:tcPr>
                  <w:tcW w:w="698" w:type="pct"/>
                  <w:shd w:val="clear" w:color="auto" w:fill="auto"/>
                  <w:vAlign w:val="bottom"/>
                  <w:hideMark/>
                </w:tcPr>
                <w:p w14:paraId="5DE1219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-4.231</w:t>
                  </w:r>
                </w:p>
              </w:tc>
              <w:tc>
                <w:tcPr>
                  <w:tcW w:w="501" w:type="pct"/>
                  <w:shd w:val="clear" w:color="auto" w:fill="auto"/>
                  <w:vAlign w:val="bottom"/>
                  <w:hideMark/>
                </w:tcPr>
                <w:p w14:paraId="20D2C672"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100,00%</w:t>
                  </w:r>
                </w:p>
              </w:tc>
            </w:tr>
            <w:tr w:rsidR="001C7E6F" w:rsidRPr="00B20FE6" w14:paraId="681C7517" w14:textId="77777777" w:rsidTr="00BD3046">
              <w:trPr>
                <w:trHeight w:val="20"/>
              </w:trPr>
              <w:tc>
                <w:tcPr>
                  <w:tcW w:w="281" w:type="pct"/>
                  <w:vMerge/>
                  <w:vAlign w:val="center"/>
                  <w:hideMark/>
                </w:tcPr>
                <w:p w14:paraId="0055ACB9"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71CFE72E"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0440 - Desenvolvimento Científico, Tecnológico e Inovativo</w:t>
                  </w:r>
                </w:p>
              </w:tc>
              <w:tc>
                <w:tcPr>
                  <w:tcW w:w="626" w:type="pct"/>
                  <w:shd w:val="clear" w:color="auto" w:fill="auto"/>
                  <w:vAlign w:val="center"/>
                  <w:hideMark/>
                </w:tcPr>
                <w:p w14:paraId="4FE4D5D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3.926.539</w:t>
                  </w:r>
                </w:p>
              </w:tc>
              <w:tc>
                <w:tcPr>
                  <w:tcW w:w="692" w:type="pct"/>
                  <w:shd w:val="clear" w:color="auto" w:fill="auto"/>
                  <w:vAlign w:val="center"/>
                  <w:hideMark/>
                </w:tcPr>
                <w:p w14:paraId="18EC39DA"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292</w:t>
                  </w:r>
                </w:p>
              </w:tc>
              <w:tc>
                <w:tcPr>
                  <w:tcW w:w="781" w:type="pct"/>
                  <w:shd w:val="clear" w:color="auto" w:fill="auto"/>
                  <w:vAlign w:val="center"/>
                  <w:hideMark/>
                </w:tcPr>
                <w:p w14:paraId="3974222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374E463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-3.926.247</w:t>
                  </w:r>
                </w:p>
              </w:tc>
              <w:tc>
                <w:tcPr>
                  <w:tcW w:w="501" w:type="pct"/>
                  <w:shd w:val="clear" w:color="auto" w:fill="auto"/>
                  <w:vAlign w:val="bottom"/>
                  <w:hideMark/>
                </w:tcPr>
                <w:p w14:paraId="50E7CFD1"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6F60EC2E" w14:textId="77777777" w:rsidTr="00BD3046">
              <w:trPr>
                <w:trHeight w:val="20"/>
              </w:trPr>
              <w:tc>
                <w:tcPr>
                  <w:tcW w:w="281" w:type="pct"/>
                  <w:vMerge/>
                  <w:vAlign w:val="center"/>
                  <w:hideMark/>
                </w:tcPr>
                <w:p w14:paraId="26C4F056"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6C44EC2E"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0477 - Gestão do Sistema Prisional e Ressocialização dos Custodiados</w:t>
                  </w:r>
                </w:p>
              </w:tc>
              <w:tc>
                <w:tcPr>
                  <w:tcW w:w="626" w:type="pct"/>
                  <w:shd w:val="clear" w:color="auto" w:fill="auto"/>
                  <w:vAlign w:val="center"/>
                  <w:hideMark/>
                </w:tcPr>
                <w:p w14:paraId="2B2591DB"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735</w:t>
                  </w:r>
                </w:p>
              </w:tc>
              <w:tc>
                <w:tcPr>
                  <w:tcW w:w="692" w:type="pct"/>
                  <w:shd w:val="clear" w:color="auto" w:fill="auto"/>
                  <w:vAlign w:val="center"/>
                  <w:hideMark/>
                </w:tcPr>
                <w:p w14:paraId="5B593CD3"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781" w:type="pct"/>
                  <w:shd w:val="clear" w:color="auto" w:fill="auto"/>
                  <w:vAlign w:val="center"/>
                  <w:hideMark/>
                </w:tcPr>
                <w:p w14:paraId="097F425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72200B3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-735</w:t>
                  </w:r>
                </w:p>
              </w:tc>
              <w:tc>
                <w:tcPr>
                  <w:tcW w:w="501" w:type="pct"/>
                  <w:shd w:val="clear" w:color="auto" w:fill="auto"/>
                  <w:vAlign w:val="bottom"/>
                  <w:hideMark/>
                </w:tcPr>
                <w:p w14:paraId="525A5AF9"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w:t>
                  </w:r>
                </w:p>
              </w:tc>
            </w:tr>
            <w:tr w:rsidR="001C7E6F" w:rsidRPr="00B20FE6" w14:paraId="706057F1" w14:textId="77777777" w:rsidTr="00BD3046">
              <w:trPr>
                <w:trHeight w:val="20"/>
              </w:trPr>
              <w:tc>
                <w:tcPr>
                  <w:tcW w:w="281" w:type="pct"/>
                  <w:vMerge/>
                  <w:vAlign w:val="center"/>
                  <w:hideMark/>
                </w:tcPr>
                <w:p w14:paraId="745185DC"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76895183"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0445 - Geração de Emprego e Renda e Formação para o Mercado de Trabalho</w:t>
                  </w:r>
                </w:p>
              </w:tc>
              <w:tc>
                <w:tcPr>
                  <w:tcW w:w="626" w:type="pct"/>
                  <w:shd w:val="clear" w:color="auto" w:fill="auto"/>
                  <w:vAlign w:val="center"/>
                  <w:hideMark/>
                </w:tcPr>
                <w:p w14:paraId="0D0913E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1.000</w:t>
                  </w:r>
                </w:p>
              </w:tc>
              <w:tc>
                <w:tcPr>
                  <w:tcW w:w="692" w:type="pct"/>
                  <w:shd w:val="clear" w:color="auto" w:fill="auto"/>
                  <w:vAlign w:val="center"/>
                  <w:hideMark/>
                </w:tcPr>
                <w:p w14:paraId="304CCAB3"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781" w:type="pct"/>
                  <w:shd w:val="clear" w:color="auto" w:fill="auto"/>
                  <w:vAlign w:val="center"/>
                  <w:hideMark/>
                </w:tcPr>
                <w:p w14:paraId="0D0909B3"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2EC5D53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-1.000</w:t>
                  </w:r>
                </w:p>
              </w:tc>
              <w:tc>
                <w:tcPr>
                  <w:tcW w:w="501" w:type="pct"/>
                  <w:shd w:val="clear" w:color="auto" w:fill="auto"/>
                  <w:vAlign w:val="bottom"/>
                  <w:hideMark/>
                </w:tcPr>
                <w:p w14:paraId="769294B8"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w:t>
                  </w:r>
                </w:p>
              </w:tc>
            </w:tr>
            <w:tr w:rsidR="001C7E6F" w:rsidRPr="00B20FE6" w14:paraId="05BED5A0" w14:textId="77777777" w:rsidTr="00BD3046">
              <w:trPr>
                <w:trHeight w:val="20"/>
              </w:trPr>
              <w:tc>
                <w:tcPr>
                  <w:tcW w:w="281" w:type="pct"/>
                  <w:vMerge w:val="restart"/>
                  <w:shd w:val="clear" w:color="auto" w:fill="auto"/>
                  <w:hideMark/>
                </w:tcPr>
                <w:p w14:paraId="3B1AB78E"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2024</w:t>
                  </w:r>
                </w:p>
              </w:tc>
              <w:tc>
                <w:tcPr>
                  <w:tcW w:w="1420" w:type="pct"/>
                  <w:shd w:val="clear" w:color="auto" w:fill="auto"/>
                  <w:hideMark/>
                </w:tcPr>
                <w:p w14:paraId="0B0097EF"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0508 - Estratégia e Gestão da Saúde</w:t>
                  </w:r>
                </w:p>
              </w:tc>
              <w:tc>
                <w:tcPr>
                  <w:tcW w:w="626" w:type="pct"/>
                  <w:shd w:val="clear" w:color="auto" w:fill="auto"/>
                  <w:vAlign w:val="center"/>
                  <w:hideMark/>
                </w:tcPr>
                <w:p w14:paraId="30D15B0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2.111.889.345</w:t>
                  </w:r>
                </w:p>
              </w:tc>
              <w:tc>
                <w:tcPr>
                  <w:tcW w:w="692" w:type="pct"/>
                  <w:shd w:val="clear" w:color="auto" w:fill="auto"/>
                  <w:vAlign w:val="center"/>
                  <w:hideMark/>
                </w:tcPr>
                <w:p w14:paraId="6A9E060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2.176.907.502</w:t>
                  </w:r>
                </w:p>
              </w:tc>
              <w:tc>
                <w:tcPr>
                  <w:tcW w:w="781" w:type="pct"/>
                  <w:shd w:val="clear" w:color="auto" w:fill="auto"/>
                  <w:vAlign w:val="center"/>
                  <w:hideMark/>
                </w:tcPr>
                <w:p w14:paraId="4B59A59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41.394.698</w:t>
                  </w:r>
                </w:p>
              </w:tc>
              <w:tc>
                <w:tcPr>
                  <w:tcW w:w="698" w:type="pct"/>
                  <w:shd w:val="clear" w:color="auto" w:fill="auto"/>
                  <w:vAlign w:val="bottom"/>
                  <w:hideMark/>
                </w:tcPr>
                <w:p w14:paraId="4931648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65.018.157</w:t>
                  </w:r>
                </w:p>
              </w:tc>
              <w:tc>
                <w:tcPr>
                  <w:tcW w:w="501" w:type="pct"/>
                  <w:shd w:val="clear" w:color="auto" w:fill="auto"/>
                  <w:vAlign w:val="bottom"/>
                  <w:hideMark/>
                </w:tcPr>
                <w:p w14:paraId="06EB2388"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1,90%</w:t>
                  </w:r>
                </w:p>
              </w:tc>
            </w:tr>
            <w:tr w:rsidR="001C7E6F" w:rsidRPr="00B20FE6" w14:paraId="25CE5F47" w14:textId="77777777" w:rsidTr="00BD3046">
              <w:trPr>
                <w:trHeight w:val="20"/>
              </w:trPr>
              <w:tc>
                <w:tcPr>
                  <w:tcW w:w="281" w:type="pct"/>
                  <w:vMerge/>
                  <w:vAlign w:val="center"/>
                  <w:hideMark/>
                </w:tcPr>
                <w:p w14:paraId="05161DF7"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3C88411B"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0450 - Gestão do SUAS, Proteção Social e Redução da Pobreza</w:t>
                  </w:r>
                </w:p>
              </w:tc>
              <w:tc>
                <w:tcPr>
                  <w:tcW w:w="626" w:type="pct"/>
                  <w:shd w:val="clear" w:color="auto" w:fill="auto"/>
                  <w:vAlign w:val="center"/>
                  <w:hideMark/>
                </w:tcPr>
                <w:p w14:paraId="5236816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618.411.108</w:t>
                  </w:r>
                </w:p>
              </w:tc>
              <w:tc>
                <w:tcPr>
                  <w:tcW w:w="692" w:type="pct"/>
                  <w:shd w:val="clear" w:color="auto" w:fill="auto"/>
                  <w:vAlign w:val="center"/>
                  <w:hideMark/>
                </w:tcPr>
                <w:p w14:paraId="100E0E2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520.594.115</w:t>
                  </w:r>
                </w:p>
              </w:tc>
              <w:tc>
                <w:tcPr>
                  <w:tcW w:w="781" w:type="pct"/>
                  <w:shd w:val="clear" w:color="auto" w:fill="auto"/>
                  <w:vAlign w:val="center"/>
                  <w:hideMark/>
                </w:tcPr>
                <w:p w14:paraId="0642A713"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4610256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-97.816.993</w:t>
                  </w:r>
                </w:p>
              </w:tc>
              <w:tc>
                <w:tcPr>
                  <w:tcW w:w="501" w:type="pct"/>
                  <w:shd w:val="clear" w:color="auto" w:fill="auto"/>
                  <w:vAlign w:val="bottom"/>
                  <w:hideMark/>
                </w:tcPr>
                <w:p w14:paraId="747774F2"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47FDB038" w14:textId="77777777" w:rsidTr="00BD3046">
              <w:trPr>
                <w:trHeight w:val="20"/>
              </w:trPr>
              <w:tc>
                <w:tcPr>
                  <w:tcW w:w="281" w:type="pct"/>
                  <w:vMerge/>
                  <w:vAlign w:val="center"/>
                  <w:hideMark/>
                </w:tcPr>
                <w:p w14:paraId="7929E7E7"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57B28333"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0002 - Gestão Administrativa</w:t>
                  </w:r>
                </w:p>
              </w:tc>
              <w:tc>
                <w:tcPr>
                  <w:tcW w:w="626" w:type="pct"/>
                  <w:shd w:val="clear" w:color="auto" w:fill="auto"/>
                  <w:vAlign w:val="center"/>
                  <w:hideMark/>
                </w:tcPr>
                <w:p w14:paraId="7660262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105.848.746</w:t>
                  </w:r>
                </w:p>
              </w:tc>
              <w:tc>
                <w:tcPr>
                  <w:tcW w:w="692" w:type="pct"/>
                  <w:shd w:val="clear" w:color="auto" w:fill="auto"/>
                  <w:vAlign w:val="center"/>
                  <w:hideMark/>
                </w:tcPr>
                <w:p w14:paraId="61A46BD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213.458.867</w:t>
                  </w:r>
                </w:p>
              </w:tc>
              <w:tc>
                <w:tcPr>
                  <w:tcW w:w="781" w:type="pct"/>
                  <w:shd w:val="clear" w:color="auto" w:fill="auto"/>
                  <w:vAlign w:val="center"/>
                  <w:hideMark/>
                </w:tcPr>
                <w:p w14:paraId="7BCA615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757.449</w:t>
                  </w:r>
                </w:p>
              </w:tc>
              <w:tc>
                <w:tcPr>
                  <w:tcW w:w="698" w:type="pct"/>
                  <w:shd w:val="clear" w:color="auto" w:fill="auto"/>
                  <w:vAlign w:val="bottom"/>
                  <w:hideMark/>
                </w:tcPr>
                <w:p w14:paraId="1E05039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107.610.121</w:t>
                  </w:r>
                </w:p>
              </w:tc>
              <w:tc>
                <w:tcPr>
                  <w:tcW w:w="501" w:type="pct"/>
                  <w:shd w:val="clear" w:color="auto" w:fill="auto"/>
                  <w:vAlign w:val="bottom"/>
                  <w:hideMark/>
                </w:tcPr>
                <w:p w14:paraId="4167D907"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0,35%</w:t>
                  </w:r>
                </w:p>
              </w:tc>
            </w:tr>
            <w:tr w:rsidR="001C7E6F" w:rsidRPr="00B20FE6" w14:paraId="0E01D6F2" w14:textId="77777777" w:rsidTr="00BD3046">
              <w:trPr>
                <w:trHeight w:val="20"/>
              </w:trPr>
              <w:tc>
                <w:tcPr>
                  <w:tcW w:w="281" w:type="pct"/>
                  <w:vMerge/>
                  <w:vAlign w:val="center"/>
                  <w:hideMark/>
                </w:tcPr>
                <w:p w14:paraId="6A5E238A"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3886651C"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0498 - Direitos Humanos e Cidadania</w:t>
                  </w:r>
                </w:p>
              </w:tc>
              <w:tc>
                <w:tcPr>
                  <w:tcW w:w="626" w:type="pct"/>
                  <w:shd w:val="clear" w:color="auto" w:fill="auto"/>
                  <w:vAlign w:val="center"/>
                  <w:hideMark/>
                </w:tcPr>
                <w:p w14:paraId="16E1C64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113.890.103</w:t>
                  </w:r>
                </w:p>
              </w:tc>
              <w:tc>
                <w:tcPr>
                  <w:tcW w:w="692" w:type="pct"/>
                  <w:shd w:val="clear" w:color="auto" w:fill="auto"/>
                  <w:vAlign w:val="center"/>
                  <w:hideMark/>
                </w:tcPr>
                <w:p w14:paraId="6E815DB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108.128.699</w:t>
                  </w:r>
                </w:p>
              </w:tc>
              <w:tc>
                <w:tcPr>
                  <w:tcW w:w="781" w:type="pct"/>
                  <w:shd w:val="clear" w:color="auto" w:fill="auto"/>
                  <w:vAlign w:val="center"/>
                  <w:hideMark/>
                </w:tcPr>
                <w:p w14:paraId="73F575AB"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2AB01DE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-5.761.404</w:t>
                  </w:r>
                </w:p>
              </w:tc>
              <w:tc>
                <w:tcPr>
                  <w:tcW w:w="501" w:type="pct"/>
                  <w:shd w:val="clear" w:color="auto" w:fill="auto"/>
                  <w:vAlign w:val="bottom"/>
                  <w:hideMark/>
                </w:tcPr>
                <w:p w14:paraId="417704D9"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5CD1B35D" w14:textId="77777777" w:rsidTr="00BD3046">
              <w:trPr>
                <w:trHeight w:val="20"/>
              </w:trPr>
              <w:tc>
                <w:tcPr>
                  <w:tcW w:w="281" w:type="pct"/>
                  <w:vMerge/>
                  <w:vAlign w:val="center"/>
                  <w:hideMark/>
                </w:tcPr>
                <w:p w14:paraId="779FBAC8"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45CD85B0"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0467 - Segurança Alimentar e Nutricional</w:t>
                  </w:r>
                </w:p>
              </w:tc>
              <w:tc>
                <w:tcPr>
                  <w:tcW w:w="626" w:type="pct"/>
                  <w:shd w:val="clear" w:color="auto" w:fill="auto"/>
                  <w:vAlign w:val="center"/>
                  <w:hideMark/>
                </w:tcPr>
                <w:p w14:paraId="788E94AA"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187.042.690</w:t>
                  </w:r>
                </w:p>
              </w:tc>
              <w:tc>
                <w:tcPr>
                  <w:tcW w:w="692" w:type="pct"/>
                  <w:shd w:val="clear" w:color="auto" w:fill="auto"/>
                  <w:vAlign w:val="center"/>
                  <w:hideMark/>
                </w:tcPr>
                <w:p w14:paraId="10EA34E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93.626.692</w:t>
                  </w:r>
                </w:p>
              </w:tc>
              <w:tc>
                <w:tcPr>
                  <w:tcW w:w="781" w:type="pct"/>
                  <w:shd w:val="clear" w:color="auto" w:fill="auto"/>
                  <w:vAlign w:val="center"/>
                  <w:hideMark/>
                </w:tcPr>
                <w:p w14:paraId="03FC07D7"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76C583F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-93.415.998</w:t>
                  </w:r>
                </w:p>
              </w:tc>
              <w:tc>
                <w:tcPr>
                  <w:tcW w:w="501" w:type="pct"/>
                  <w:shd w:val="clear" w:color="auto" w:fill="auto"/>
                  <w:vAlign w:val="bottom"/>
                  <w:hideMark/>
                </w:tcPr>
                <w:p w14:paraId="12658CA8"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3852C1C1" w14:textId="77777777" w:rsidTr="00BD3046">
              <w:trPr>
                <w:trHeight w:val="20"/>
              </w:trPr>
              <w:tc>
                <w:tcPr>
                  <w:tcW w:w="281" w:type="pct"/>
                  <w:vMerge/>
                  <w:vAlign w:val="center"/>
                  <w:hideMark/>
                </w:tcPr>
                <w:p w14:paraId="73DAE8AC"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301D1249"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0443 - Educação Básica</w:t>
                  </w:r>
                </w:p>
              </w:tc>
              <w:tc>
                <w:tcPr>
                  <w:tcW w:w="626" w:type="pct"/>
                  <w:shd w:val="clear" w:color="auto" w:fill="auto"/>
                  <w:vAlign w:val="center"/>
                  <w:hideMark/>
                </w:tcPr>
                <w:p w14:paraId="6653417A"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2" w:type="pct"/>
                  <w:shd w:val="clear" w:color="auto" w:fill="auto"/>
                  <w:vAlign w:val="center"/>
                  <w:hideMark/>
                </w:tcPr>
                <w:p w14:paraId="2303BFB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79.904.538</w:t>
                  </w:r>
                </w:p>
              </w:tc>
              <w:tc>
                <w:tcPr>
                  <w:tcW w:w="781" w:type="pct"/>
                  <w:shd w:val="clear" w:color="auto" w:fill="auto"/>
                  <w:vAlign w:val="center"/>
                  <w:hideMark/>
                </w:tcPr>
                <w:p w14:paraId="61DD78A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086ACE4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79.904.538</w:t>
                  </w:r>
                </w:p>
              </w:tc>
              <w:tc>
                <w:tcPr>
                  <w:tcW w:w="501" w:type="pct"/>
                  <w:shd w:val="clear" w:color="auto" w:fill="auto"/>
                  <w:vAlign w:val="bottom"/>
                  <w:hideMark/>
                </w:tcPr>
                <w:p w14:paraId="047930D3"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372C0D8F" w14:textId="77777777" w:rsidTr="00BD3046">
              <w:trPr>
                <w:trHeight w:val="20"/>
              </w:trPr>
              <w:tc>
                <w:tcPr>
                  <w:tcW w:w="281" w:type="pct"/>
                  <w:vMerge/>
                  <w:vAlign w:val="center"/>
                  <w:hideMark/>
                </w:tcPr>
                <w:p w14:paraId="59DFDE4E"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7C604454"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0507 - Fortalecimento das Políticas Públicas para Mulheres</w:t>
                  </w:r>
                </w:p>
              </w:tc>
              <w:tc>
                <w:tcPr>
                  <w:tcW w:w="626" w:type="pct"/>
                  <w:shd w:val="clear" w:color="auto" w:fill="auto"/>
                  <w:vAlign w:val="center"/>
                  <w:hideMark/>
                </w:tcPr>
                <w:p w14:paraId="142A3D3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56.682.640</w:t>
                  </w:r>
                </w:p>
              </w:tc>
              <w:tc>
                <w:tcPr>
                  <w:tcW w:w="692" w:type="pct"/>
                  <w:shd w:val="clear" w:color="auto" w:fill="auto"/>
                  <w:vAlign w:val="center"/>
                  <w:hideMark/>
                </w:tcPr>
                <w:p w14:paraId="337BDDD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44.021.913</w:t>
                  </w:r>
                </w:p>
              </w:tc>
              <w:tc>
                <w:tcPr>
                  <w:tcW w:w="781" w:type="pct"/>
                  <w:shd w:val="clear" w:color="auto" w:fill="auto"/>
                  <w:vAlign w:val="center"/>
                  <w:hideMark/>
                </w:tcPr>
                <w:p w14:paraId="31FB7AE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17A67697"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-12.660.727</w:t>
                  </w:r>
                </w:p>
              </w:tc>
              <w:tc>
                <w:tcPr>
                  <w:tcW w:w="501" w:type="pct"/>
                  <w:shd w:val="clear" w:color="auto" w:fill="auto"/>
                  <w:vAlign w:val="bottom"/>
                  <w:hideMark/>
                </w:tcPr>
                <w:p w14:paraId="682038B3"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621B4496" w14:textId="77777777" w:rsidTr="00BD3046">
              <w:trPr>
                <w:trHeight w:val="20"/>
              </w:trPr>
              <w:tc>
                <w:tcPr>
                  <w:tcW w:w="281" w:type="pct"/>
                  <w:vMerge/>
                  <w:vAlign w:val="center"/>
                  <w:hideMark/>
                </w:tcPr>
                <w:p w14:paraId="3010FB52"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16864080"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0506 - Sistema Prisional e Ressocialização dos Custodiados</w:t>
                  </w:r>
                </w:p>
              </w:tc>
              <w:tc>
                <w:tcPr>
                  <w:tcW w:w="626" w:type="pct"/>
                  <w:shd w:val="clear" w:color="auto" w:fill="auto"/>
                  <w:vAlign w:val="center"/>
                  <w:hideMark/>
                </w:tcPr>
                <w:p w14:paraId="37651B7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2" w:type="pct"/>
                  <w:shd w:val="clear" w:color="auto" w:fill="auto"/>
                  <w:vAlign w:val="center"/>
                  <w:hideMark/>
                </w:tcPr>
                <w:p w14:paraId="3CDB30B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24.000.000</w:t>
                  </w:r>
                </w:p>
              </w:tc>
              <w:tc>
                <w:tcPr>
                  <w:tcW w:w="781" w:type="pct"/>
                  <w:shd w:val="clear" w:color="auto" w:fill="auto"/>
                  <w:vAlign w:val="center"/>
                  <w:hideMark/>
                </w:tcPr>
                <w:p w14:paraId="3FE9CFAD"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07D0F3D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24.000.000</w:t>
                  </w:r>
                </w:p>
              </w:tc>
              <w:tc>
                <w:tcPr>
                  <w:tcW w:w="501" w:type="pct"/>
                  <w:shd w:val="clear" w:color="auto" w:fill="auto"/>
                  <w:vAlign w:val="bottom"/>
                  <w:hideMark/>
                </w:tcPr>
                <w:p w14:paraId="762770B2"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58465278" w14:textId="77777777" w:rsidTr="00BD3046">
              <w:trPr>
                <w:trHeight w:val="20"/>
              </w:trPr>
              <w:tc>
                <w:tcPr>
                  <w:tcW w:w="281" w:type="pct"/>
                  <w:vMerge/>
                  <w:vAlign w:val="center"/>
                  <w:hideMark/>
                </w:tcPr>
                <w:p w14:paraId="4B232C4C"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1F67387A"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0442 - Ensino Superior</w:t>
                  </w:r>
                </w:p>
              </w:tc>
              <w:tc>
                <w:tcPr>
                  <w:tcW w:w="626" w:type="pct"/>
                  <w:shd w:val="clear" w:color="auto" w:fill="auto"/>
                  <w:vAlign w:val="center"/>
                  <w:hideMark/>
                </w:tcPr>
                <w:p w14:paraId="55EE642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16.200.000</w:t>
                  </w:r>
                </w:p>
              </w:tc>
              <w:tc>
                <w:tcPr>
                  <w:tcW w:w="692" w:type="pct"/>
                  <w:shd w:val="clear" w:color="auto" w:fill="auto"/>
                  <w:vAlign w:val="center"/>
                  <w:hideMark/>
                </w:tcPr>
                <w:p w14:paraId="35842E97"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14.066.987</w:t>
                  </w:r>
                </w:p>
              </w:tc>
              <w:tc>
                <w:tcPr>
                  <w:tcW w:w="781" w:type="pct"/>
                  <w:shd w:val="clear" w:color="auto" w:fill="auto"/>
                  <w:vAlign w:val="center"/>
                  <w:hideMark/>
                </w:tcPr>
                <w:p w14:paraId="2AFC203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256C8ACA"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-2.133.013</w:t>
                  </w:r>
                </w:p>
              </w:tc>
              <w:tc>
                <w:tcPr>
                  <w:tcW w:w="501" w:type="pct"/>
                  <w:shd w:val="clear" w:color="auto" w:fill="auto"/>
                  <w:vAlign w:val="bottom"/>
                  <w:hideMark/>
                </w:tcPr>
                <w:p w14:paraId="501532AF"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2A7BE8A6" w14:textId="77777777" w:rsidTr="00BD3046">
              <w:trPr>
                <w:trHeight w:val="20"/>
              </w:trPr>
              <w:tc>
                <w:tcPr>
                  <w:tcW w:w="281" w:type="pct"/>
                  <w:vMerge/>
                  <w:vAlign w:val="center"/>
                  <w:hideMark/>
                </w:tcPr>
                <w:p w14:paraId="1CD698D7"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6FB24260"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0098 - Prevenção de Adversidades e Prestação de Socorro pela Defesa Civil e CBMERJ</w:t>
                  </w:r>
                </w:p>
              </w:tc>
              <w:tc>
                <w:tcPr>
                  <w:tcW w:w="626" w:type="pct"/>
                  <w:shd w:val="clear" w:color="auto" w:fill="auto"/>
                  <w:vAlign w:val="center"/>
                  <w:hideMark/>
                </w:tcPr>
                <w:p w14:paraId="24A947A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2" w:type="pct"/>
                  <w:shd w:val="clear" w:color="auto" w:fill="auto"/>
                  <w:vAlign w:val="center"/>
                  <w:hideMark/>
                </w:tcPr>
                <w:p w14:paraId="0D2E7F0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13.499.214</w:t>
                  </w:r>
                </w:p>
              </w:tc>
              <w:tc>
                <w:tcPr>
                  <w:tcW w:w="781" w:type="pct"/>
                  <w:shd w:val="clear" w:color="auto" w:fill="auto"/>
                  <w:vAlign w:val="center"/>
                  <w:hideMark/>
                </w:tcPr>
                <w:p w14:paraId="4BCAF8B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44B47CE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13.499.214</w:t>
                  </w:r>
                </w:p>
              </w:tc>
              <w:tc>
                <w:tcPr>
                  <w:tcW w:w="501" w:type="pct"/>
                  <w:shd w:val="clear" w:color="auto" w:fill="auto"/>
                  <w:vAlign w:val="bottom"/>
                  <w:hideMark/>
                </w:tcPr>
                <w:p w14:paraId="5B280CB2"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043FA76C" w14:textId="77777777" w:rsidTr="00BD3046">
              <w:trPr>
                <w:trHeight w:val="20"/>
              </w:trPr>
              <w:tc>
                <w:tcPr>
                  <w:tcW w:w="281" w:type="pct"/>
                  <w:vMerge/>
                  <w:vAlign w:val="center"/>
                  <w:hideMark/>
                </w:tcPr>
                <w:p w14:paraId="6E98F5EE"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7D1F8C31"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0495 - Ciência, Tecnologia e Inovação</w:t>
                  </w:r>
                </w:p>
              </w:tc>
              <w:tc>
                <w:tcPr>
                  <w:tcW w:w="626" w:type="pct"/>
                  <w:shd w:val="clear" w:color="auto" w:fill="auto"/>
                  <w:vAlign w:val="center"/>
                  <w:hideMark/>
                </w:tcPr>
                <w:p w14:paraId="3E5220D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2" w:type="pct"/>
                  <w:shd w:val="clear" w:color="auto" w:fill="auto"/>
                  <w:vAlign w:val="center"/>
                  <w:hideMark/>
                </w:tcPr>
                <w:p w14:paraId="6FC1FD37"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9.332.563</w:t>
                  </w:r>
                </w:p>
              </w:tc>
              <w:tc>
                <w:tcPr>
                  <w:tcW w:w="781" w:type="pct"/>
                  <w:shd w:val="clear" w:color="auto" w:fill="auto"/>
                  <w:vAlign w:val="center"/>
                  <w:hideMark/>
                </w:tcPr>
                <w:p w14:paraId="001C1A8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51323DC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9.332.563</w:t>
                  </w:r>
                </w:p>
              </w:tc>
              <w:tc>
                <w:tcPr>
                  <w:tcW w:w="501" w:type="pct"/>
                  <w:shd w:val="clear" w:color="auto" w:fill="auto"/>
                  <w:vAlign w:val="bottom"/>
                  <w:hideMark/>
                </w:tcPr>
                <w:p w14:paraId="0F77DC00"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167E26B9" w14:textId="77777777" w:rsidTr="00BD3046">
              <w:trPr>
                <w:trHeight w:val="20"/>
              </w:trPr>
              <w:tc>
                <w:tcPr>
                  <w:tcW w:w="281" w:type="pct"/>
                  <w:vMerge/>
                  <w:vAlign w:val="center"/>
                  <w:hideMark/>
                </w:tcPr>
                <w:p w14:paraId="19068F49"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2BB3AE13"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0466 - Prevenção ao Uso de Drogas</w:t>
                  </w:r>
                </w:p>
              </w:tc>
              <w:tc>
                <w:tcPr>
                  <w:tcW w:w="626" w:type="pct"/>
                  <w:shd w:val="clear" w:color="auto" w:fill="auto"/>
                  <w:vAlign w:val="center"/>
                  <w:hideMark/>
                </w:tcPr>
                <w:p w14:paraId="2729DE7A"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10.000.000</w:t>
                  </w:r>
                </w:p>
              </w:tc>
              <w:tc>
                <w:tcPr>
                  <w:tcW w:w="692" w:type="pct"/>
                  <w:shd w:val="clear" w:color="auto" w:fill="auto"/>
                  <w:vAlign w:val="center"/>
                  <w:hideMark/>
                </w:tcPr>
                <w:p w14:paraId="0C48C46B"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7.354.984</w:t>
                  </w:r>
                </w:p>
              </w:tc>
              <w:tc>
                <w:tcPr>
                  <w:tcW w:w="781" w:type="pct"/>
                  <w:shd w:val="clear" w:color="auto" w:fill="auto"/>
                  <w:vAlign w:val="center"/>
                  <w:hideMark/>
                </w:tcPr>
                <w:p w14:paraId="5EA3E50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50964B8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-2.645.016</w:t>
                  </w:r>
                </w:p>
              </w:tc>
              <w:tc>
                <w:tcPr>
                  <w:tcW w:w="501" w:type="pct"/>
                  <w:shd w:val="clear" w:color="auto" w:fill="auto"/>
                  <w:vAlign w:val="bottom"/>
                  <w:hideMark/>
                </w:tcPr>
                <w:p w14:paraId="30DC8244"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21462F8D" w14:textId="77777777" w:rsidTr="00BD3046">
              <w:trPr>
                <w:trHeight w:val="20"/>
              </w:trPr>
              <w:tc>
                <w:tcPr>
                  <w:tcW w:w="281" w:type="pct"/>
                  <w:vMerge w:val="restart"/>
                  <w:shd w:val="clear" w:color="auto" w:fill="auto"/>
                  <w:hideMark/>
                </w:tcPr>
                <w:p w14:paraId="00A04DA5"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2025</w:t>
                  </w:r>
                </w:p>
              </w:tc>
              <w:tc>
                <w:tcPr>
                  <w:tcW w:w="1420" w:type="pct"/>
                  <w:shd w:val="clear" w:color="auto" w:fill="auto"/>
                  <w:hideMark/>
                </w:tcPr>
                <w:p w14:paraId="20CF5C87"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0450 - Gestão do SUAS, Proteção Social e Redução da Pobreza</w:t>
                  </w:r>
                </w:p>
              </w:tc>
              <w:tc>
                <w:tcPr>
                  <w:tcW w:w="626" w:type="pct"/>
                  <w:shd w:val="clear" w:color="auto" w:fill="auto"/>
                  <w:vAlign w:val="center"/>
                  <w:hideMark/>
                </w:tcPr>
                <w:p w14:paraId="4E1D799D"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1.036.743.673</w:t>
                  </w:r>
                </w:p>
              </w:tc>
              <w:tc>
                <w:tcPr>
                  <w:tcW w:w="692" w:type="pct"/>
                  <w:shd w:val="clear" w:color="auto" w:fill="auto"/>
                  <w:vAlign w:val="center"/>
                  <w:hideMark/>
                </w:tcPr>
                <w:p w14:paraId="5BCF67D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998.766.518</w:t>
                  </w:r>
                </w:p>
              </w:tc>
              <w:tc>
                <w:tcPr>
                  <w:tcW w:w="781" w:type="pct"/>
                  <w:shd w:val="clear" w:color="auto" w:fill="auto"/>
                  <w:vAlign w:val="center"/>
                  <w:hideMark/>
                </w:tcPr>
                <w:p w14:paraId="3ECEB51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145.900.432</w:t>
                  </w:r>
                </w:p>
              </w:tc>
              <w:tc>
                <w:tcPr>
                  <w:tcW w:w="698" w:type="pct"/>
                  <w:shd w:val="clear" w:color="auto" w:fill="auto"/>
                  <w:vAlign w:val="bottom"/>
                  <w:hideMark/>
                </w:tcPr>
                <w:p w14:paraId="1B06DA8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-37.977.155</w:t>
                  </w:r>
                </w:p>
              </w:tc>
              <w:tc>
                <w:tcPr>
                  <w:tcW w:w="501" w:type="pct"/>
                  <w:shd w:val="clear" w:color="auto" w:fill="auto"/>
                  <w:vAlign w:val="bottom"/>
                  <w:hideMark/>
                </w:tcPr>
                <w:p w14:paraId="70F9267B"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14,61%</w:t>
                  </w:r>
                </w:p>
              </w:tc>
            </w:tr>
            <w:tr w:rsidR="001C7E6F" w:rsidRPr="00B20FE6" w14:paraId="1A35A308" w14:textId="77777777" w:rsidTr="00BD3046">
              <w:trPr>
                <w:trHeight w:val="20"/>
              </w:trPr>
              <w:tc>
                <w:tcPr>
                  <w:tcW w:w="281" w:type="pct"/>
                  <w:vMerge/>
                  <w:vAlign w:val="center"/>
                  <w:hideMark/>
                </w:tcPr>
                <w:p w14:paraId="1C9AF93C"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00583171"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0508 - Estratégia e Gestão da Saúde</w:t>
                  </w:r>
                </w:p>
              </w:tc>
              <w:tc>
                <w:tcPr>
                  <w:tcW w:w="626" w:type="pct"/>
                  <w:shd w:val="clear" w:color="auto" w:fill="auto"/>
                  <w:vAlign w:val="center"/>
                  <w:hideMark/>
                </w:tcPr>
                <w:p w14:paraId="526D69D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825.615.205</w:t>
                  </w:r>
                </w:p>
              </w:tc>
              <w:tc>
                <w:tcPr>
                  <w:tcW w:w="692" w:type="pct"/>
                  <w:shd w:val="clear" w:color="auto" w:fill="auto"/>
                  <w:vAlign w:val="center"/>
                  <w:hideMark/>
                </w:tcPr>
                <w:p w14:paraId="4A81E98B"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825.615.205</w:t>
                  </w:r>
                </w:p>
              </w:tc>
              <w:tc>
                <w:tcPr>
                  <w:tcW w:w="781" w:type="pct"/>
                  <w:shd w:val="clear" w:color="auto" w:fill="auto"/>
                  <w:vAlign w:val="center"/>
                  <w:hideMark/>
                </w:tcPr>
                <w:p w14:paraId="74E9679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27.612.545</w:t>
                  </w:r>
                </w:p>
              </w:tc>
              <w:tc>
                <w:tcPr>
                  <w:tcW w:w="698" w:type="pct"/>
                  <w:shd w:val="clear" w:color="auto" w:fill="auto"/>
                  <w:vAlign w:val="bottom"/>
                  <w:hideMark/>
                </w:tcPr>
                <w:p w14:paraId="3936F8F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501" w:type="pct"/>
                  <w:shd w:val="clear" w:color="auto" w:fill="auto"/>
                  <w:vAlign w:val="bottom"/>
                  <w:hideMark/>
                </w:tcPr>
                <w:p w14:paraId="0CFB27E1"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3,34%</w:t>
                  </w:r>
                </w:p>
              </w:tc>
            </w:tr>
            <w:tr w:rsidR="001C7E6F" w:rsidRPr="00B20FE6" w14:paraId="48A92471" w14:textId="77777777" w:rsidTr="00BD3046">
              <w:trPr>
                <w:trHeight w:val="20"/>
              </w:trPr>
              <w:tc>
                <w:tcPr>
                  <w:tcW w:w="281" w:type="pct"/>
                  <w:vMerge/>
                  <w:vAlign w:val="center"/>
                  <w:hideMark/>
                </w:tcPr>
                <w:p w14:paraId="16BC178A"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48DFD45C"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0443 - Educação Básica</w:t>
                  </w:r>
                </w:p>
              </w:tc>
              <w:tc>
                <w:tcPr>
                  <w:tcW w:w="626" w:type="pct"/>
                  <w:shd w:val="clear" w:color="auto" w:fill="auto"/>
                  <w:vAlign w:val="center"/>
                  <w:hideMark/>
                </w:tcPr>
                <w:p w14:paraId="4DE2B55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454.961.034</w:t>
                  </w:r>
                </w:p>
              </w:tc>
              <w:tc>
                <w:tcPr>
                  <w:tcW w:w="692" w:type="pct"/>
                  <w:shd w:val="clear" w:color="auto" w:fill="auto"/>
                  <w:vAlign w:val="center"/>
                  <w:hideMark/>
                </w:tcPr>
                <w:p w14:paraId="0D53EEB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464.932.699</w:t>
                  </w:r>
                </w:p>
              </w:tc>
              <w:tc>
                <w:tcPr>
                  <w:tcW w:w="781" w:type="pct"/>
                  <w:shd w:val="clear" w:color="auto" w:fill="auto"/>
                  <w:vAlign w:val="center"/>
                  <w:hideMark/>
                </w:tcPr>
                <w:p w14:paraId="67F91AE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5A8ABE07"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9.971.665</w:t>
                  </w:r>
                </w:p>
              </w:tc>
              <w:tc>
                <w:tcPr>
                  <w:tcW w:w="501" w:type="pct"/>
                  <w:shd w:val="clear" w:color="auto" w:fill="auto"/>
                  <w:vAlign w:val="bottom"/>
                  <w:hideMark/>
                </w:tcPr>
                <w:p w14:paraId="17A8FAC5"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30834BCF" w14:textId="77777777" w:rsidTr="00BD3046">
              <w:trPr>
                <w:trHeight w:val="20"/>
              </w:trPr>
              <w:tc>
                <w:tcPr>
                  <w:tcW w:w="281" w:type="pct"/>
                  <w:vMerge/>
                  <w:vAlign w:val="center"/>
                  <w:hideMark/>
                </w:tcPr>
                <w:p w14:paraId="1BE7EAD4"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2B289072"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0498 - Direitos Humanos e Cidadania</w:t>
                  </w:r>
                </w:p>
              </w:tc>
              <w:tc>
                <w:tcPr>
                  <w:tcW w:w="626" w:type="pct"/>
                  <w:shd w:val="clear" w:color="auto" w:fill="auto"/>
                  <w:vAlign w:val="center"/>
                  <w:hideMark/>
                </w:tcPr>
                <w:p w14:paraId="4E3A3F8D"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198.999.236</w:t>
                  </w:r>
                </w:p>
              </w:tc>
              <w:tc>
                <w:tcPr>
                  <w:tcW w:w="692" w:type="pct"/>
                  <w:shd w:val="clear" w:color="auto" w:fill="auto"/>
                  <w:vAlign w:val="center"/>
                  <w:hideMark/>
                </w:tcPr>
                <w:p w14:paraId="2BA4F1C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223.324.773</w:t>
                  </w:r>
                </w:p>
              </w:tc>
              <w:tc>
                <w:tcPr>
                  <w:tcW w:w="781" w:type="pct"/>
                  <w:shd w:val="clear" w:color="auto" w:fill="auto"/>
                  <w:vAlign w:val="center"/>
                  <w:hideMark/>
                </w:tcPr>
                <w:p w14:paraId="71DBDB7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31.836.104</w:t>
                  </w:r>
                </w:p>
              </w:tc>
              <w:tc>
                <w:tcPr>
                  <w:tcW w:w="698" w:type="pct"/>
                  <w:shd w:val="clear" w:color="auto" w:fill="auto"/>
                  <w:vAlign w:val="bottom"/>
                  <w:hideMark/>
                </w:tcPr>
                <w:p w14:paraId="1A7F80A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24.325.537</w:t>
                  </w:r>
                </w:p>
              </w:tc>
              <w:tc>
                <w:tcPr>
                  <w:tcW w:w="501" w:type="pct"/>
                  <w:shd w:val="clear" w:color="auto" w:fill="auto"/>
                  <w:vAlign w:val="bottom"/>
                  <w:hideMark/>
                </w:tcPr>
                <w:p w14:paraId="2878773E"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14,26%</w:t>
                  </w:r>
                </w:p>
              </w:tc>
            </w:tr>
            <w:tr w:rsidR="001C7E6F" w:rsidRPr="00B20FE6" w14:paraId="635FC40C" w14:textId="77777777" w:rsidTr="00BD3046">
              <w:trPr>
                <w:trHeight w:val="20"/>
              </w:trPr>
              <w:tc>
                <w:tcPr>
                  <w:tcW w:w="281" w:type="pct"/>
                  <w:vMerge/>
                  <w:vAlign w:val="center"/>
                  <w:hideMark/>
                </w:tcPr>
                <w:p w14:paraId="38000636"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73FB206D"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0506 - Sistema Prisional e Ressocialização dos Custodiados</w:t>
                  </w:r>
                </w:p>
              </w:tc>
              <w:tc>
                <w:tcPr>
                  <w:tcW w:w="626" w:type="pct"/>
                  <w:shd w:val="clear" w:color="auto" w:fill="auto"/>
                  <w:vAlign w:val="center"/>
                  <w:hideMark/>
                </w:tcPr>
                <w:p w14:paraId="0417FB80"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187.258.486</w:t>
                  </w:r>
                </w:p>
              </w:tc>
              <w:tc>
                <w:tcPr>
                  <w:tcW w:w="692" w:type="pct"/>
                  <w:shd w:val="clear" w:color="auto" w:fill="auto"/>
                  <w:vAlign w:val="center"/>
                  <w:hideMark/>
                </w:tcPr>
                <w:p w14:paraId="2718016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187.258.486</w:t>
                  </w:r>
                </w:p>
              </w:tc>
              <w:tc>
                <w:tcPr>
                  <w:tcW w:w="781" w:type="pct"/>
                  <w:shd w:val="clear" w:color="auto" w:fill="auto"/>
                  <w:vAlign w:val="center"/>
                  <w:hideMark/>
                </w:tcPr>
                <w:p w14:paraId="5EFA336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3F9269E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501" w:type="pct"/>
                  <w:shd w:val="clear" w:color="auto" w:fill="auto"/>
                  <w:vAlign w:val="bottom"/>
                  <w:hideMark/>
                </w:tcPr>
                <w:p w14:paraId="6EF5B64E"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57370079" w14:textId="77777777" w:rsidTr="00BD3046">
              <w:trPr>
                <w:trHeight w:val="20"/>
              </w:trPr>
              <w:tc>
                <w:tcPr>
                  <w:tcW w:w="281" w:type="pct"/>
                  <w:vMerge/>
                  <w:vAlign w:val="center"/>
                  <w:hideMark/>
                </w:tcPr>
                <w:p w14:paraId="6BF0E7FC"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14009068"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0467 - Segurança Alimentar e Nutricional</w:t>
                  </w:r>
                </w:p>
              </w:tc>
              <w:tc>
                <w:tcPr>
                  <w:tcW w:w="626" w:type="pct"/>
                  <w:shd w:val="clear" w:color="auto" w:fill="auto"/>
                  <w:vAlign w:val="center"/>
                  <w:hideMark/>
                </w:tcPr>
                <w:p w14:paraId="74B0A1F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163.148.143</w:t>
                  </w:r>
                </w:p>
              </w:tc>
              <w:tc>
                <w:tcPr>
                  <w:tcW w:w="692" w:type="pct"/>
                  <w:shd w:val="clear" w:color="auto" w:fill="auto"/>
                  <w:vAlign w:val="center"/>
                  <w:hideMark/>
                </w:tcPr>
                <w:p w14:paraId="3741BBA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163.148.143</w:t>
                  </w:r>
                </w:p>
              </w:tc>
              <w:tc>
                <w:tcPr>
                  <w:tcW w:w="781" w:type="pct"/>
                  <w:shd w:val="clear" w:color="auto" w:fill="auto"/>
                  <w:vAlign w:val="center"/>
                  <w:hideMark/>
                </w:tcPr>
                <w:p w14:paraId="6FC8972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68.036.323</w:t>
                  </w:r>
                </w:p>
              </w:tc>
              <w:tc>
                <w:tcPr>
                  <w:tcW w:w="698" w:type="pct"/>
                  <w:shd w:val="clear" w:color="auto" w:fill="auto"/>
                  <w:vAlign w:val="bottom"/>
                  <w:hideMark/>
                </w:tcPr>
                <w:p w14:paraId="7D5BE12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501" w:type="pct"/>
                  <w:shd w:val="clear" w:color="auto" w:fill="auto"/>
                  <w:vAlign w:val="bottom"/>
                  <w:hideMark/>
                </w:tcPr>
                <w:p w14:paraId="48D96651"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41,70%</w:t>
                  </w:r>
                </w:p>
              </w:tc>
            </w:tr>
            <w:tr w:rsidR="001C7E6F" w:rsidRPr="00B20FE6" w14:paraId="73F33A35" w14:textId="77777777" w:rsidTr="00BD3046">
              <w:trPr>
                <w:trHeight w:val="20"/>
              </w:trPr>
              <w:tc>
                <w:tcPr>
                  <w:tcW w:w="281" w:type="pct"/>
                  <w:vMerge/>
                  <w:vAlign w:val="center"/>
                  <w:hideMark/>
                </w:tcPr>
                <w:p w14:paraId="741A13FF"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277E0903"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0002 - Gestão Administrativa</w:t>
                  </w:r>
                </w:p>
              </w:tc>
              <w:tc>
                <w:tcPr>
                  <w:tcW w:w="626" w:type="pct"/>
                  <w:shd w:val="clear" w:color="auto" w:fill="auto"/>
                  <w:vAlign w:val="center"/>
                  <w:hideMark/>
                </w:tcPr>
                <w:p w14:paraId="292C76CE"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141.362.024</w:t>
                  </w:r>
                </w:p>
              </w:tc>
              <w:tc>
                <w:tcPr>
                  <w:tcW w:w="692" w:type="pct"/>
                  <w:shd w:val="clear" w:color="auto" w:fill="auto"/>
                  <w:vAlign w:val="center"/>
                  <w:hideMark/>
                </w:tcPr>
                <w:p w14:paraId="29D697F3"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144.705.182</w:t>
                  </w:r>
                </w:p>
              </w:tc>
              <w:tc>
                <w:tcPr>
                  <w:tcW w:w="781" w:type="pct"/>
                  <w:shd w:val="clear" w:color="auto" w:fill="auto"/>
                  <w:vAlign w:val="center"/>
                  <w:hideMark/>
                </w:tcPr>
                <w:p w14:paraId="28901A53"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9.809.486</w:t>
                  </w:r>
                </w:p>
              </w:tc>
              <w:tc>
                <w:tcPr>
                  <w:tcW w:w="698" w:type="pct"/>
                  <w:shd w:val="clear" w:color="auto" w:fill="auto"/>
                  <w:vAlign w:val="bottom"/>
                  <w:hideMark/>
                </w:tcPr>
                <w:p w14:paraId="3B4E9BD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3.343.158</w:t>
                  </w:r>
                </w:p>
              </w:tc>
              <w:tc>
                <w:tcPr>
                  <w:tcW w:w="501" w:type="pct"/>
                  <w:shd w:val="clear" w:color="auto" w:fill="auto"/>
                  <w:vAlign w:val="bottom"/>
                  <w:hideMark/>
                </w:tcPr>
                <w:p w14:paraId="51BDA86D"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6,78%</w:t>
                  </w:r>
                </w:p>
              </w:tc>
            </w:tr>
            <w:tr w:rsidR="001C7E6F" w:rsidRPr="00B20FE6" w14:paraId="747AC745" w14:textId="77777777" w:rsidTr="00BD3046">
              <w:trPr>
                <w:trHeight w:val="20"/>
              </w:trPr>
              <w:tc>
                <w:tcPr>
                  <w:tcW w:w="281" w:type="pct"/>
                  <w:vMerge/>
                  <w:vAlign w:val="center"/>
                  <w:hideMark/>
                </w:tcPr>
                <w:p w14:paraId="550CF093"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6C7611D7"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0442 - Ensino Superior</w:t>
                  </w:r>
                </w:p>
              </w:tc>
              <w:tc>
                <w:tcPr>
                  <w:tcW w:w="626" w:type="pct"/>
                  <w:shd w:val="clear" w:color="auto" w:fill="auto"/>
                  <w:vAlign w:val="center"/>
                  <w:hideMark/>
                </w:tcPr>
                <w:p w14:paraId="0897482A"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117.729.357</w:t>
                  </w:r>
                </w:p>
              </w:tc>
              <w:tc>
                <w:tcPr>
                  <w:tcW w:w="692" w:type="pct"/>
                  <w:shd w:val="clear" w:color="auto" w:fill="auto"/>
                  <w:vAlign w:val="center"/>
                  <w:hideMark/>
                </w:tcPr>
                <w:p w14:paraId="2EB82BD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140.110.045</w:t>
                  </w:r>
                </w:p>
              </w:tc>
              <w:tc>
                <w:tcPr>
                  <w:tcW w:w="781" w:type="pct"/>
                  <w:shd w:val="clear" w:color="auto" w:fill="auto"/>
                  <w:vAlign w:val="center"/>
                  <w:hideMark/>
                </w:tcPr>
                <w:p w14:paraId="6A76432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55FBE30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22.380.688</w:t>
                  </w:r>
                </w:p>
              </w:tc>
              <w:tc>
                <w:tcPr>
                  <w:tcW w:w="501" w:type="pct"/>
                  <w:shd w:val="clear" w:color="auto" w:fill="auto"/>
                  <w:vAlign w:val="bottom"/>
                  <w:hideMark/>
                </w:tcPr>
                <w:p w14:paraId="3B422B10"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51C1E185" w14:textId="77777777" w:rsidTr="00BD3046">
              <w:trPr>
                <w:trHeight w:val="20"/>
              </w:trPr>
              <w:tc>
                <w:tcPr>
                  <w:tcW w:w="281" w:type="pct"/>
                  <w:vMerge/>
                  <w:vAlign w:val="center"/>
                  <w:hideMark/>
                </w:tcPr>
                <w:p w14:paraId="253BA6B1"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7C769B41"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0507 - Fortalecimento das Políticas Públicas para Mulheres</w:t>
                  </w:r>
                </w:p>
              </w:tc>
              <w:tc>
                <w:tcPr>
                  <w:tcW w:w="626" w:type="pct"/>
                  <w:shd w:val="clear" w:color="auto" w:fill="auto"/>
                  <w:vAlign w:val="center"/>
                  <w:hideMark/>
                </w:tcPr>
                <w:p w14:paraId="6D2F0D5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53.444.271</w:t>
                  </w:r>
                </w:p>
              </w:tc>
              <w:tc>
                <w:tcPr>
                  <w:tcW w:w="692" w:type="pct"/>
                  <w:shd w:val="clear" w:color="auto" w:fill="auto"/>
                  <w:vAlign w:val="center"/>
                  <w:hideMark/>
                </w:tcPr>
                <w:p w14:paraId="411F9ED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46.835.843</w:t>
                  </w:r>
                </w:p>
              </w:tc>
              <w:tc>
                <w:tcPr>
                  <w:tcW w:w="781" w:type="pct"/>
                  <w:shd w:val="clear" w:color="auto" w:fill="auto"/>
                  <w:vAlign w:val="center"/>
                  <w:hideMark/>
                </w:tcPr>
                <w:p w14:paraId="751D8F05"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417.767</w:t>
                  </w:r>
                </w:p>
              </w:tc>
              <w:tc>
                <w:tcPr>
                  <w:tcW w:w="698" w:type="pct"/>
                  <w:shd w:val="clear" w:color="auto" w:fill="auto"/>
                  <w:vAlign w:val="bottom"/>
                  <w:hideMark/>
                </w:tcPr>
                <w:p w14:paraId="0A04A8C2"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-6.608.428</w:t>
                  </w:r>
                </w:p>
              </w:tc>
              <w:tc>
                <w:tcPr>
                  <w:tcW w:w="501" w:type="pct"/>
                  <w:shd w:val="clear" w:color="auto" w:fill="auto"/>
                  <w:vAlign w:val="bottom"/>
                  <w:hideMark/>
                </w:tcPr>
                <w:p w14:paraId="6FCACA5A"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0,89%</w:t>
                  </w:r>
                </w:p>
              </w:tc>
            </w:tr>
            <w:tr w:rsidR="001C7E6F" w:rsidRPr="00B20FE6" w14:paraId="2FD2C7D8" w14:textId="77777777" w:rsidTr="00BD3046">
              <w:trPr>
                <w:trHeight w:val="20"/>
              </w:trPr>
              <w:tc>
                <w:tcPr>
                  <w:tcW w:w="281" w:type="pct"/>
                  <w:vMerge/>
                  <w:vAlign w:val="center"/>
                  <w:hideMark/>
                </w:tcPr>
                <w:p w14:paraId="15F58ADA"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07DC9761"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0496 - Resiliência, Redução de Risco, Resposta e Recuperação em Desastres e Emergências</w:t>
                  </w:r>
                </w:p>
              </w:tc>
              <w:tc>
                <w:tcPr>
                  <w:tcW w:w="626" w:type="pct"/>
                  <w:shd w:val="clear" w:color="auto" w:fill="auto"/>
                  <w:vAlign w:val="center"/>
                  <w:hideMark/>
                </w:tcPr>
                <w:p w14:paraId="34A810F9"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23.384.262</w:t>
                  </w:r>
                </w:p>
              </w:tc>
              <w:tc>
                <w:tcPr>
                  <w:tcW w:w="692" w:type="pct"/>
                  <w:shd w:val="clear" w:color="auto" w:fill="auto"/>
                  <w:vAlign w:val="center"/>
                  <w:hideMark/>
                </w:tcPr>
                <w:p w14:paraId="2E9FE4CB"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23.384.262</w:t>
                  </w:r>
                </w:p>
              </w:tc>
              <w:tc>
                <w:tcPr>
                  <w:tcW w:w="781" w:type="pct"/>
                  <w:shd w:val="clear" w:color="auto" w:fill="auto"/>
                  <w:vAlign w:val="center"/>
                  <w:hideMark/>
                </w:tcPr>
                <w:p w14:paraId="47190C6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26FD77ED"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501" w:type="pct"/>
                  <w:shd w:val="clear" w:color="auto" w:fill="auto"/>
                  <w:vAlign w:val="bottom"/>
                  <w:hideMark/>
                </w:tcPr>
                <w:p w14:paraId="64EE94E3"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47606031" w14:textId="77777777" w:rsidTr="00BD3046">
              <w:trPr>
                <w:trHeight w:val="20"/>
              </w:trPr>
              <w:tc>
                <w:tcPr>
                  <w:tcW w:w="281" w:type="pct"/>
                  <w:vMerge/>
                  <w:vAlign w:val="center"/>
                  <w:hideMark/>
                </w:tcPr>
                <w:p w14:paraId="44497B37"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5208CD56"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0466 - Prevenção ao Uso de Drogas</w:t>
                  </w:r>
                </w:p>
              </w:tc>
              <w:tc>
                <w:tcPr>
                  <w:tcW w:w="626" w:type="pct"/>
                  <w:shd w:val="clear" w:color="auto" w:fill="auto"/>
                  <w:vAlign w:val="center"/>
                  <w:hideMark/>
                </w:tcPr>
                <w:p w14:paraId="36BA4CB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9.501.000</w:t>
                  </w:r>
                </w:p>
              </w:tc>
              <w:tc>
                <w:tcPr>
                  <w:tcW w:w="692" w:type="pct"/>
                  <w:shd w:val="clear" w:color="auto" w:fill="auto"/>
                  <w:vAlign w:val="center"/>
                  <w:hideMark/>
                </w:tcPr>
                <w:p w14:paraId="241DAE3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9.501.000</w:t>
                  </w:r>
                </w:p>
              </w:tc>
              <w:tc>
                <w:tcPr>
                  <w:tcW w:w="781" w:type="pct"/>
                  <w:shd w:val="clear" w:color="auto" w:fill="auto"/>
                  <w:vAlign w:val="center"/>
                  <w:hideMark/>
                </w:tcPr>
                <w:p w14:paraId="21B26F5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3.418.134</w:t>
                  </w:r>
                </w:p>
              </w:tc>
              <w:tc>
                <w:tcPr>
                  <w:tcW w:w="698" w:type="pct"/>
                  <w:shd w:val="clear" w:color="auto" w:fill="auto"/>
                  <w:vAlign w:val="bottom"/>
                  <w:hideMark/>
                </w:tcPr>
                <w:p w14:paraId="55664F3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501" w:type="pct"/>
                  <w:shd w:val="clear" w:color="auto" w:fill="auto"/>
                  <w:vAlign w:val="bottom"/>
                  <w:hideMark/>
                </w:tcPr>
                <w:p w14:paraId="50FAFA47"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35,98%</w:t>
                  </w:r>
                </w:p>
              </w:tc>
            </w:tr>
            <w:tr w:rsidR="001C7E6F" w:rsidRPr="00B20FE6" w14:paraId="6A57AA5E" w14:textId="77777777" w:rsidTr="00BD3046">
              <w:trPr>
                <w:trHeight w:val="20"/>
              </w:trPr>
              <w:tc>
                <w:tcPr>
                  <w:tcW w:w="281" w:type="pct"/>
                  <w:vMerge/>
                  <w:vAlign w:val="center"/>
                  <w:hideMark/>
                </w:tcPr>
                <w:p w14:paraId="57570EF1"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41E516E8"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0497 - Emprego, Renda e Formação para o Mercado de Trabalho</w:t>
                  </w:r>
                </w:p>
              </w:tc>
              <w:tc>
                <w:tcPr>
                  <w:tcW w:w="626" w:type="pct"/>
                  <w:shd w:val="clear" w:color="auto" w:fill="auto"/>
                  <w:vAlign w:val="center"/>
                  <w:hideMark/>
                </w:tcPr>
                <w:p w14:paraId="0CAC969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10.000.000</w:t>
                  </w:r>
                </w:p>
              </w:tc>
              <w:tc>
                <w:tcPr>
                  <w:tcW w:w="692" w:type="pct"/>
                  <w:shd w:val="clear" w:color="auto" w:fill="auto"/>
                  <w:vAlign w:val="center"/>
                  <w:hideMark/>
                </w:tcPr>
                <w:p w14:paraId="54196C81"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4.825.867</w:t>
                  </w:r>
                </w:p>
              </w:tc>
              <w:tc>
                <w:tcPr>
                  <w:tcW w:w="781" w:type="pct"/>
                  <w:shd w:val="clear" w:color="auto" w:fill="auto"/>
                  <w:vAlign w:val="center"/>
                  <w:hideMark/>
                </w:tcPr>
                <w:p w14:paraId="6E64684D"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1D025134"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-5.174.133</w:t>
                  </w:r>
                </w:p>
              </w:tc>
              <w:tc>
                <w:tcPr>
                  <w:tcW w:w="501" w:type="pct"/>
                  <w:shd w:val="clear" w:color="auto" w:fill="auto"/>
                  <w:vAlign w:val="bottom"/>
                  <w:hideMark/>
                </w:tcPr>
                <w:p w14:paraId="7CF1FBD9"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44616234" w14:textId="77777777" w:rsidTr="00BD3046">
              <w:trPr>
                <w:trHeight w:val="20"/>
              </w:trPr>
              <w:tc>
                <w:tcPr>
                  <w:tcW w:w="281" w:type="pct"/>
                  <w:vMerge/>
                  <w:vAlign w:val="center"/>
                  <w:hideMark/>
                </w:tcPr>
                <w:p w14:paraId="402FBFC6"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02DCF0CA"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0495 - Ciência, Tecnologia e Inovação</w:t>
                  </w:r>
                </w:p>
              </w:tc>
              <w:tc>
                <w:tcPr>
                  <w:tcW w:w="626" w:type="pct"/>
                  <w:shd w:val="clear" w:color="auto" w:fill="auto"/>
                  <w:vAlign w:val="center"/>
                  <w:hideMark/>
                </w:tcPr>
                <w:p w14:paraId="710E3166"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10.000.000</w:t>
                  </w:r>
                </w:p>
              </w:tc>
              <w:tc>
                <w:tcPr>
                  <w:tcW w:w="692" w:type="pct"/>
                  <w:shd w:val="clear" w:color="auto" w:fill="auto"/>
                  <w:vAlign w:val="center"/>
                  <w:hideMark/>
                </w:tcPr>
                <w:p w14:paraId="488A02DA"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4.000.000</w:t>
                  </w:r>
                </w:p>
              </w:tc>
              <w:tc>
                <w:tcPr>
                  <w:tcW w:w="781" w:type="pct"/>
                  <w:shd w:val="clear" w:color="auto" w:fill="auto"/>
                  <w:vAlign w:val="center"/>
                  <w:hideMark/>
                </w:tcPr>
                <w:p w14:paraId="719C4C38"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1424F72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-6.000.000</w:t>
                  </w:r>
                </w:p>
              </w:tc>
              <w:tc>
                <w:tcPr>
                  <w:tcW w:w="501" w:type="pct"/>
                  <w:shd w:val="clear" w:color="auto" w:fill="auto"/>
                  <w:vAlign w:val="bottom"/>
                  <w:hideMark/>
                </w:tcPr>
                <w:p w14:paraId="692B7CD8"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4A1A8B71" w14:textId="77777777" w:rsidTr="00BD3046">
              <w:trPr>
                <w:trHeight w:val="20"/>
              </w:trPr>
              <w:tc>
                <w:tcPr>
                  <w:tcW w:w="281" w:type="pct"/>
                  <w:vMerge/>
                  <w:vAlign w:val="center"/>
                  <w:hideMark/>
                </w:tcPr>
                <w:p w14:paraId="670148C5"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p>
              </w:tc>
              <w:tc>
                <w:tcPr>
                  <w:tcW w:w="1420" w:type="pct"/>
                  <w:shd w:val="clear" w:color="auto" w:fill="auto"/>
                  <w:hideMark/>
                </w:tcPr>
                <w:p w14:paraId="37518C47" w14:textId="77777777" w:rsidR="001C7E6F" w:rsidRPr="00B20FE6" w:rsidRDefault="001C7E6F" w:rsidP="00BD3046">
                  <w:pPr>
                    <w:spacing w:after="0" w:line="240" w:lineRule="auto"/>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0502 - Política Habitacional e Regularização Fundiária</w:t>
                  </w:r>
                </w:p>
              </w:tc>
              <w:tc>
                <w:tcPr>
                  <w:tcW w:w="626" w:type="pct"/>
                  <w:shd w:val="clear" w:color="auto" w:fill="auto"/>
                  <w:vAlign w:val="center"/>
                  <w:hideMark/>
                </w:tcPr>
                <w:p w14:paraId="4E7F4A0C"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2" w:type="pct"/>
                  <w:shd w:val="clear" w:color="auto" w:fill="auto"/>
                  <w:vAlign w:val="center"/>
                  <w:hideMark/>
                </w:tcPr>
                <w:p w14:paraId="0448886D"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131.844</w:t>
                  </w:r>
                </w:p>
              </w:tc>
              <w:tc>
                <w:tcPr>
                  <w:tcW w:w="781" w:type="pct"/>
                  <w:shd w:val="clear" w:color="auto" w:fill="auto"/>
                  <w:vAlign w:val="center"/>
                  <w:hideMark/>
                </w:tcPr>
                <w:p w14:paraId="6DA67DCF"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w:t>
                  </w:r>
                </w:p>
              </w:tc>
              <w:tc>
                <w:tcPr>
                  <w:tcW w:w="698" w:type="pct"/>
                  <w:shd w:val="clear" w:color="auto" w:fill="auto"/>
                  <w:vAlign w:val="bottom"/>
                  <w:hideMark/>
                </w:tcPr>
                <w:p w14:paraId="27356197" w14:textId="77777777" w:rsidR="001C7E6F" w:rsidRPr="00B20FE6" w:rsidRDefault="001C7E6F" w:rsidP="00BD3046">
                  <w:pPr>
                    <w:spacing w:after="0" w:line="240" w:lineRule="auto"/>
                    <w:jc w:val="right"/>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131.844</w:t>
                  </w:r>
                </w:p>
              </w:tc>
              <w:tc>
                <w:tcPr>
                  <w:tcW w:w="501" w:type="pct"/>
                  <w:shd w:val="clear" w:color="auto" w:fill="auto"/>
                  <w:vAlign w:val="bottom"/>
                  <w:hideMark/>
                </w:tcPr>
                <w:p w14:paraId="45EDAD34" w14:textId="77777777" w:rsidR="001C7E6F" w:rsidRPr="00B20FE6" w:rsidRDefault="001C7E6F" w:rsidP="00BD3046">
                  <w:pPr>
                    <w:spacing w:after="0" w:line="240" w:lineRule="auto"/>
                    <w:jc w:val="center"/>
                    <w:rPr>
                      <w:rFonts w:ascii="Calibri" w:eastAsia="Times New Roman" w:hAnsi="Calibri" w:cs="Calibri"/>
                      <w:color w:val="000000"/>
                      <w:sz w:val="12"/>
                      <w:szCs w:val="16"/>
                      <w:lang w:eastAsia="pt-BR"/>
                    </w:rPr>
                  </w:pPr>
                  <w:r w:rsidRPr="00B20FE6">
                    <w:rPr>
                      <w:rFonts w:ascii="Calibri" w:eastAsia="Times New Roman" w:hAnsi="Calibri" w:cs="Calibri"/>
                      <w:color w:val="000000"/>
                      <w:sz w:val="12"/>
                      <w:szCs w:val="16"/>
                      <w:lang w:eastAsia="pt-BR"/>
                    </w:rPr>
                    <w:t>0,00%</w:t>
                  </w:r>
                </w:p>
              </w:tc>
            </w:tr>
            <w:tr w:rsidR="001C7E6F" w:rsidRPr="00B20FE6" w14:paraId="139DCFAD" w14:textId="77777777" w:rsidTr="00BD3046">
              <w:trPr>
                <w:trHeight w:val="20"/>
              </w:trPr>
              <w:tc>
                <w:tcPr>
                  <w:tcW w:w="1702" w:type="pct"/>
                  <w:gridSpan w:val="2"/>
                  <w:shd w:val="clear" w:color="auto" w:fill="auto"/>
                  <w:vAlign w:val="bottom"/>
                  <w:hideMark/>
                </w:tcPr>
                <w:p w14:paraId="776448F0" w14:textId="77777777" w:rsidR="001C7E6F" w:rsidRPr="00B20FE6" w:rsidRDefault="001C7E6F" w:rsidP="00BD3046">
                  <w:pPr>
                    <w:spacing w:after="0" w:line="240" w:lineRule="auto"/>
                    <w:jc w:val="center"/>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Total</w:t>
                  </w:r>
                </w:p>
              </w:tc>
              <w:tc>
                <w:tcPr>
                  <w:tcW w:w="626" w:type="pct"/>
                  <w:shd w:val="clear" w:color="auto" w:fill="auto"/>
                  <w:vAlign w:val="bottom"/>
                  <w:hideMark/>
                </w:tcPr>
                <w:p w14:paraId="5D4F05B0" w14:textId="77777777" w:rsidR="001C7E6F" w:rsidRPr="00B20FE6" w:rsidRDefault="001C7E6F" w:rsidP="00BD3046">
                  <w:pPr>
                    <w:spacing w:after="0" w:line="240" w:lineRule="auto"/>
                    <w:jc w:val="right"/>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9.428.034.005</w:t>
                  </w:r>
                </w:p>
              </w:tc>
              <w:tc>
                <w:tcPr>
                  <w:tcW w:w="692" w:type="pct"/>
                  <w:shd w:val="clear" w:color="auto" w:fill="auto"/>
                  <w:vAlign w:val="bottom"/>
                  <w:hideMark/>
                </w:tcPr>
                <w:p w14:paraId="3B9A1D5C" w14:textId="77777777" w:rsidR="001C7E6F" w:rsidRPr="00B20FE6" w:rsidRDefault="001C7E6F" w:rsidP="00BD3046">
                  <w:pPr>
                    <w:spacing w:after="0" w:line="240" w:lineRule="auto"/>
                    <w:jc w:val="right"/>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9.600.163.470</w:t>
                  </w:r>
                </w:p>
              </w:tc>
              <w:tc>
                <w:tcPr>
                  <w:tcW w:w="781" w:type="pct"/>
                  <w:shd w:val="clear" w:color="auto" w:fill="auto"/>
                  <w:vAlign w:val="bottom"/>
                  <w:hideMark/>
                </w:tcPr>
                <w:p w14:paraId="226525E5" w14:textId="77777777" w:rsidR="001C7E6F" w:rsidRPr="00B20FE6" w:rsidRDefault="001C7E6F" w:rsidP="00BD3046">
                  <w:pPr>
                    <w:spacing w:after="0" w:line="240" w:lineRule="auto"/>
                    <w:jc w:val="right"/>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490.093.352</w:t>
                  </w:r>
                </w:p>
              </w:tc>
              <w:tc>
                <w:tcPr>
                  <w:tcW w:w="698" w:type="pct"/>
                  <w:shd w:val="clear" w:color="auto" w:fill="auto"/>
                  <w:vAlign w:val="bottom"/>
                  <w:hideMark/>
                </w:tcPr>
                <w:p w14:paraId="1D6B8302" w14:textId="77777777" w:rsidR="001C7E6F" w:rsidRPr="00B20FE6" w:rsidRDefault="001C7E6F" w:rsidP="00BD3046">
                  <w:pPr>
                    <w:spacing w:after="0" w:line="240" w:lineRule="auto"/>
                    <w:jc w:val="right"/>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172.129.465</w:t>
                  </w:r>
                </w:p>
              </w:tc>
              <w:tc>
                <w:tcPr>
                  <w:tcW w:w="501" w:type="pct"/>
                  <w:shd w:val="clear" w:color="auto" w:fill="auto"/>
                  <w:vAlign w:val="bottom"/>
                  <w:hideMark/>
                </w:tcPr>
                <w:p w14:paraId="408D9BC6" w14:textId="77777777" w:rsidR="001C7E6F" w:rsidRPr="00B20FE6" w:rsidRDefault="001C7E6F" w:rsidP="00BD3046">
                  <w:pPr>
                    <w:spacing w:after="0" w:line="240" w:lineRule="auto"/>
                    <w:jc w:val="center"/>
                    <w:rPr>
                      <w:rFonts w:ascii="Calibri" w:eastAsia="Times New Roman" w:hAnsi="Calibri" w:cs="Calibri"/>
                      <w:b/>
                      <w:bCs/>
                      <w:color w:val="000000"/>
                      <w:sz w:val="12"/>
                      <w:szCs w:val="16"/>
                      <w:lang w:eastAsia="pt-BR"/>
                    </w:rPr>
                  </w:pPr>
                  <w:r w:rsidRPr="00B20FE6">
                    <w:rPr>
                      <w:rFonts w:ascii="Calibri" w:eastAsia="Times New Roman" w:hAnsi="Calibri" w:cs="Calibri"/>
                      <w:b/>
                      <w:bCs/>
                      <w:color w:val="000000"/>
                      <w:sz w:val="12"/>
                      <w:szCs w:val="16"/>
                      <w:lang w:eastAsia="pt-BR"/>
                    </w:rPr>
                    <w:t>5,11%</w:t>
                  </w:r>
                </w:p>
              </w:tc>
            </w:tr>
          </w:tbl>
          <w:p w14:paraId="2834E409" w14:textId="77777777" w:rsidR="001C7E6F" w:rsidRDefault="001C7E6F" w:rsidP="00BD3046">
            <w:pPr>
              <w:spacing w:after="0" w:line="240" w:lineRule="auto"/>
              <w:jc w:val="both"/>
              <w:rPr>
                <w:rFonts w:ascii="Arial" w:eastAsia="Arial" w:hAnsi="Arial" w:cs="Arial"/>
                <w:color w:val="000000"/>
                <w:sz w:val="18"/>
                <w:szCs w:val="18"/>
              </w:rPr>
            </w:pPr>
          </w:p>
          <w:p w14:paraId="101CEBFD" w14:textId="77777777" w:rsidR="001C7E6F" w:rsidRPr="00B20FE6" w:rsidRDefault="001C7E6F" w:rsidP="00BD3046">
            <w:pPr>
              <w:spacing w:after="0" w:line="240" w:lineRule="auto"/>
              <w:jc w:val="both"/>
              <w:rPr>
                <w:rFonts w:ascii="Arial" w:eastAsia="Arial" w:hAnsi="Arial" w:cs="Arial"/>
                <w:color w:val="000000"/>
                <w:sz w:val="18"/>
                <w:szCs w:val="18"/>
              </w:rPr>
            </w:pPr>
            <w:r w:rsidRPr="00B20FE6">
              <w:rPr>
                <w:rFonts w:ascii="Arial" w:eastAsia="Arial" w:hAnsi="Arial" w:cs="Arial"/>
                <w:color w:val="000000"/>
                <w:sz w:val="18"/>
                <w:szCs w:val="18"/>
              </w:rPr>
              <w:t xml:space="preserve">O </w:t>
            </w:r>
            <w:r>
              <w:rPr>
                <w:rFonts w:ascii="Arial" w:eastAsia="Arial" w:hAnsi="Arial" w:cs="Arial"/>
                <w:color w:val="000000"/>
                <w:sz w:val="18"/>
                <w:szCs w:val="18"/>
              </w:rPr>
              <w:t>período</w:t>
            </w:r>
            <w:r w:rsidRPr="00B20FE6">
              <w:rPr>
                <w:rFonts w:ascii="Arial" w:eastAsia="Arial" w:hAnsi="Arial" w:cs="Arial"/>
                <w:color w:val="000000"/>
                <w:sz w:val="18"/>
                <w:szCs w:val="18"/>
              </w:rPr>
              <w:t xml:space="preserve"> 2023</w:t>
            </w:r>
            <w:r>
              <w:rPr>
                <w:rFonts w:ascii="Arial" w:eastAsia="Arial" w:hAnsi="Arial" w:cs="Arial"/>
                <w:color w:val="000000"/>
                <w:sz w:val="18"/>
                <w:szCs w:val="18"/>
              </w:rPr>
              <w:t xml:space="preserve"> a </w:t>
            </w:r>
            <w:r w:rsidRPr="00B20FE6">
              <w:rPr>
                <w:rFonts w:ascii="Arial" w:eastAsia="Arial" w:hAnsi="Arial" w:cs="Arial"/>
                <w:color w:val="000000"/>
                <w:sz w:val="18"/>
                <w:szCs w:val="18"/>
              </w:rPr>
              <w:t>2025 do FECP-RJ mostra uma trajetória de centralização em Saúde (0508) e Educação Básica (0443), com o Bilhete Único blindado dentro do SUAS (0450). Em contrapartida, políticas sociais focalizadas (SUAS “puro”, Segurança Alimentar, Direitos Humanos, Drogas) foram as mais expostas a contingenciamentos, chegando a bloqueios de 30</w:t>
            </w:r>
            <w:r>
              <w:rPr>
                <w:rFonts w:ascii="Arial" w:eastAsia="Arial" w:hAnsi="Arial" w:cs="Arial"/>
                <w:color w:val="000000"/>
                <w:sz w:val="18"/>
                <w:szCs w:val="18"/>
              </w:rPr>
              <w:t xml:space="preserve"> a </w:t>
            </w:r>
            <w:r w:rsidRPr="00B20FE6">
              <w:rPr>
                <w:rFonts w:ascii="Arial" w:eastAsia="Arial" w:hAnsi="Arial" w:cs="Arial"/>
                <w:color w:val="000000"/>
                <w:sz w:val="18"/>
                <w:szCs w:val="18"/>
              </w:rPr>
              <w:t>42% em 2023 e 2025.</w:t>
            </w:r>
          </w:p>
          <w:p w14:paraId="4095FDA9" w14:textId="77777777" w:rsidR="001C7E6F" w:rsidRPr="00B20FE6" w:rsidRDefault="001C7E6F" w:rsidP="00BD3046">
            <w:pPr>
              <w:spacing w:after="0" w:line="240" w:lineRule="auto"/>
              <w:jc w:val="both"/>
              <w:rPr>
                <w:rFonts w:ascii="Arial" w:eastAsia="Arial" w:hAnsi="Arial" w:cs="Arial"/>
                <w:color w:val="000000"/>
                <w:sz w:val="18"/>
                <w:szCs w:val="18"/>
              </w:rPr>
            </w:pPr>
          </w:p>
          <w:p w14:paraId="55311170" w14:textId="77777777" w:rsidR="001C7E6F" w:rsidRDefault="001C7E6F" w:rsidP="00BD3046">
            <w:pPr>
              <w:spacing w:after="0" w:line="240" w:lineRule="auto"/>
              <w:jc w:val="both"/>
              <w:rPr>
                <w:rFonts w:ascii="Arial" w:eastAsia="Arial" w:hAnsi="Arial" w:cs="Arial"/>
                <w:color w:val="000000"/>
                <w:sz w:val="18"/>
                <w:szCs w:val="18"/>
              </w:rPr>
            </w:pPr>
            <w:r w:rsidRPr="00B20FE6">
              <w:rPr>
                <w:rFonts w:ascii="Arial" w:eastAsia="Arial" w:hAnsi="Arial" w:cs="Arial"/>
                <w:color w:val="000000"/>
                <w:sz w:val="18"/>
                <w:szCs w:val="18"/>
              </w:rPr>
              <w:t>Isso sugere que o FECP se consolidou como fundo de custeio de políticas universais e de grande impacto eleitoral, mas perdeu densidade na focalização do combate direto à pobreza, sua finalidade constitucional.</w:t>
            </w:r>
          </w:p>
          <w:p w14:paraId="5676D5BF" w14:textId="77777777" w:rsidR="001C7E6F" w:rsidRDefault="001C7E6F" w:rsidP="00BD3046">
            <w:pPr>
              <w:spacing w:after="0" w:line="240" w:lineRule="auto"/>
              <w:rPr>
                <w:rFonts w:ascii="Arial" w:eastAsia="Arial" w:hAnsi="Arial" w:cs="Arial"/>
                <w:color w:val="000000"/>
                <w:sz w:val="18"/>
                <w:szCs w:val="18"/>
              </w:rPr>
            </w:pPr>
          </w:p>
        </w:tc>
      </w:tr>
      <w:tr w:rsidR="001C7E6F" w14:paraId="4AA3C211" w14:textId="77777777" w:rsidTr="00BD3046">
        <w:trPr>
          <w:trHeight w:val="397"/>
        </w:trPr>
        <w:tc>
          <w:tcPr>
            <w:tcW w:w="0" w:type="auto"/>
            <w:gridSpan w:val="2"/>
            <w:shd w:val="clear" w:color="auto" w:fill="auto"/>
            <w:vAlign w:val="center"/>
          </w:tcPr>
          <w:p w14:paraId="29E17DCC" w14:textId="77777777" w:rsidR="001C7E6F" w:rsidRDefault="001C7E6F" w:rsidP="00BD3046">
            <w:pP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lastRenderedPageBreak/>
              <w:t>Eixo 3 – Execução Orçamentária e Financeira</w:t>
            </w:r>
          </w:p>
        </w:tc>
      </w:tr>
      <w:tr w:rsidR="001C7E6F" w14:paraId="0CEE2991" w14:textId="77777777" w:rsidTr="00BD3046">
        <w:trPr>
          <w:trHeight w:val="20"/>
        </w:trPr>
        <w:tc>
          <w:tcPr>
            <w:tcW w:w="0" w:type="auto"/>
            <w:shd w:val="clear" w:color="auto" w:fill="auto"/>
            <w:vAlign w:val="center"/>
          </w:tcPr>
          <w:p w14:paraId="0758E08B"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3.1 Arrecadação e execução</w:t>
            </w:r>
          </w:p>
        </w:tc>
        <w:tc>
          <w:tcPr>
            <w:tcW w:w="0" w:type="auto"/>
            <w:shd w:val="clear" w:color="auto" w:fill="auto"/>
            <w:vAlign w:val="center"/>
          </w:tcPr>
          <w:p w14:paraId="77AAEA37" w14:textId="77777777" w:rsidR="001C7E6F" w:rsidRPr="00D87D49" w:rsidRDefault="001C7E6F" w:rsidP="00BD3046">
            <w:pPr>
              <w:spacing w:after="0" w:line="240" w:lineRule="auto"/>
              <w:rPr>
                <w:i/>
              </w:rPr>
            </w:pPr>
            <w:r w:rsidRPr="00D87D49">
              <w:rPr>
                <w:rFonts w:ascii="Arial" w:eastAsia="Arial" w:hAnsi="Arial" w:cs="Arial"/>
                <w:i/>
                <w:color w:val="000000"/>
                <w:sz w:val="18"/>
                <w:szCs w:val="18"/>
              </w:rPr>
              <w:t>Confront</w:t>
            </w:r>
            <w:r w:rsidRPr="00D87D49">
              <w:rPr>
                <w:rFonts w:ascii="Arial" w:eastAsia="Arial" w:hAnsi="Arial" w:cs="Arial"/>
                <w:i/>
                <w:sz w:val="18"/>
                <w:szCs w:val="18"/>
              </w:rPr>
              <w:t>o de</w:t>
            </w:r>
            <w:sdt>
              <w:sdtPr>
                <w:rPr>
                  <w:i/>
                </w:rPr>
                <w:tag w:val="goog_rdk_5"/>
                <w:id w:val="-790666900"/>
              </w:sdtPr>
              <w:sdtContent>
                <w:r w:rsidRPr="00D87D49">
                  <w:rPr>
                    <w:rFonts w:ascii="Arial Unicode MS" w:eastAsia="Arial Unicode MS" w:hAnsi="Arial Unicode MS" w:cs="Arial Unicode MS"/>
                    <w:i/>
                    <w:color w:val="000000"/>
                    <w:sz w:val="18"/>
                    <w:szCs w:val="18"/>
                  </w:rPr>
                  <w:t xml:space="preserve"> previsão × arrecadação × execução, aferindo aderência do gasto à capacidade real do Fundo. Mensura o percentual arrecadado em relação à previsão (≥85%) e o percentual executado em relação ao fixado (≥85%).</w:t>
                </w:r>
              </w:sdtContent>
            </w:sdt>
            <w:r w:rsidRPr="00D87D49">
              <w:rPr>
                <w:i/>
              </w:rPr>
              <w:t xml:space="preserve"> </w:t>
            </w:r>
          </w:p>
          <w:p w14:paraId="72E8493F" w14:textId="77777777" w:rsidR="001C7E6F" w:rsidRDefault="001C7E6F" w:rsidP="00BD3046">
            <w:pPr>
              <w:spacing w:after="0" w:line="240" w:lineRule="auto"/>
            </w:pPr>
          </w:p>
          <w:p w14:paraId="544EED19" w14:textId="77777777" w:rsidR="001C7E6F" w:rsidRDefault="001C7E6F" w:rsidP="00BD3046">
            <w:pPr>
              <w:spacing w:after="0" w:line="240" w:lineRule="auto"/>
              <w:jc w:val="both"/>
              <w:rPr>
                <w:rFonts w:ascii="Arial" w:eastAsia="Arial" w:hAnsi="Arial" w:cs="Arial"/>
                <w:color w:val="000000"/>
                <w:sz w:val="18"/>
                <w:szCs w:val="18"/>
              </w:rPr>
            </w:pPr>
            <w:r w:rsidRPr="005238A8">
              <w:rPr>
                <w:rFonts w:ascii="Arial" w:eastAsia="Arial" w:hAnsi="Arial" w:cs="Arial"/>
                <w:color w:val="000000"/>
                <w:sz w:val="18"/>
                <w:szCs w:val="18"/>
              </w:rPr>
              <w:t xml:space="preserve">A análise da arrecadação e execução do </w:t>
            </w:r>
            <w:r>
              <w:rPr>
                <w:rFonts w:ascii="Arial" w:eastAsia="Arial" w:hAnsi="Arial" w:cs="Arial"/>
                <w:color w:val="000000"/>
                <w:sz w:val="18"/>
                <w:szCs w:val="18"/>
              </w:rPr>
              <w:t>FECP-RJ</w:t>
            </w:r>
            <w:r w:rsidRPr="005238A8">
              <w:rPr>
                <w:rFonts w:ascii="Arial" w:eastAsia="Arial" w:hAnsi="Arial" w:cs="Arial"/>
                <w:color w:val="000000"/>
                <w:sz w:val="18"/>
                <w:szCs w:val="18"/>
              </w:rPr>
              <w:t xml:space="preserve"> requer o confronto entre os valores previstos, o que foi efetivamente arrecadado e o que foi pago, permitindo avaliar a aderência do gasto à capacidade real do Fundo.</w:t>
            </w:r>
          </w:p>
          <w:p w14:paraId="72EAB19E" w14:textId="77777777" w:rsidR="001C7E6F" w:rsidRDefault="001C7E6F" w:rsidP="00BD3046">
            <w:pPr>
              <w:spacing w:after="0" w:line="240" w:lineRule="auto"/>
              <w:jc w:val="both"/>
              <w:rPr>
                <w:rFonts w:ascii="Arial" w:eastAsia="Arial" w:hAnsi="Arial" w:cs="Arial"/>
                <w:color w:val="000000"/>
                <w:sz w:val="18"/>
                <w:szCs w:val="18"/>
              </w:rPr>
            </w:pPr>
          </w:p>
          <w:p w14:paraId="30ACFCED" w14:textId="77777777" w:rsidR="001C7E6F" w:rsidRDefault="001C7E6F" w:rsidP="00BD3046">
            <w:pPr>
              <w:spacing w:after="0" w:line="240" w:lineRule="auto"/>
              <w:jc w:val="both"/>
              <w:rPr>
                <w:rFonts w:ascii="Arial" w:eastAsia="Arial" w:hAnsi="Arial" w:cs="Arial"/>
                <w:color w:val="000000"/>
                <w:sz w:val="18"/>
                <w:szCs w:val="18"/>
              </w:rPr>
            </w:pPr>
            <w:r w:rsidRPr="00643B87">
              <w:rPr>
                <w:rFonts w:ascii="Arial" w:eastAsia="Arial" w:hAnsi="Arial" w:cs="Arial"/>
                <w:color w:val="000000"/>
                <w:sz w:val="18"/>
                <w:szCs w:val="18"/>
              </w:rPr>
              <w:t xml:space="preserve">De acordo com o TCE-RJ, o Poder Executivo </w:t>
            </w:r>
            <w:r>
              <w:rPr>
                <w:rFonts w:ascii="Arial" w:eastAsia="Arial" w:hAnsi="Arial" w:cs="Arial"/>
                <w:color w:val="000000"/>
                <w:sz w:val="18"/>
                <w:szCs w:val="18"/>
              </w:rPr>
              <w:t>tem utilizado o</w:t>
            </w:r>
            <w:r w:rsidRPr="00643B87">
              <w:rPr>
                <w:rFonts w:ascii="Arial" w:eastAsia="Arial" w:hAnsi="Arial" w:cs="Arial"/>
                <w:color w:val="000000"/>
                <w:sz w:val="18"/>
                <w:szCs w:val="18"/>
              </w:rPr>
              <w:t xml:space="preserve"> mecanismo de desvinculação de 30% da receita orçamentária destinada ao </w:t>
            </w:r>
            <w:r>
              <w:rPr>
                <w:rFonts w:ascii="Arial" w:eastAsia="Arial" w:hAnsi="Arial" w:cs="Arial"/>
                <w:color w:val="000000"/>
                <w:sz w:val="18"/>
                <w:szCs w:val="18"/>
              </w:rPr>
              <w:t>FECP-RJ</w:t>
            </w:r>
            <w:r w:rsidRPr="00643B87">
              <w:rPr>
                <w:rFonts w:ascii="Arial" w:eastAsia="Arial" w:hAnsi="Arial" w:cs="Arial"/>
                <w:color w:val="000000"/>
                <w:sz w:val="18"/>
                <w:szCs w:val="18"/>
              </w:rPr>
              <w:t>. Esse procedimento encontra fundamento no artigo 76-A do ADCT, introduzido pela Emenda Constitucional nº 93/2016 e posteriormente modificado pela Emenda Constitucional nº 132</w:t>
            </w:r>
            <w:r>
              <w:rPr>
                <w:rFonts w:ascii="Arial" w:eastAsia="Arial" w:hAnsi="Arial" w:cs="Arial"/>
                <w:color w:val="000000"/>
                <w:sz w:val="18"/>
                <w:szCs w:val="18"/>
              </w:rPr>
              <w:t>/</w:t>
            </w:r>
            <w:r w:rsidRPr="00643B87">
              <w:rPr>
                <w:rFonts w:ascii="Arial" w:eastAsia="Arial" w:hAnsi="Arial" w:cs="Arial"/>
                <w:color w:val="000000"/>
                <w:sz w:val="18"/>
                <w:szCs w:val="18"/>
              </w:rPr>
              <w:t>2023, a qual prorrogou a vigência da desvinculação até 31 de dezembro de 2032 (Processo TCE-RJ nº 103.291-1/2025).</w:t>
            </w:r>
          </w:p>
          <w:p w14:paraId="776FD3C1" w14:textId="77777777" w:rsidR="001C7E6F" w:rsidRDefault="001C7E6F" w:rsidP="00BD3046">
            <w:pPr>
              <w:spacing w:after="0" w:line="240" w:lineRule="auto"/>
              <w:jc w:val="both"/>
              <w:rPr>
                <w:rFonts w:ascii="Arial" w:eastAsia="Arial" w:hAnsi="Arial" w:cs="Arial"/>
                <w:color w:val="000000"/>
                <w:sz w:val="18"/>
                <w:szCs w:val="18"/>
              </w:rPr>
            </w:pPr>
            <w:r>
              <w:rPr>
                <w:noProof/>
                <w:lang w:eastAsia="pt-BR"/>
              </w:rPr>
              <w:drawing>
                <wp:inline distT="0" distB="0" distL="0" distR="0" wp14:anchorId="64752109" wp14:editId="7C8139FF">
                  <wp:extent cx="4366082" cy="2060063"/>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78679" cy="2066007"/>
                          </a:xfrm>
                          <a:prstGeom prst="rect">
                            <a:avLst/>
                          </a:prstGeom>
                        </pic:spPr>
                      </pic:pic>
                    </a:graphicData>
                  </a:graphic>
                </wp:inline>
              </w:drawing>
            </w:r>
          </w:p>
          <w:p w14:paraId="181B9424" w14:textId="77777777" w:rsidR="001C7E6F" w:rsidRDefault="001C7E6F" w:rsidP="00BD3046">
            <w:pPr>
              <w:spacing w:after="0" w:line="240" w:lineRule="auto"/>
              <w:rPr>
                <w:rFonts w:ascii="Arial" w:eastAsia="Arial" w:hAnsi="Arial" w:cs="Arial"/>
                <w:color w:val="000000"/>
                <w:sz w:val="18"/>
                <w:szCs w:val="18"/>
              </w:rPr>
            </w:pPr>
          </w:p>
          <w:p w14:paraId="750EFAD2"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Dessa forma, considerando a metodologia utilizada pelo TCE-RJ, observa-se que o Fundo arrecadou os seguintes totais:</w:t>
            </w:r>
          </w:p>
          <w:p w14:paraId="5AB95102" w14:textId="77777777" w:rsidR="001C7E6F" w:rsidRDefault="001C7E6F" w:rsidP="00BD3046">
            <w:pPr>
              <w:spacing w:after="0" w:line="240" w:lineRule="auto"/>
              <w:jc w:val="both"/>
              <w:rPr>
                <w:rFonts w:ascii="Arial" w:eastAsia="Arial" w:hAnsi="Arial" w:cs="Arial"/>
                <w:color w:val="000000"/>
                <w:sz w:val="18"/>
                <w:szCs w:val="18"/>
              </w:rPr>
            </w:pPr>
          </w:p>
          <w:p w14:paraId="1265AA59" w14:textId="77777777" w:rsidR="001C7E6F" w:rsidRDefault="001C7E6F" w:rsidP="00BD3046">
            <w:pPr>
              <w:spacing w:after="0" w:line="240" w:lineRule="auto"/>
              <w:jc w:val="both"/>
              <w:rPr>
                <w:rFonts w:ascii="Arial" w:eastAsia="Arial" w:hAnsi="Arial" w:cs="Arial"/>
                <w:color w:val="000000"/>
                <w:sz w:val="18"/>
                <w:szCs w:val="18"/>
              </w:rPr>
            </w:pPr>
            <w:r>
              <w:rPr>
                <w:noProof/>
                <w:lang w:eastAsia="pt-BR"/>
              </w:rPr>
              <w:lastRenderedPageBreak/>
              <w:drawing>
                <wp:inline distT="0" distB="0" distL="0" distR="0" wp14:anchorId="049AE2C7" wp14:editId="44FA9893">
                  <wp:extent cx="4517409" cy="3276379"/>
                  <wp:effectExtent l="0" t="0" r="0" b="63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29966" cy="3285486"/>
                          </a:xfrm>
                          <a:prstGeom prst="rect">
                            <a:avLst/>
                          </a:prstGeom>
                        </pic:spPr>
                      </pic:pic>
                    </a:graphicData>
                  </a:graphic>
                </wp:inline>
              </w:drawing>
            </w:r>
          </w:p>
          <w:p w14:paraId="6144CC08"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br/>
              <w:t>Acrescente-se que, considerando a arrecadação do Fundo por Marcador da Fonte de Recursos, temos a seguinte distribuição:</w:t>
            </w:r>
          </w:p>
          <w:p w14:paraId="2754357C" w14:textId="77777777" w:rsidR="001C7E6F" w:rsidRDefault="001C7E6F" w:rsidP="00BD3046">
            <w:pPr>
              <w:spacing w:after="0" w:line="240" w:lineRule="auto"/>
              <w:rPr>
                <w:rFonts w:ascii="Arial" w:eastAsia="Arial" w:hAnsi="Arial" w:cs="Arial"/>
                <w:color w:val="000000"/>
                <w:sz w:val="18"/>
                <w:szCs w:val="18"/>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252"/>
              <w:gridCol w:w="962"/>
              <w:gridCol w:w="962"/>
              <w:gridCol w:w="962"/>
              <w:gridCol w:w="962"/>
              <w:gridCol w:w="962"/>
              <w:gridCol w:w="962"/>
            </w:tblGrid>
            <w:tr w:rsidR="001C7E6F" w:rsidRPr="008F5EF1" w14:paraId="58EC5FEC" w14:textId="77777777" w:rsidTr="00BD3046">
              <w:trPr>
                <w:trHeight w:val="225"/>
              </w:trPr>
              <w:tc>
                <w:tcPr>
                  <w:tcW w:w="0" w:type="auto"/>
                  <w:vMerge w:val="restart"/>
                  <w:shd w:val="clear" w:color="auto" w:fill="auto"/>
                  <w:vAlign w:val="center"/>
                  <w:hideMark/>
                </w:tcPr>
                <w:p w14:paraId="6494A312" w14:textId="77777777" w:rsidR="001C7E6F" w:rsidRPr="008F5EF1" w:rsidRDefault="001C7E6F" w:rsidP="00BD3046">
                  <w:pPr>
                    <w:spacing w:after="0" w:line="240" w:lineRule="auto"/>
                    <w:jc w:val="center"/>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Marcador de Fonte</w:t>
                  </w:r>
                </w:p>
              </w:tc>
              <w:tc>
                <w:tcPr>
                  <w:tcW w:w="0" w:type="auto"/>
                  <w:gridSpan w:val="2"/>
                  <w:shd w:val="clear" w:color="auto" w:fill="auto"/>
                  <w:vAlign w:val="center"/>
                  <w:hideMark/>
                </w:tcPr>
                <w:p w14:paraId="3540DF41" w14:textId="77777777" w:rsidR="001C7E6F" w:rsidRPr="008F5EF1" w:rsidRDefault="001C7E6F" w:rsidP="00BD3046">
                  <w:pPr>
                    <w:spacing w:after="0" w:line="240" w:lineRule="auto"/>
                    <w:jc w:val="center"/>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2023</w:t>
                  </w:r>
                </w:p>
              </w:tc>
              <w:tc>
                <w:tcPr>
                  <w:tcW w:w="0" w:type="auto"/>
                  <w:gridSpan w:val="2"/>
                  <w:shd w:val="clear" w:color="auto" w:fill="auto"/>
                  <w:vAlign w:val="center"/>
                  <w:hideMark/>
                </w:tcPr>
                <w:p w14:paraId="14C181CE" w14:textId="77777777" w:rsidR="001C7E6F" w:rsidRPr="008F5EF1" w:rsidRDefault="001C7E6F" w:rsidP="00BD3046">
                  <w:pPr>
                    <w:spacing w:after="0" w:line="240" w:lineRule="auto"/>
                    <w:jc w:val="center"/>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2024</w:t>
                  </w:r>
                </w:p>
              </w:tc>
              <w:tc>
                <w:tcPr>
                  <w:tcW w:w="0" w:type="auto"/>
                  <w:gridSpan w:val="2"/>
                  <w:shd w:val="clear" w:color="auto" w:fill="auto"/>
                  <w:vAlign w:val="center"/>
                  <w:hideMark/>
                </w:tcPr>
                <w:p w14:paraId="5E9D705C" w14:textId="77777777" w:rsidR="001C7E6F" w:rsidRPr="008F5EF1" w:rsidRDefault="001C7E6F" w:rsidP="00BD3046">
                  <w:pPr>
                    <w:spacing w:after="0" w:line="240" w:lineRule="auto"/>
                    <w:jc w:val="center"/>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2025</w:t>
                  </w:r>
                </w:p>
              </w:tc>
            </w:tr>
            <w:tr w:rsidR="001C7E6F" w:rsidRPr="008F5EF1" w14:paraId="78118F4A" w14:textId="77777777" w:rsidTr="00BD3046">
              <w:trPr>
                <w:trHeight w:val="225"/>
              </w:trPr>
              <w:tc>
                <w:tcPr>
                  <w:tcW w:w="0" w:type="auto"/>
                  <w:vMerge/>
                  <w:vAlign w:val="center"/>
                  <w:hideMark/>
                </w:tcPr>
                <w:p w14:paraId="7F28CD27" w14:textId="77777777" w:rsidR="001C7E6F" w:rsidRPr="008F5EF1" w:rsidRDefault="001C7E6F" w:rsidP="00BD3046">
                  <w:pPr>
                    <w:spacing w:after="0" w:line="240" w:lineRule="auto"/>
                    <w:rPr>
                      <w:rFonts w:ascii="Calibri" w:eastAsia="Times New Roman" w:hAnsi="Calibri" w:cs="Calibri"/>
                      <w:b/>
                      <w:bCs/>
                      <w:color w:val="000000"/>
                      <w:sz w:val="14"/>
                      <w:szCs w:val="16"/>
                      <w:lang w:eastAsia="pt-BR"/>
                    </w:rPr>
                  </w:pPr>
                </w:p>
              </w:tc>
              <w:tc>
                <w:tcPr>
                  <w:tcW w:w="0" w:type="auto"/>
                  <w:shd w:val="clear" w:color="auto" w:fill="auto"/>
                  <w:vAlign w:val="center"/>
                  <w:hideMark/>
                </w:tcPr>
                <w:p w14:paraId="5B534B00" w14:textId="77777777" w:rsidR="001C7E6F" w:rsidRPr="008F5EF1" w:rsidRDefault="001C7E6F" w:rsidP="00BD3046">
                  <w:pPr>
                    <w:spacing w:after="0" w:line="240" w:lineRule="auto"/>
                    <w:jc w:val="center"/>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Prevista</w:t>
                  </w:r>
                </w:p>
              </w:tc>
              <w:tc>
                <w:tcPr>
                  <w:tcW w:w="0" w:type="auto"/>
                  <w:shd w:val="clear" w:color="auto" w:fill="auto"/>
                  <w:vAlign w:val="center"/>
                  <w:hideMark/>
                </w:tcPr>
                <w:p w14:paraId="25712654" w14:textId="77777777" w:rsidR="001C7E6F" w:rsidRPr="008F5EF1" w:rsidRDefault="001C7E6F" w:rsidP="00BD3046">
                  <w:pPr>
                    <w:spacing w:after="0" w:line="240" w:lineRule="auto"/>
                    <w:jc w:val="center"/>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Até o Mês</w:t>
                  </w:r>
                </w:p>
              </w:tc>
              <w:tc>
                <w:tcPr>
                  <w:tcW w:w="0" w:type="auto"/>
                  <w:shd w:val="clear" w:color="auto" w:fill="auto"/>
                  <w:vAlign w:val="center"/>
                  <w:hideMark/>
                </w:tcPr>
                <w:p w14:paraId="00D82A81" w14:textId="77777777" w:rsidR="001C7E6F" w:rsidRPr="008F5EF1" w:rsidRDefault="001C7E6F" w:rsidP="00BD3046">
                  <w:pPr>
                    <w:spacing w:after="0" w:line="240" w:lineRule="auto"/>
                    <w:jc w:val="center"/>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Prevista</w:t>
                  </w:r>
                </w:p>
              </w:tc>
              <w:tc>
                <w:tcPr>
                  <w:tcW w:w="0" w:type="auto"/>
                  <w:shd w:val="clear" w:color="auto" w:fill="auto"/>
                  <w:vAlign w:val="center"/>
                  <w:hideMark/>
                </w:tcPr>
                <w:p w14:paraId="7FE33D00" w14:textId="77777777" w:rsidR="001C7E6F" w:rsidRPr="008F5EF1" w:rsidRDefault="001C7E6F" w:rsidP="00BD3046">
                  <w:pPr>
                    <w:spacing w:after="0" w:line="240" w:lineRule="auto"/>
                    <w:jc w:val="center"/>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Até o Mês</w:t>
                  </w:r>
                </w:p>
              </w:tc>
              <w:tc>
                <w:tcPr>
                  <w:tcW w:w="0" w:type="auto"/>
                  <w:shd w:val="clear" w:color="auto" w:fill="auto"/>
                  <w:vAlign w:val="center"/>
                  <w:hideMark/>
                </w:tcPr>
                <w:p w14:paraId="4BA8144C" w14:textId="77777777" w:rsidR="001C7E6F" w:rsidRPr="008F5EF1" w:rsidRDefault="001C7E6F" w:rsidP="00BD3046">
                  <w:pPr>
                    <w:spacing w:after="0" w:line="240" w:lineRule="auto"/>
                    <w:jc w:val="center"/>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Prevista</w:t>
                  </w:r>
                </w:p>
              </w:tc>
              <w:tc>
                <w:tcPr>
                  <w:tcW w:w="0" w:type="auto"/>
                  <w:shd w:val="clear" w:color="auto" w:fill="auto"/>
                  <w:vAlign w:val="center"/>
                  <w:hideMark/>
                </w:tcPr>
                <w:p w14:paraId="0A1F9130" w14:textId="77777777" w:rsidR="001C7E6F" w:rsidRPr="008F5EF1" w:rsidRDefault="001C7E6F" w:rsidP="00BD3046">
                  <w:pPr>
                    <w:spacing w:after="0" w:line="240" w:lineRule="auto"/>
                    <w:jc w:val="center"/>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Até o Mês</w:t>
                  </w:r>
                </w:p>
              </w:tc>
            </w:tr>
            <w:tr w:rsidR="001C7E6F" w:rsidRPr="008F5EF1" w14:paraId="0831FC90" w14:textId="77777777" w:rsidTr="00BD3046">
              <w:trPr>
                <w:trHeight w:val="225"/>
              </w:trPr>
              <w:tc>
                <w:tcPr>
                  <w:tcW w:w="0" w:type="auto"/>
                  <w:shd w:val="clear" w:color="auto" w:fill="auto"/>
                  <w:hideMark/>
                </w:tcPr>
                <w:p w14:paraId="54B2F435" w14:textId="77777777" w:rsidR="001C7E6F" w:rsidRPr="008F5EF1" w:rsidRDefault="001C7E6F" w:rsidP="00BD3046">
                  <w:pPr>
                    <w:spacing w:after="0" w:line="240" w:lineRule="auto"/>
                    <w:jc w:val="center"/>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108</w:t>
                  </w:r>
                </w:p>
              </w:tc>
              <w:tc>
                <w:tcPr>
                  <w:tcW w:w="0" w:type="auto"/>
                  <w:shd w:val="clear" w:color="auto" w:fill="auto"/>
                  <w:vAlign w:val="center"/>
                  <w:hideMark/>
                </w:tcPr>
                <w:p w14:paraId="704F6580"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1.773.598.925</w:t>
                  </w:r>
                </w:p>
              </w:tc>
              <w:tc>
                <w:tcPr>
                  <w:tcW w:w="0" w:type="auto"/>
                  <w:shd w:val="clear" w:color="auto" w:fill="auto"/>
                  <w:vAlign w:val="center"/>
                  <w:hideMark/>
                </w:tcPr>
                <w:p w14:paraId="30F5CDF2"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1.772.582.868</w:t>
                  </w:r>
                </w:p>
              </w:tc>
              <w:tc>
                <w:tcPr>
                  <w:tcW w:w="0" w:type="auto"/>
                  <w:shd w:val="clear" w:color="auto" w:fill="auto"/>
                  <w:vAlign w:val="center"/>
                  <w:hideMark/>
                </w:tcPr>
                <w:p w14:paraId="60EA8CDC"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1.999.676.672</w:t>
                  </w:r>
                </w:p>
              </w:tc>
              <w:tc>
                <w:tcPr>
                  <w:tcW w:w="0" w:type="auto"/>
                  <w:shd w:val="clear" w:color="auto" w:fill="auto"/>
                  <w:vAlign w:val="center"/>
                  <w:hideMark/>
                </w:tcPr>
                <w:p w14:paraId="212ACCDC"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2.001.685.740</w:t>
                  </w:r>
                </w:p>
              </w:tc>
              <w:tc>
                <w:tcPr>
                  <w:tcW w:w="0" w:type="auto"/>
                  <w:shd w:val="clear" w:color="auto" w:fill="auto"/>
                  <w:vAlign w:val="center"/>
                  <w:hideMark/>
                </w:tcPr>
                <w:p w14:paraId="0201CDD8"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2.084.527.962</w:t>
                  </w:r>
                </w:p>
              </w:tc>
              <w:tc>
                <w:tcPr>
                  <w:tcW w:w="0" w:type="auto"/>
                  <w:shd w:val="clear" w:color="auto" w:fill="auto"/>
                  <w:vAlign w:val="center"/>
                  <w:hideMark/>
                </w:tcPr>
                <w:p w14:paraId="1A429A9B"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1.371.071.724</w:t>
                  </w:r>
                </w:p>
              </w:tc>
            </w:tr>
            <w:tr w:rsidR="001C7E6F" w:rsidRPr="008F5EF1" w14:paraId="2FEDB6D5" w14:textId="77777777" w:rsidTr="00BD3046">
              <w:trPr>
                <w:trHeight w:val="225"/>
              </w:trPr>
              <w:tc>
                <w:tcPr>
                  <w:tcW w:w="0" w:type="auto"/>
                  <w:shd w:val="clear" w:color="auto" w:fill="auto"/>
                  <w:hideMark/>
                </w:tcPr>
                <w:p w14:paraId="00B2D90A" w14:textId="77777777" w:rsidR="001C7E6F" w:rsidRPr="008F5EF1" w:rsidRDefault="001C7E6F" w:rsidP="00BD3046">
                  <w:pPr>
                    <w:spacing w:after="0" w:line="240" w:lineRule="auto"/>
                    <w:jc w:val="center"/>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122</w:t>
                  </w:r>
                </w:p>
              </w:tc>
              <w:tc>
                <w:tcPr>
                  <w:tcW w:w="0" w:type="auto"/>
                  <w:shd w:val="clear" w:color="auto" w:fill="auto"/>
                  <w:vAlign w:val="center"/>
                  <w:hideMark/>
                </w:tcPr>
                <w:p w14:paraId="683CF500"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2.818.181.202</w:t>
                  </w:r>
                </w:p>
              </w:tc>
              <w:tc>
                <w:tcPr>
                  <w:tcW w:w="0" w:type="auto"/>
                  <w:shd w:val="clear" w:color="auto" w:fill="auto"/>
                  <w:vAlign w:val="center"/>
                  <w:hideMark/>
                </w:tcPr>
                <w:p w14:paraId="058FECD4"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2.816.438.795</w:t>
                  </w:r>
                </w:p>
              </w:tc>
              <w:tc>
                <w:tcPr>
                  <w:tcW w:w="0" w:type="auto"/>
                  <w:shd w:val="clear" w:color="auto" w:fill="auto"/>
                  <w:vAlign w:val="center"/>
                  <w:hideMark/>
                </w:tcPr>
                <w:p w14:paraId="7D7D2833"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3.173.651.021</w:t>
                  </w:r>
                </w:p>
              </w:tc>
              <w:tc>
                <w:tcPr>
                  <w:tcW w:w="0" w:type="auto"/>
                  <w:shd w:val="clear" w:color="auto" w:fill="auto"/>
                  <w:vAlign w:val="center"/>
                  <w:hideMark/>
                </w:tcPr>
                <w:p w14:paraId="457C2CA8"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3.177.282.545</w:t>
                  </w:r>
                </w:p>
              </w:tc>
              <w:tc>
                <w:tcPr>
                  <w:tcW w:w="0" w:type="auto"/>
                  <w:shd w:val="clear" w:color="auto" w:fill="auto"/>
                  <w:vAlign w:val="center"/>
                  <w:hideMark/>
                </w:tcPr>
                <w:p w14:paraId="47C9F3E2"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3.307.387.922</w:t>
                  </w:r>
                </w:p>
              </w:tc>
              <w:tc>
                <w:tcPr>
                  <w:tcW w:w="0" w:type="auto"/>
                  <w:shd w:val="clear" w:color="auto" w:fill="auto"/>
                  <w:vAlign w:val="center"/>
                  <w:hideMark/>
                </w:tcPr>
                <w:p w14:paraId="299E108D"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2.177.138.259</w:t>
                  </w:r>
                </w:p>
              </w:tc>
            </w:tr>
            <w:tr w:rsidR="001C7E6F" w:rsidRPr="008F5EF1" w14:paraId="0C829C3A" w14:textId="77777777" w:rsidTr="00BD3046">
              <w:trPr>
                <w:trHeight w:val="225"/>
              </w:trPr>
              <w:tc>
                <w:tcPr>
                  <w:tcW w:w="0" w:type="auto"/>
                  <w:shd w:val="clear" w:color="auto" w:fill="auto"/>
                  <w:hideMark/>
                </w:tcPr>
                <w:p w14:paraId="4D8BD967" w14:textId="77777777" w:rsidR="001C7E6F" w:rsidRPr="008F5EF1" w:rsidRDefault="001C7E6F" w:rsidP="00BD3046">
                  <w:pPr>
                    <w:spacing w:after="0" w:line="240" w:lineRule="auto"/>
                    <w:jc w:val="center"/>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150</w:t>
                  </w:r>
                </w:p>
              </w:tc>
              <w:tc>
                <w:tcPr>
                  <w:tcW w:w="0" w:type="auto"/>
                  <w:shd w:val="clear" w:color="auto" w:fill="auto"/>
                  <w:vAlign w:val="center"/>
                  <w:hideMark/>
                </w:tcPr>
                <w:p w14:paraId="09201DF6"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147.909.727</w:t>
                  </w:r>
                </w:p>
              </w:tc>
              <w:tc>
                <w:tcPr>
                  <w:tcW w:w="0" w:type="auto"/>
                  <w:shd w:val="clear" w:color="auto" w:fill="auto"/>
                  <w:vAlign w:val="center"/>
                  <w:hideMark/>
                </w:tcPr>
                <w:p w14:paraId="302A1C2B"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147.818.021</w:t>
                  </w:r>
                </w:p>
              </w:tc>
              <w:tc>
                <w:tcPr>
                  <w:tcW w:w="0" w:type="auto"/>
                  <w:shd w:val="clear" w:color="auto" w:fill="auto"/>
                  <w:vAlign w:val="center"/>
                  <w:hideMark/>
                </w:tcPr>
                <w:p w14:paraId="5A876121"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166.744.557</w:t>
                  </w:r>
                </w:p>
              </w:tc>
              <w:tc>
                <w:tcPr>
                  <w:tcW w:w="0" w:type="auto"/>
                  <w:shd w:val="clear" w:color="auto" w:fill="auto"/>
                  <w:vAlign w:val="center"/>
                  <w:hideMark/>
                </w:tcPr>
                <w:p w14:paraId="16A62215"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166.913.494</w:t>
                  </w:r>
                </w:p>
              </w:tc>
              <w:tc>
                <w:tcPr>
                  <w:tcW w:w="0" w:type="auto"/>
                  <w:shd w:val="clear" w:color="auto" w:fill="auto"/>
                  <w:vAlign w:val="center"/>
                  <w:hideMark/>
                </w:tcPr>
                <w:p w14:paraId="7E76331A"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173.836.412</w:t>
                  </w:r>
                </w:p>
              </w:tc>
              <w:tc>
                <w:tcPr>
                  <w:tcW w:w="0" w:type="auto"/>
                  <w:shd w:val="clear" w:color="auto" w:fill="auto"/>
                  <w:vAlign w:val="center"/>
                  <w:hideMark/>
                </w:tcPr>
                <w:p w14:paraId="1793647C" w14:textId="77777777" w:rsidR="001C7E6F" w:rsidRPr="008F5EF1" w:rsidRDefault="001C7E6F" w:rsidP="00BD3046">
                  <w:pPr>
                    <w:spacing w:after="0" w:line="240" w:lineRule="auto"/>
                    <w:jc w:val="right"/>
                    <w:rPr>
                      <w:rFonts w:ascii="Calibri" w:eastAsia="Times New Roman" w:hAnsi="Calibri" w:cs="Calibri"/>
                      <w:color w:val="000000"/>
                      <w:sz w:val="14"/>
                      <w:szCs w:val="16"/>
                      <w:lang w:eastAsia="pt-BR"/>
                    </w:rPr>
                  </w:pPr>
                  <w:r w:rsidRPr="008F5EF1">
                    <w:rPr>
                      <w:rFonts w:ascii="Calibri" w:eastAsia="Times New Roman" w:hAnsi="Calibri" w:cs="Calibri"/>
                      <w:color w:val="000000"/>
                      <w:sz w:val="14"/>
                      <w:szCs w:val="16"/>
                      <w:lang w:eastAsia="pt-BR"/>
                    </w:rPr>
                    <w:t>114.349.593</w:t>
                  </w:r>
                </w:p>
              </w:tc>
            </w:tr>
            <w:tr w:rsidR="001C7E6F" w:rsidRPr="008F5EF1" w14:paraId="4362AD82" w14:textId="77777777" w:rsidTr="00BD3046">
              <w:trPr>
                <w:trHeight w:val="225"/>
              </w:trPr>
              <w:tc>
                <w:tcPr>
                  <w:tcW w:w="0" w:type="auto"/>
                  <w:shd w:val="clear" w:color="auto" w:fill="auto"/>
                  <w:vAlign w:val="bottom"/>
                  <w:hideMark/>
                </w:tcPr>
                <w:p w14:paraId="09B012DF" w14:textId="77777777" w:rsidR="001C7E6F" w:rsidRPr="008F5EF1" w:rsidRDefault="001C7E6F" w:rsidP="00BD3046">
                  <w:pPr>
                    <w:spacing w:after="0" w:line="240" w:lineRule="auto"/>
                    <w:jc w:val="center"/>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Total</w:t>
                  </w:r>
                </w:p>
              </w:tc>
              <w:tc>
                <w:tcPr>
                  <w:tcW w:w="0" w:type="auto"/>
                  <w:shd w:val="clear" w:color="auto" w:fill="auto"/>
                  <w:vAlign w:val="bottom"/>
                  <w:hideMark/>
                </w:tcPr>
                <w:p w14:paraId="42D0B886" w14:textId="77777777" w:rsidR="001C7E6F" w:rsidRPr="008F5EF1" w:rsidRDefault="001C7E6F" w:rsidP="00BD3046">
                  <w:pPr>
                    <w:spacing w:after="0" w:line="240" w:lineRule="auto"/>
                    <w:jc w:val="right"/>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4.739.689.853</w:t>
                  </w:r>
                </w:p>
              </w:tc>
              <w:tc>
                <w:tcPr>
                  <w:tcW w:w="0" w:type="auto"/>
                  <w:shd w:val="clear" w:color="auto" w:fill="auto"/>
                  <w:vAlign w:val="bottom"/>
                  <w:hideMark/>
                </w:tcPr>
                <w:p w14:paraId="5C43B968" w14:textId="77777777" w:rsidR="001C7E6F" w:rsidRPr="008F5EF1" w:rsidRDefault="001C7E6F" w:rsidP="00BD3046">
                  <w:pPr>
                    <w:spacing w:after="0" w:line="240" w:lineRule="auto"/>
                    <w:jc w:val="right"/>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4.736.839.684</w:t>
                  </w:r>
                </w:p>
              </w:tc>
              <w:tc>
                <w:tcPr>
                  <w:tcW w:w="0" w:type="auto"/>
                  <w:shd w:val="clear" w:color="auto" w:fill="auto"/>
                  <w:vAlign w:val="bottom"/>
                  <w:hideMark/>
                </w:tcPr>
                <w:p w14:paraId="2D2CA49F" w14:textId="77777777" w:rsidR="001C7E6F" w:rsidRPr="008F5EF1" w:rsidRDefault="001C7E6F" w:rsidP="00BD3046">
                  <w:pPr>
                    <w:spacing w:after="0" w:line="240" w:lineRule="auto"/>
                    <w:jc w:val="right"/>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5.340.072.249</w:t>
                  </w:r>
                </w:p>
              </w:tc>
              <w:tc>
                <w:tcPr>
                  <w:tcW w:w="0" w:type="auto"/>
                  <w:shd w:val="clear" w:color="auto" w:fill="auto"/>
                  <w:vAlign w:val="bottom"/>
                  <w:hideMark/>
                </w:tcPr>
                <w:p w14:paraId="24B43970" w14:textId="77777777" w:rsidR="001C7E6F" w:rsidRPr="008F5EF1" w:rsidRDefault="001C7E6F" w:rsidP="00BD3046">
                  <w:pPr>
                    <w:spacing w:after="0" w:line="240" w:lineRule="auto"/>
                    <w:jc w:val="right"/>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5.345.881.778</w:t>
                  </w:r>
                </w:p>
              </w:tc>
              <w:tc>
                <w:tcPr>
                  <w:tcW w:w="0" w:type="auto"/>
                  <w:shd w:val="clear" w:color="auto" w:fill="auto"/>
                  <w:vAlign w:val="bottom"/>
                  <w:hideMark/>
                </w:tcPr>
                <w:p w14:paraId="310C30B7" w14:textId="77777777" w:rsidR="001C7E6F" w:rsidRPr="008F5EF1" w:rsidRDefault="001C7E6F" w:rsidP="00BD3046">
                  <w:pPr>
                    <w:spacing w:after="0" w:line="240" w:lineRule="auto"/>
                    <w:jc w:val="right"/>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5.565.752.296</w:t>
                  </w:r>
                </w:p>
              </w:tc>
              <w:tc>
                <w:tcPr>
                  <w:tcW w:w="0" w:type="auto"/>
                  <w:shd w:val="clear" w:color="auto" w:fill="auto"/>
                  <w:vAlign w:val="bottom"/>
                  <w:hideMark/>
                </w:tcPr>
                <w:p w14:paraId="3BB5AAB5" w14:textId="77777777" w:rsidR="001C7E6F" w:rsidRPr="008F5EF1" w:rsidRDefault="001C7E6F" w:rsidP="00BD3046">
                  <w:pPr>
                    <w:spacing w:after="0" w:line="240" w:lineRule="auto"/>
                    <w:jc w:val="right"/>
                    <w:rPr>
                      <w:rFonts w:ascii="Calibri" w:eastAsia="Times New Roman" w:hAnsi="Calibri" w:cs="Calibri"/>
                      <w:b/>
                      <w:bCs/>
                      <w:color w:val="000000"/>
                      <w:sz w:val="14"/>
                      <w:szCs w:val="16"/>
                      <w:lang w:eastAsia="pt-BR"/>
                    </w:rPr>
                  </w:pPr>
                  <w:r w:rsidRPr="008F5EF1">
                    <w:rPr>
                      <w:rFonts w:ascii="Calibri" w:eastAsia="Times New Roman" w:hAnsi="Calibri" w:cs="Calibri"/>
                      <w:b/>
                      <w:bCs/>
                      <w:color w:val="000000"/>
                      <w:sz w:val="14"/>
                      <w:szCs w:val="16"/>
                      <w:lang w:eastAsia="pt-BR"/>
                    </w:rPr>
                    <w:t>3.662.559.576</w:t>
                  </w:r>
                </w:p>
              </w:tc>
            </w:tr>
          </w:tbl>
          <w:p w14:paraId="3BA72034" w14:textId="77777777" w:rsidR="001C7E6F" w:rsidRDefault="001C7E6F" w:rsidP="00BD3046">
            <w:pPr>
              <w:spacing w:after="0" w:line="240" w:lineRule="auto"/>
              <w:rPr>
                <w:rFonts w:ascii="Arial" w:eastAsia="Arial" w:hAnsi="Arial" w:cs="Arial"/>
                <w:color w:val="000000"/>
                <w:sz w:val="18"/>
                <w:szCs w:val="18"/>
              </w:rPr>
            </w:pPr>
          </w:p>
          <w:p w14:paraId="158B4BC7" w14:textId="77777777" w:rsidR="001C7E6F" w:rsidRDefault="001C7E6F" w:rsidP="00BD3046">
            <w:pPr>
              <w:spacing w:after="0" w:line="240" w:lineRule="auto"/>
              <w:jc w:val="both"/>
              <w:rPr>
                <w:rFonts w:ascii="Arial" w:eastAsia="Arial" w:hAnsi="Arial" w:cs="Arial"/>
                <w:color w:val="000000"/>
                <w:sz w:val="18"/>
                <w:szCs w:val="18"/>
              </w:rPr>
            </w:pPr>
            <w:r w:rsidRPr="00B3233B">
              <w:rPr>
                <w:rFonts w:ascii="Arial" w:eastAsia="Arial" w:hAnsi="Arial" w:cs="Arial"/>
                <w:color w:val="000000"/>
                <w:sz w:val="18"/>
                <w:szCs w:val="18"/>
              </w:rPr>
              <w:t xml:space="preserve">Cada marcador indica um lastro financeiro específico, o que é essencial para o planejamento do gasto. Isso possibilita que o Plano de Ação e </w:t>
            </w:r>
            <w:r>
              <w:rPr>
                <w:rFonts w:ascii="Arial" w:eastAsia="Arial" w:hAnsi="Arial" w:cs="Arial"/>
                <w:color w:val="000000"/>
                <w:sz w:val="18"/>
                <w:szCs w:val="18"/>
              </w:rPr>
              <w:t xml:space="preserve">o Plano de </w:t>
            </w:r>
            <w:r w:rsidRPr="00B3233B">
              <w:rPr>
                <w:rFonts w:ascii="Arial" w:eastAsia="Arial" w:hAnsi="Arial" w:cs="Arial"/>
                <w:color w:val="000000"/>
                <w:sz w:val="18"/>
                <w:szCs w:val="18"/>
              </w:rPr>
              <w:t>Aplicação Financeira seja</w:t>
            </w:r>
            <w:r>
              <w:rPr>
                <w:rFonts w:ascii="Arial" w:eastAsia="Arial" w:hAnsi="Arial" w:cs="Arial"/>
                <w:color w:val="000000"/>
                <w:sz w:val="18"/>
                <w:szCs w:val="18"/>
              </w:rPr>
              <w:t>m</w:t>
            </w:r>
            <w:r w:rsidRPr="00B3233B">
              <w:rPr>
                <w:rFonts w:ascii="Arial" w:eastAsia="Arial" w:hAnsi="Arial" w:cs="Arial"/>
                <w:color w:val="000000"/>
                <w:sz w:val="18"/>
                <w:szCs w:val="18"/>
              </w:rPr>
              <w:t xml:space="preserve"> elaborado</w:t>
            </w:r>
            <w:r>
              <w:rPr>
                <w:rFonts w:ascii="Arial" w:eastAsia="Arial" w:hAnsi="Arial" w:cs="Arial"/>
                <w:color w:val="000000"/>
                <w:sz w:val="18"/>
                <w:szCs w:val="18"/>
              </w:rPr>
              <w:t>s</w:t>
            </w:r>
            <w:r w:rsidRPr="00B3233B">
              <w:rPr>
                <w:rFonts w:ascii="Arial" w:eastAsia="Arial" w:hAnsi="Arial" w:cs="Arial"/>
                <w:color w:val="000000"/>
                <w:sz w:val="18"/>
                <w:szCs w:val="18"/>
              </w:rPr>
              <w:t xml:space="preserve"> de modo compatível com a capacidade real do Fundo, evitando tanto a subexecução quanto o excesso de previsão sem cobertura.</w:t>
            </w:r>
          </w:p>
          <w:p w14:paraId="1BE6BF74"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Em</w:t>
            </w:r>
            <w:r w:rsidRPr="00B96937">
              <w:rPr>
                <w:rFonts w:ascii="Arial" w:eastAsia="Arial" w:hAnsi="Arial" w:cs="Arial"/>
                <w:color w:val="000000"/>
                <w:sz w:val="18"/>
                <w:szCs w:val="18"/>
              </w:rPr>
              <w:t xml:space="preserve"> função do Decreto n° 45.874/2016, que regulamentou a EC 93/2016, a base de cálculo do FECP</w:t>
            </w:r>
            <w:r>
              <w:rPr>
                <w:rFonts w:ascii="Arial" w:eastAsia="Arial" w:hAnsi="Arial" w:cs="Arial"/>
                <w:color w:val="000000"/>
                <w:sz w:val="18"/>
                <w:szCs w:val="18"/>
              </w:rPr>
              <w:t>-RJ</w:t>
            </w:r>
            <w:r w:rsidRPr="00B96937">
              <w:rPr>
                <w:rFonts w:ascii="Arial" w:eastAsia="Arial" w:hAnsi="Arial" w:cs="Arial"/>
                <w:color w:val="000000"/>
                <w:sz w:val="18"/>
                <w:szCs w:val="18"/>
              </w:rPr>
              <w:t xml:space="preserve"> </w:t>
            </w:r>
            <w:r>
              <w:rPr>
                <w:rFonts w:ascii="Arial" w:eastAsia="Arial" w:hAnsi="Arial" w:cs="Arial"/>
                <w:color w:val="000000"/>
                <w:sz w:val="18"/>
                <w:szCs w:val="18"/>
              </w:rPr>
              <w:t>ainda sofre</w:t>
            </w:r>
            <w:r w:rsidRPr="00B96937">
              <w:rPr>
                <w:rFonts w:ascii="Arial" w:eastAsia="Arial" w:hAnsi="Arial" w:cs="Arial"/>
                <w:color w:val="000000"/>
                <w:sz w:val="18"/>
                <w:szCs w:val="18"/>
              </w:rPr>
              <w:t xml:space="preserve"> redução de 30% correspondente à Desvinculação de Receitas dos Estados – DRE</w:t>
            </w:r>
            <w:r>
              <w:rPr>
                <w:rFonts w:ascii="Arial" w:eastAsia="Arial" w:hAnsi="Arial" w:cs="Arial"/>
                <w:color w:val="000000"/>
                <w:sz w:val="18"/>
                <w:szCs w:val="18"/>
              </w:rPr>
              <w:t>. Com base nas prestações de contas de 2023 e 2024 apreciadas pelo TCE-RJ, foram desvinculados os seguintes totais:</w:t>
            </w:r>
          </w:p>
          <w:p w14:paraId="7E4B746B"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2023 – R$ 1.421.051.913</w:t>
            </w:r>
          </w:p>
          <w:p w14:paraId="2FBE1E50"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2024 – R$ 1.603.764.524</w:t>
            </w:r>
          </w:p>
          <w:p w14:paraId="2B9DBD34" w14:textId="77777777" w:rsidR="001C7E6F" w:rsidRDefault="001C7E6F" w:rsidP="00BD3046">
            <w:pPr>
              <w:spacing w:after="0" w:line="240" w:lineRule="auto"/>
              <w:jc w:val="both"/>
              <w:rPr>
                <w:rFonts w:ascii="Arial" w:eastAsia="Arial" w:hAnsi="Arial" w:cs="Arial"/>
                <w:color w:val="000000"/>
                <w:sz w:val="18"/>
                <w:szCs w:val="18"/>
              </w:rPr>
            </w:pPr>
          </w:p>
          <w:p w14:paraId="5D703B12"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Para 2025, considerando o momento em que se conclui esta análise, adota-se como premissa a desvinculação de 30% (R$ 1.098.767.872) sobre a receita arrecadada até a data base de extração dos dados de execução orçamentária (28/08/2025), perfazendo uma receita arrecada líquida de R$ 2.563.791.703.   </w:t>
            </w:r>
          </w:p>
          <w:p w14:paraId="359710CF" w14:textId="77777777" w:rsidR="001C7E6F" w:rsidRDefault="001C7E6F" w:rsidP="00BD3046">
            <w:pPr>
              <w:spacing w:after="0" w:line="240" w:lineRule="auto"/>
              <w:jc w:val="both"/>
              <w:rPr>
                <w:rFonts w:ascii="Arial" w:eastAsia="Arial" w:hAnsi="Arial" w:cs="Arial"/>
                <w:color w:val="000000"/>
                <w:sz w:val="18"/>
                <w:szCs w:val="18"/>
              </w:rPr>
            </w:pPr>
          </w:p>
          <w:p w14:paraId="7F6CA4EB"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Assim, retirando todas as desvinculações, a base de arrecadação do FECP-RJ, para levantamento dos indicadores de execução orçamentária, adotou-se:</w:t>
            </w:r>
          </w:p>
          <w:p w14:paraId="05FFD5C4" w14:textId="77777777" w:rsidR="001C7E6F" w:rsidRDefault="001C7E6F" w:rsidP="00BD3046">
            <w:pPr>
              <w:spacing w:after="0" w:line="240" w:lineRule="auto"/>
              <w:rPr>
                <w:rFonts w:ascii="Arial" w:eastAsia="Arial" w:hAnsi="Arial" w:cs="Arial"/>
                <w:color w:val="000000"/>
                <w:sz w:val="18"/>
                <w:szCs w:val="18"/>
              </w:rPr>
            </w:pPr>
          </w:p>
          <w:tbl>
            <w:tblPr>
              <w:tblW w:w="68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840"/>
              <w:gridCol w:w="1540"/>
              <w:gridCol w:w="1620"/>
              <w:gridCol w:w="1440"/>
              <w:gridCol w:w="1440"/>
            </w:tblGrid>
            <w:tr w:rsidR="001C7E6F" w:rsidRPr="00643B87" w14:paraId="2A00B197" w14:textId="77777777" w:rsidTr="00BD3046">
              <w:trPr>
                <w:trHeight w:val="225"/>
              </w:trPr>
              <w:tc>
                <w:tcPr>
                  <w:tcW w:w="840" w:type="dxa"/>
                  <w:shd w:val="clear" w:color="auto" w:fill="auto"/>
                  <w:vAlign w:val="center"/>
                  <w:hideMark/>
                </w:tcPr>
                <w:p w14:paraId="42B88690" w14:textId="77777777" w:rsidR="001C7E6F" w:rsidRPr="00643B87" w:rsidRDefault="001C7E6F" w:rsidP="00BD3046">
                  <w:pPr>
                    <w:spacing w:after="0" w:line="240" w:lineRule="auto"/>
                    <w:jc w:val="center"/>
                    <w:rPr>
                      <w:rFonts w:ascii="Calibri" w:eastAsia="Times New Roman" w:hAnsi="Calibri" w:cs="Calibri"/>
                      <w:b/>
                      <w:bCs/>
                      <w:color w:val="000000"/>
                      <w:sz w:val="16"/>
                      <w:szCs w:val="16"/>
                      <w:lang w:eastAsia="pt-BR"/>
                    </w:rPr>
                  </w:pPr>
                  <w:r w:rsidRPr="00643B87">
                    <w:rPr>
                      <w:rFonts w:ascii="Calibri" w:eastAsia="Times New Roman" w:hAnsi="Calibri" w:cs="Calibri"/>
                      <w:b/>
                      <w:bCs/>
                      <w:color w:val="000000"/>
                      <w:sz w:val="16"/>
                      <w:szCs w:val="16"/>
                      <w:lang w:eastAsia="pt-BR"/>
                    </w:rPr>
                    <w:t>Ano</w:t>
                  </w:r>
                </w:p>
              </w:tc>
              <w:tc>
                <w:tcPr>
                  <w:tcW w:w="1540" w:type="dxa"/>
                  <w:shd w:val="clear" w:color="auto" w:fill="auto"/>
                  <w:vAlign w:val="center"/>
                  <w:hideMark/>
                </w:tcPr>
                <w:p w14:paraId="3C0F0B4B" w14:textId="77777777" w:rsidR="001C7E6F" w:rsidRPr="00643B87" w:rsidRDefault="001C7E6F" w:rsidP="00BD3046">
                  <w:pPr>
                    <w:spacing w:after="0" w:line="240" w:lineRule="auto"/>
                    <w:jc w:val="center"/>
                    <w:rPr>
                      <w:rFonts w:ascii="Calibri" w:eastAsia="Times New Roman" w:hAnsi="Calibri" w:cs="Calibri"/>
                      <w:b/>
                      <w:bCs/>
                      <w:color w:val="000000"/>
                      <w:sz w:val="16"/>
                      <w:szCs w:val="16"/>
                      <w:lang w:eastAsia="pt-BR"/>
                    </w:rPr>
                  </w:pPr>
                  <w:r w:rsidRPr="00643B87">
                    <w:rPr>
                      <w:rFonts w:ascii="Calibri" w:eastAsia="Times New Roman" w:hAnsi="Calibri" w:cs="Calibri"/>
                      <w:b/>
                      <w:bCs/>
                      <w:color w:val="000000"/>
                      <w:sz w:val="16"/>
                      <w:szCs w:val="16"/>
                      <w:lang w:eastAsia="pt-BR"/>
                    </w:rPr>
                    <w:t>Receita Prevista</w:t>
                  </w:r>
                </w:p>
              </w:tc>
              <w:tc>
                <w:tcPr>
                  <w:tcW w:w="1620" w:type="dxa"/>
                  <w:shd w:val="clear" w:color="auto" w:fill="auto"/>
                  <w:vAlign w:val="center"/>
                  <w:hideMark/>
                </w:tcPr>
                <w:p w14:paraId="283112F1" w14:textId="77777777" w:rsidR="001C7E6F" w:rsidRPr="00643B87" w:rsidRDefault="001C7E6F" w:rsidP="00BD3046">
                  <w:pPr>
                    <w:spacing w:after="0" w:line="240" w:lineRule="auto"/>
                    <w:jc w:val="center"/>
                    <w:rPr>
                      <w:rFonts w:ascii="Calibri" w:eastAsia="Times New Roman" w:hAnsi="Calibri" w:cs="Calibri"/>
                      <w:b/>
                      <w:bCs/>
                      <w:color w:val="000000"/>
                      <w:sz w:val="16"/>
                      <w:szCs w:val="16"/>
                      <w:lang w:eastAsia="pt-BR"/>
                    </w:rPr>
                  </w:pPr>
                  <w:r w:rsidRPr="00643B87">
                    <w:rPr>
                      <w:rFonts w:ascii="Calibri" w:eastAsia="Times New Roman" w:hAnsi="Calibri" w:cs="Calibri"/>
                      <w:b/>
                      <w:bCs/>
                      <w:color w:val="000000"/>
                      <w:sz w:val="16"/>
                      <w:szCs w:val="16"/>
                      <w:lang w:eastAsia="pt-BR"/>
                    </w:rPr>
                    <w:t>Receita Arrecadada</w:t>
                  </w:r>
                </w:p>
              </w:tc>
              <w:tc>
                <w:tcPr>
                  <w:tcW w:w="1440" w:type="dxa"/>
                  <w:shd w:val="clear" w:color="auto" w:fill="auto"/>
                  <w:vAlign w:val="center"/>
                  <w:hideMark/>
                </w:tcPr>
                <w:p w14:paraId="7DB06118" w14:textId="77777777" w:rsidR="001C7E6F" w:rsidRPr="00643B87" w:rsidRDefault="001C7E6F" w:rsidP="00BD3046">
                  <w:pPr>
                    <w:spacing w:after="0" w:line="240" w:lineRule="auto"/>
                    <w:jc w:val="center"/>
                    <w:rPr>
                      <w:rFonts w:ascii="Calibri" w:eastAsia="Times New Roman" w:hAnsi="Calibri" w:cs="Calibri"/>
                      <w:b/>
                      <w:bCs/>
                      <w:color w:val="000000"/>
                      <w:sz w:val="16"/>
                      <w:szCs w:val="16"/>
                      <w:lang w:eastAsia="pt-BR"/>
                    </w:rPr>
                  </w:pPr>
                  <w:r w:rsidRPr="00643B87">
                    <w:rPr>
                      <w:rFonts w:ascii="Calibri" w:eastAsia="Times New Roman" w:hAnsi="Calibri" w:cs="Calibri"/>
                      <w:b/>
                      <w:bCs/>
                      <w:color w:val="000000"/>
                      <w:sz w:val="16"/>
                      <w:szCs w:val="16"/>
                      <w:lang w:eastAsia="pt-BR"/>
                    </w:rPr>
                    <w:t>Desvinculação</w:t>
                  </w:r>
                </w:p>
              </w:tc>
              <w:tc>
                <w:tcPr>
                  <w:tcW w:w="1440" w:type="dxa"/>
                  <w:shd w:val="clear" w:color="auto" w:fill="auto"/>
                  <w:vAlign w:val="center"/>
                  <w:hideMark/>
                </w:tcPr>
                <w:p w14:paraId="7289C2BD" w14:textId="77777777" w:rsidR="001C7E6F" w:rsidRPr="00643B87" w:rsidRDefault="001C7E6F" w:rsidP="00BD3046">
                  <w:pPr>
                    <w:spacing w:after="0" w:line="240" w:lineRule="auto"/>
                    <w:jc w:val="center"/>
                    <w:rPr>
                      <w:rFonts w:ascii="Calibri" w:eastAsia="Times New Roman" w:hAnsi="Calibri" w:cs="Calibri"/>
                      <w:b/>
                      <w:bCs/>
                      <w:color w:val="000000"/>
                      <w:sz w:val="16"/>
                      <w:szCs w:val="16"/>
                      <w:lang w:eastAsia="pt-BR"/>
                    </w:rPr>
                  </w:pPr>
                  <w:r w:rsidRPr="00643B87">
                    <w:rPr>
                      <w:rFonts w:ascii="Calibri" w:eastAsia="Times New Roman" w:hAnsi="Calibri" w:cs="Calibri"/>
                      <w:b/>
                      <w:bCs/>
                      <w:color w:val="000000"/>
                      <w:sz w:val="16"/>
                      <w:szCs w:val="16"/>
                      <w:lang w:eastAsia="pt-BR"/>
                    </w:rPr>
                    <w:t>Base de Cálculo</w:t>
                  </w:r>
                </w:p>
              </w:tc>
            </w:tr>
            <w:tr w:rsidR="001C7E6F" w:rsidRPr="00643B87" w14:paraId="44A944EB" w14:textId="77777777" w:rsidTr="00BD3046">
              <w:trPr>
                <w:trHeight w:val="225"/>
              </w:trPr>
              <w:tc>
                <w:tcPr>
                  <w:tcW w:w="840" w:type="dxa"/>
                  <w:shd w:val="clear" w:color="auto" w:fill="auto"/>
                  <w:vAlign w:val="center"/>
                  <w:hideMark/>
                </w:tcPr>
                <w:p w14:paraId="77A9BB1A" w14:textId="77777777" w:rsidR="001C7E6F" w:rsidRPr="00643B87" w:rsidRDefault="001C7E6F" w:rsidP="00BD3046">
                  <w:pPr>
                    <w:spacing w:after="0" w:line="240" w:lineRule="auto"/>
                    <w:jc w:val="center"/>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2023</w:t>
                  </w:r>
                </w:p>
              </w:tc>
              <w:tc>
                <w:tcPr>
                  <w:tcW w:w="1540" w:type="dxa"/>
                  <w:shd w:val="clear" w:color="auto" w:fill="auto"/>
                  <w:vAlign w:val="center"/>
                  <w:hideMark/>
                </w:tcPr>
                <w:p w14:paraId="457BDF10" w14:textId="77777777" w:rsidR="001C7E6F" w:rsidRPr="00643B87" w:rsidRDefault="001C7E6F" w:rsidP="00BD3046">
                  <w:pPr>
                    <w:spacing w:after="0" w:line="240" w:lineRule="auto"/>
                    <w:jc w:val="right"/>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 xml:space="preserve">     4.739.689.853,00 </w:t>
                  </w:r>
                </w:p>
              </w:tc>
              <w:tc>
                <w:tcPr>
                  <w:tcW w:w="1620" w:type="dxa"/>
                  <w:shd w:val="clear" w:color="auto" w:fill="auto"/>
                  <w:vAlign w:val="center"/>
                  <w:hideMark/>
                </w:tcPr>
                <w:p w14:paraId="3C294427" w14:textId="77777777" w:rsidR="001C7E6F" w:rsidRPr="00643B87" w:rsidRDefault="001C7E6F" w:rsidP="00BD3046">
                  <w:pPr>
                    <w:spacing w:after="0" w:line="240" w:lineRule="auto"/>
                    <w:jc w:val="right"/>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 xml:space="preserve">        4.736.839.684,00 </w:t>
                  </w:r>
                </w:p>
              </w:tc>
              <w:tc>
                <w:tcPr>
                  <w:tcW w:w="1440" w:type="dxa"/>
                  <w:shd w:val="clear" w:color="auto" w:fill="auto"/>
                  <w:vAlign w:val="center"/>
                  <w:hideMark/>
                </w:tcPr>
                <w:p w14:paraId="16284FC2" w14:textId="77777777" w:rsidR="001C7E6F" w:rsidRPr="00643B87" w:rsidRDefault="001C7E6F" w:rsidP="00BD3046">
                  <w:pPr>
                    <w:spacing w:after="0" w:line="240" w:lineRule="auto"/>
                    <w:jc w:val="right"/>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 xml:space="preserve">  1.421.051.913,00 </w:t>
                  </w:r>
                </w:p>
              </w:tc>
              <w:tc>
                <w:tcPr>
                  <w:tcW w:w="1440" w:type="dxa"/>
                  <w:shd w:val="clear" w:color="auto" w:fill="auto"/>
                  <w:vAlign w:val="center"/>
                  <w:hideMark/>
                </w:tcPr>
                <w:p w14:paraId="238872CF" w14:textId="77777777" w:rsidR="001C7E6F" w:rsidRPr="00643B87" w:rsidRDefault="001C7E6F" w:rsidP="00BD3046">
                  <w:pPr>
                    <w:spacing w:after="0" w:line="240" w:lineRule="auto"/>
                    <w:jc w:val="right"/>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 xml:space="preserve">  3.315.787.771,00 </w:t>
                  </w:r>
                </w:p>
              </w:tc>
            </w:tr>
            <w:tr w:rsidR="001C7E6F" w:rsidRPr="00643B87" w14:paraId="647001CD" w14:textId="77777777" w:rsidTr="00BD3046">
              <w:trPr>
                <w:trHeight w:val="225"/>
              </w:trPr>
              <w:tc>
                <w:tcPr>
                  <w:tcW w:w="840" w:type="dxa"/>
                  <w:shd w:val="clear" w:color="auto" w:fill="auto"/>
                  <w:vAlign w:val="center"/>
                  <w:hideMark/>
                </w:tcPr>
                <w:p w14:paraId="2CC5BD6B" w14:textId="77777777" w:rsidR="001C7E6F" w:rsidRPr="00643B87" w:rsidRDefault="001C7E6F" w:rsidP="00BD3046">
                  <w:pPr>
                    <w:spacing w:after="0" w:line="240" w:lineRule="auto"/>
                    <w:jc w:val="center"/>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2024</w:t>
                  </w:r>
                </w:p>
              </w:tc>
              <w:tc>
                <w:tcPr>
                  <w:tcW w:w="1540" w:type="dxa"/>
                  <w:shd w:val="clear" w:color="auto" w:fill="auto"/>
                  <w:vAlign w:val="center"/>
                  <w:hideMark/>
                </w:tcPr>
                <w:p w14:paraId="390087BD" w14:textId="77777777" w:rsidR="001C7E6F" w:rsidRPr="00643B87" w:rsidRDefault="001C7E6F" w:rsidP="00BD3046">
                  <w:pPr>
                    <w:spacing w:after="0" w:line="240" w:lineRule="auto"/>
                    <w:jc w:val="right"/>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 xml:space="preserve">     5.340.072.249,00 </w:t>
                  </w:r>
                </w:p>
              </w:tc>
              <w:tc>
                <w:tcPr>
                  <w:tcW w:w="1620" w:type="dxa"/>
                  <w:shd w:val="clear" w:color="auto" w:fill="auto"/>
                  <w:vAlign w:val="center"/>
                  <w:hideMark/>
                </w:tcPr>
                <w:p w14:paraId="64643DA4" w14:textId="77777777" w:rsidR="001C7E6F" w:rsidRPr="00643B87" w:rsidRDefault="001C7E6F" w:rsidP="00BD3046">
                  <w:pPr>
                    <w:spacing w:after="0" w:line="240" w:lineRule="auto"/>
                    <w:jc w:val="right"/>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 xml:space="preserve">        5.345.881.778,00 </w:t>
                  </w:r>
                </w:p>
              </w:tc>
              <w:tc>
                <w:tcPr>
                  <w:tcW w:w="1440" w:type="dxa"/>
                  <w:shd w:val="clear" w:color="auto" w:fill="auto"/>
                  <w:vAlign w:val="center"/>
                  <w:hideMark/>
                </w:tcPr>
                <w:p w14:paraId="749DB090" w14:textId="77777777" w:rsidR="001C7E6F" w:rsidRPr="00643B87" w:rsidRDefault="001C7E6F" w:rsidP="00BD3046">
                  <w:pPr>
                    <w:spacing w:after="0" w:line="240" w:lineRule="auto"/>
                    <w:jc w:val="right"/>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 xml:space="preserve">  1.603.764.524,00 </w:t>
                  </w:r>
                </w:p>
              </w:tc>
              <w:tc>
                <w:tcPr>
                  <w:tcW w:w="1440" w:type="dxa"/>
                  <w:shd w:val="clear" w:color="auto" w:fill="auto"/>
                  <w:vAlign w:val="center"/>
                  <w:hideMark/>
                </w:tcPr>
                <w:p w14:paraId="608B8B68" w14:textId="77777777" w:rsidR="001C7E6F" w:rsidRPr="00643B87" w:rsidRDefault="001C7E6F" w:rsidP="00BD3046">
                  <w:pPr>
                    <w:spacing w:after="0" w:line="240" w:lineRule="auto"/>
                    <w:jc w:val="right"/>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 xml:space="preserve">  3.742.117.254,00 </w:t>
                  </w:r>
                </w:p>
              </w:tc>
            </w:tr>
            <w:tr w:rsidR="001C7E6F" w:rsidRPr="00643B87" w14:paraId="2DFDAD51" w14:textId="77777777" w:rsidTr="00BD3046">
              <w:trPr>
                <w:trHeight w:val="225"/>
              </w:trPr>
              <w:tc>
                <w:tcPr>
                  <w:tcW w:w="840" w:type="dxa"/>
                  <w:shd w:val="clear" w:color="auto" w:fill="auto"/>
                  <w:vAlign w:val="center"/>
                  <w:hideMark/>
                </w:tcPr>
                <w:p w14:paraId="3801FA54" w14:textId="77777777" w:rsidR="001C7E6F" w:rsidRPr="00643B87" w:rsidRDefault="001C7E6F" w:rsidP="00BD3046">
                  <w:pPr>
                    <w:spacing w:after="0" w:line="240" w:lineRule="auto"/>
                    <w:jc w:val="center"/>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2025</w:t>
                  </w:r>
                </w:p>
              </w:tc>
              <w:tc>
                <w:tcPr>
                  <w:tcW w:w="1540" w:type="dxa"/>
                  <w:shd w:val="clear" w:color="auto" w:fill="auto"/>
                  <w:vAlign w:val="center"/>
                  <w:hideMark/>
                </w:tcPr>
                <w:p w14:paraId="3EED2EB9" w14:textId="77777777" w:rsidR="001C7E6F" w:rsidRPr="00643B87" w:rsidRDefault="001C7E6F" w:rsidP="00BD3046">
                  <w:pPr>
                    <w:spacing w:after="0" w:line="240" w:lineRule="auto"/>
                    <w:jc w:val="right"/>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 xml:space="preserve">     5.565.752.296,00 </w:t>
                  </w:r>
                </w:p>
              </w:tc>
              <w:tc>
                <w:tcPr>
                  <w:tcW w:w="1620" w:type="dxa"/>
                  <w:shd w:val="clear" w:color="auto" w:fill="auto"/>
                  <w:vAlign w:val="center"/>
                  <w:hideMark/>
                </w:tcPr>
                <w:p w14:paraId="2C26509E" w14:textId="77777777" w:rsidR="001C7E6F" w:rsidRPr="00643B87" w:rsidRDefault="001C7E6F" w:rsidP="00BD3046">
                  <w:pPr>
                    <w:spacing w:after="0" w:line="240" w:lineRule="auto"/>
                    <w:jc w:val="right"/>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 xml:space="preserve">        3.662.559.576,00 </w:t>
                  </w:r>
                </w:p>
              </w:tc>
              <w:tc>
                <w:tcPr>
                  <w:tcW w:w="1440" w:type="dxa"/>
                  <w:shd w:val="clear" w:color="auto" w:fill="auto"/>
                  <w:vAlign w:val="center"/>
                  <w:hideMark/>
                </w:tcPr>
                <w:p w14:paraId="54EF75F8" w14:textId="77777777" w:rsidR="001C7E6F" w:rsidRPr="00643B87" w:rsidRDefault="001C7E6F" w:rsidP="00BD3046">
                  <w:pPr>
                    <w:spacing w:after="0" w:line="240" w:lineRule="auto"/>
                    <w:jc w:val="right"/>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 xml:space="preserve">  1.098.767.872,80 </w:t>
                  </w:r>
                </w:p>
              </w:tc>
              <w:tc>
                <w:tcPr>
                  <w:tcW w:w="1440" w:type="dxa"/>
                  <w:shd w:val="clear" w:color="auto" w:fill="auto"/>
                  <w:vAlign w:val="center"/>
                  <w:hideMark/>
                </w:tcPr>
                <w:p w14:paraId="018D8A42" w14:textId="77777777" w:rsidR="001C7E6F" w:rsidRPr="00643B87" w:rsidRDefault="001C7E6F" w:rsidP="00BD3046">
                  <w:pPr>
                    <w:spacing w:after="0" w:line="240" w:lineRule="auto"/>
                    <w:jc w:val="right"/>
                    <w:rPr>
                      <w:rFonts w:ascii="Calibri" w:eastAsia="Times New Roman" w:hAnsi="Calibri" w:cs="Calibri"/>
                      <w:color w:val="000000"/>
                      <w:sz w:val="16"/>
                      <w:szCs w:val="16"/>
                      <w:lang w:eastAsia="pt-BR"/>
                    </w:rPr>
                  </w:pPr>
                  <w:r w:rsidRPr="00643B87">
                    <w:rPr>
                      <w:rFonts w:ascii="Calibri" w:eastAsia="Times New Roman" w:hAnsi="Calibri" w:cs="Calibri"/>
                      <w:color w:val="000000"/>
                      <w:sz w:val="16"/>
                      <w:szCs w:val="16"/>
                      <w:lang w:eastAsia="pt-BR"/>
                    </w:rPr>
                    <w:t xml:space="preserve">  2.563.791.703,20 </w:t>
                  </w:r>
                </w:p>
              </w:tc>
            </w:tr>
            <w:tr w:rsidR="001C7E6F" w:rsidRPr="00643B87" w14:paraId="74CE6712" w14:textId="77777777" w:rsidTr="00BD3046">
              <w:trPr>
                <w:trHeight w:val="225"/>
              </w:trPr>
              <w:tc>
                <w:tcPr>
                  <w:tcW w:w="840" w:type="dxa"/>
                  <w:shd w:val="clear" w:color="auto" w:fill="auto"/>
                  <w:vAlign w:val="center"/>
                  <w:hideMark/>
                </w:tcPr>
                <w:p w14:paraId="77EEBDC3" w14:textId="77777777" w:rsidR="001C7E6F" w:rsidRPr="00643B87" w:rsidRDefault="001C7E6F" w:rsidP="00BD3046">
                  <w:pPr>
                    <w:spacing w:after="0" w:line="240" w:lineRule="auto"/>
                    <w:jc w:val="center"/>
                    <w:rPr>
                      <w:rFonts w:ascii="Calibri" w:eastAsia="Times New Roman" w:hAnsi="Calibri" w:cs="Calibri"/>
                      <w:b/>
                      <w:bCs/>
                      <w:color w:val="000000"/>
                      <w:sz w:val="16"/>
                      <w:szCs w:val="16"/>
                      <w:lang w:eastAsia="pt-BR"/>
                    </w:rPr>
                  </w:pPr>
                  <w:r w:rsidRPr="00643B87">
                    <w:rPr>
                      <w:rFonts w:ascii="Calibri" w:eastAsia="Times New Roman" w:hAnsi="Calibri" w:cs="Calibri"/>
                      <w:b/>
                      <w:bCs/>
                      <w:color w:val="000000"/>
                      <w:sz w:val="16"/>
                      <w:szCs w:val="16"/>
                      <w:lang w:eastAsia="pt-BR"/>
                    </w:rPr>
                    <w:t>Total</w:t>
                  </w:r>
                </w:p>
              </w:tc>
              <w:tc>
                <w:tcPr>
                  <w:tcW w:w="1540" w:type="dxa"/>
                  <w:shd w:val="clear" w:color="auto" w:fill="auto"/>
                  <w:vAlign w:val="center"/>
                  <w:hideMark/>
                </w:tcPr>
                <w:p w14:paraId="1CF2D62B" w14:textId="77777777" w:rsidR="001C7E6F" w:rsidRPr="00643B87" w:rsidRDefault="001C7E6F" w:rsidP="00BD3046">
                  <w:pPr>
                    <w:spacing w:after="0" w:line="240" w:lineRule="auto"/>
                    <w:jc w:val="right"/>
                    <w:rPr>
                      <w:rFonts w:ascii="Calibri" w:eastAsia="Times New Roman" w:hAnsi="Calibri" w:cs="Calibri"/>
                      <w:b/>
                      <w:bCs/>
                      <w:color w:val="000000"/>
                      <w:sz w:val="16"/>
                      <w:szCs w:val="16"/>
                      <w:lang w:eastAsia="pt-BR"/>
                    </w:rPr>
                  </w:pPr>
                  <w:r w:rsidRPr="00643B87">
                    <w:rPr>
                      <w:rFonts w:ascii="Calibri" w:eastAsia="Times New Roman" w:hAnsi="Calibri" w:cs="Calibri"/>
                      <w:b/>
                      <w:bCs/>
                      <w:color w:val="000000"/>
                      <w:sz w:val="16"/>
                      <w:szCs w:val="16"/>
                      <w:lang w:eastAsia="pt-BR"/>
                    </w:rPr>
                    <w:t xml:space="preserve">  15.645.514.398,00 </w:t>
                  </w:r>
                </w:p>
              </w:tc>
              <w:tc>
                <w:tcPr>
                  <w:tcW w:w="1620" w:type="dxa"/>
                  <w:shd w:val="clear" w:color="auto" w:fill="auto"/>
                  <w:vAlign w:val="center"/>
                  <w:hideMark/>
                </w:tcPr>
                <w:p w14:paraId="2B0EF648" w14:textId="77777777" w:rsidR="001C7E6F" w:rsidRPr="00643B87" w:rsidRDefault="001C7E6F" w:rsidP="00BD3046">
                  <w:pPr>
                    <w:spacing w:after="0" w:line="240" w:lineRule="auto"/>
                    <w:jc w:val="right"/>
                    <w:rPr>
                      <w:rFonts w:ascii="Calibri" w:eastAsia="Times New Roman" w:hAnsi="Calibri" w:cs="Calibri"/>
                      <w:b/>
                      <w:bCs/>
                      <w:color w:val="000000"/>
                      <w:sz w:val="16"/>
                      <w:szCs w:val="16"/>
                      <w:lang w:eastAsia="pt-BR"/>
                    </w:rPr>
                  </w:pPr>
                  <w:r w:rsidRPr="00643B87">
                    <w:rPr>
                      <w:rFonts w:ascii="Calibri" w:eastAsia="Times New Roman" w:hAnsi="Calibri" w:cs="Calibri"/>
                      <w:b/>
                      <w:bCs/>
                      <w:color w:val="000000"/>
                      <w:sz w:val="16"/>
                      <w:szCs w:val="16"/>
                      <w:lang w:eastAsia="pt-BR"/>
                    </w:rPr>
                    <w:t xml:space="preserve">     13.745.281.038,00 </w:t>
                  </w:r>
                </w:p>
              </w:tc>
              <w:tc>
                <w:tcPr>
                  <w:tcW w:w="1440" w:type="dxa"/>
                  <w:shd w:val="clear" w:color="auto" w:fill="auto"/>
                  <w:vAlign w:val="center"/>
                  <w:hideMark/>
                </w:tcPr>
                <w:p w14:paraId="780AE6A5" w14:textId="77777777" w:rsidR="001C7E6F" w:rsidRPr="00643B87" w:rsidRDefault="001C7E6F" w:rsidP="00BD3046">
                  <w:pPr>
                    <w:spacing w:after="0" w:line="240" w:lineRule="auto"/>
                    <w:jc w:val="right"/>
                    <w:rPr>
                      <w:rFonts w:ascii="Calibri" w:eastAsia="Times New Roman" w:hAnsi="Calibri" w:cs="Calibri"/>
                      <w:b/>
                      <w:bCs/>
                      <w:color w:val="000000"/>
                      <w:sz w:val="16"/>
                      <w:szCs w:val="16"/>
                      <w:lang w:eastAsia="pt-BR"/>
                    </w:rPr>
                  </w:pPr>
                  <w:r w:rsidRPr="00643B87">
                    <w:rPr>
                      <w:rFonts w:ascii="Calibri" w:eastAsia="Times New Roman" w:hAnsi="Calibri" w:cs="Calibri"/>
                      <w:b/>
                      <w:bCs/>
                      <w:color w:val="000000"/>
                      <w:sz w:val="16"/>
                      <w:szCs w:val="16"/>
                      <w:lang w:eastAsia="pt-BR"/>
                    </w:rPr>
                    <w:t xml:space="preserve">  4.123.584.309,80 </w:t>
                  </w:r>
                </w:p>
              </w:tc>
              <w:tc>
                <w:tcPr>
                  <w:tcW w:w="1440" w:type="dxa"/>
                  <w:shd w:val="clear" w:color="auto" w:fill="auto"/>
                  <w:vAlign w:val="center"/>
                  <w:hideMark/>
                </w:tcPr>
                <w:p w14:paraId="553F3483" w14:textId="77777777" w:rsidR="001C7E6F" w:rsidRPr="00643B87" w:rsidRDefault="001C7E6F" w:rsidP="00BD3046">
                  <w:pPr>
                    <w:spacing w:after="0" w:line="240" w:lineRule="auto"/>
                    <w:jc w:val="right"/>
                    <w:rPr>
                      <w:rFonts w:ascii="Calibri" w:eastAsia="Times New Roman" w:hAnsi="Calibri" w:cs="Calibri"/>
                      <w:b/>
                      <w:bCs/>
                      <w:color w:val="000000"/>
                      <w:sz w:val="16"/>
                      <w:szCs w:val="16"/>
                      <w:lang w:eastAsia="pt-BR"/>
                    </w:rPr>
                  </w:pPr>
                  <w:r w:rsidRPr="00643B87">
                    <w:rPr>
                      <w:rFonts w:ascii="Calibri" w:eastAsia="Times New Roman" w:hAnsi="Calibri" w:cs="Calibri"/>
                      <w:b/>
                      <w:bCs/>
                      <w:color w:val="000000"/>
                      <w:sz w:val="16"/>
                      <w:szCs w:val="16"/>
                      <w:lang w:eastAsia="pt-BR"/>
                    </w:rPr>
                    <w:t xml:space="preserve">  9.621.696.728,20 </w:t>
                  </w:r>
                </w:p>
              </w:tc>
            </w:tr>
          </w:tbl>
          <w:p w14:paraId="2D550371" w14:textId="77777777" w:rsidR="001C7E6F" w:rsidRDefault="001C7E6F" w:rsidP="00BD3046">
            <w:pPr>
              <w:spacing w:after="0" w:line="240" w:lineRule="auto"/>
              <w:rPr>
                <w:rFonts w:ascii="Arial" w:eastAsia="Arial" w:hAnsi="Arial" w:cs="Arial"/>
                <w:color w:val="000000"/>
                <w:sz w:val="18"/>
                <w:szCs w:val="18"/>
              </w:rPr>
            </w:pPr>
          </w:p>
          <w:p w14:paraId="3171E117"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A esse respeito, a Controladoria-Geral do Estado apontou a seguinte curva de execução, destacando que, ao final de 2024, </w:t>
            </w:r>
            <w:r w:rsidRPr="005142FC">
              <w:rPr>
                <w:rFonts w:ascii="Arial" w:eastAsia="Arial" w:hAnsi="Arial" w:cs="Arial"/>
                <w:color w:val="000000"/>
                <w:sz w:val="18"/>
                <w:szCs w:val="18"/>
              </w:rPr>
              <w:t xml:space="preserve">a Disponibilidade de Caixa na Fonte 761 - Recursos Vinculados ao FECP - Adicional do ICMS </w:t>
            </w:r>
            <w:r>
              <w:rPr>
                <w:rFonts w:ascii="Arial" w:eastAsia="Arial" w:hAnsi="Arial" w:cs="Arial"/>
                <w:color w:val="000000"/>
                <w:sz w:val="18"/>
                <w:szCs w:val="18"/>
              </w:rPr>
              <w:t>era de</w:t>
            </w:r>
            <w:r w:rsidRPr="005142FC">
              <w:rPr>
                <w:rFonts w:ascii="Arial" w:eastAsia="Arial" w:hAnsi="Arial" w:cs="Arial"/>
                <w:color w:val="000000"/>
                <w:sz w:val="18"/>
                <w:szCs w:val="18"/>
              </w:rPr>
              <w:t xml:space="preserve"> R$ 1.806.788.305</w:t>
            </w:r>
            <w:r>
              <w:rPr>
                <w:rFonts w:ascii="Arial" w:eastAsia="Arial" w:hAnsi="Arial" w:cs="Arial"/>
                <w:color w:val="000000"/>
                <w:sz w:val="18"/>
                <w:szCs w:val="18"/>
              </w:rPr>
              <w:t>:</w:t>
            </w:r>
          </w:p>
          <w:p w14:paraId="78D4FD6D"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lastRenderedPageBreak/>
              <w:br/>
            </w:r>
            <w:r>
              <w:rPr>
                <w:noProof/>
                <w:lang w:eastAsia="pt-BR"/>
              </w:rPr>
              <w:drawing>
                <wp:inline distT="0" distB="0" distL="0" distR="0" wp14:anchorId="5CBC26A7" wp14:editId="3923BA0C">
                  <wp:extent cx="4550735" cy="655695"/>
                  <wp:effectExtent l="0" t="0" r="254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64818" cy="657724"/>
                          </a:xfrm>
                          <a:prstGeom prst="rect">
                            <a:avLst/>
                          </a:prstGeom>
                        </pic:spPr>
                      </pic:pic>
                    </a:graphicData>
                  </a:graphic>
                </wp:inline>
              </w:drawing>
            </w:r>
          </w:p>
          <w:p w14:paraId="1E0B4924" w14:textId="77777777" w:rsidR="001C7E6F" w:rsidRDefault="001C7E6F" w:rsidP="00BD3046">
            <w:pPr>
              <w:spacing w:after="0" w:line="240" w:lineRule="auto"/>
              <w:jc w:val="both"/>
              <w:rPr>
                <w:rFonts w:ascii="Arial" w:eastAsia="Arial" w:hAnsi="Arial" w:cs="Arial"/>
                <w:color w:val="000000"/>
                <w:sz w:val="18"/>
                <w:szCs w:val="18"/>
              </w:rPr>
            </w:pPr>
          </w:p>
          <w:p w14:paraId="3201BE60"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De outro modo, o</w:t>
            </w:r>
            <w:r w:rsidRPr="00707872">
              <w:rPr>
                <w:rFonts w:ascii="Arial" w:eastAsia="Arial" w:hAnsi="Arial" w:cs="Arial"/>
                <w:color w:val="000000"/>
                <w:sz w:val="18"/>
                <w:szCs w:val="18"/>
              </w:rPr>
              <w:t xml:space="preserve"> saldo in</w:t>
            </w:r>
            <w:r>
              <w:rPr>
                <w:rFonts w:ascii="Arial" w:eastAsia="Arial" w:hAnsi="Arial" w:cs="Arial"/>
                <w:color w:val="000000"/>
                <w:sz w:val="18"/>
                <w:szCs w:val="18"/>
              </w:rPr>
              <w:t>icial de Restos a P</w:t>
            </w:r>
            <w:r w:rsidRPr="00707872">
              <w:rPr>
                <w:rFonts w:ascii="Arial" w:eastAsia="Arial" w:hAnsi="Arial" w:cs="Arial"/>
                <w:color w:val="000000"/>
                <w:sz w:val="18"/>
                <w:szCs w:val="18"/>
              </w:rPr>
              <w:t>agar do FECP</w:t>
            </w:r>
            <w:r>
              <w:rPr>
                <w:rFonts w:ascii="Arial" w:eastAsia="Arial" w:hAnsi="Arial" w:cs="Arial"/>
                <w:color w:val="000000"/>
                <w:sz w:val="18"/>
                <w:szCs w:val="18"/>
              </w:rPr>
              <w:t xml:space="preserve">-RJ, para 2024, </w:t>
            </w:r>
            <w:r w:rsidRPr="00707872">
              <w:rPr>
                <w:rFonts w:ascii="Arial" w:eastAsia="Arial" w:hAnsi="Arial" w:cs="Arial"/>
                <w:color w:val="000000"/>
                <w:sz w:val="18"/>
                <w:szCs w:val="18"/>
              </w:rPr>
              <w:t>somou R$ 139</w:t>
            </w:r>
            <w:r>
              <w:rPr>
                <w:rFonts w:ascii="Arial" w:eastAsia="Arial" w:hAnsi="Arial" w:cs="Arial"/>
                <w:color w:val="000000"/>
                <w:sz w:val="18"/>
                <w:szCs w:val="18"/>
              </w:rPr>
              <w:t>,</w:t>
            </w:r>
            <w:r w:rsidRPr="00707872">
              <w:rPr>
                <w:rFonts w:ascii="Arial" w:eastAsia="Arial" w:hAnsi="Arial" w:cs="Arial"/>
                <w:color w:val="000000"/>
                <w:sz w:val="18"/>
                <w:szCs w:val="18"/>
              </w:rPr>
              <w:t xml:space="preserve">4 </w:t>
            </w:r>
            <w:r>
              <w:rPr>
                <w:rFonts w:ascii="Arial" w:eastAsia="Arial" w:hAnsi="Arial" w:cs="Arial"/>
                <w:color w:val="000000"/>
                <w:sz w:val="18"/>
                <w:szCs w:val="18"/>
              </w:rPr>
              <w:t>milhões</w:t>
            </w:r>
            <w:r w:rsidRPr="00707872">
              <w:rPr>
                <w:rFonts w:ascii="Arial" w:eastAsia="Arial" w:hAnsi="Arial" w:cs="Arial"/>
                <w:color w:val="000000"/>
                <w:sz w:val="18"/>
                <w:szCs w:val="18"/>
              </w:rPr>
              <w:t>, composto por RP Processados no valor de R$ 83</w:t>
            </w:r>
            <w:r>
              <w:rPr>
                <w:rFonts w:ascii="Arial" w:eastAsia="Arial" w:hAnsi="Arial" w:cs="Arial"/>
                <w:color w:val="000000"/>
                <w:sz w:val="18"/>
                <w:szCs w:val="18"/>
              </w:rPr>
              <w:t>,</w:t>
            </w:r>
            <w:r w:rsidRPr="00707872">
              <w:rPr>
                <w:rFonts w:ascii="Arial" w:eastAsia="Arial" w:hAnsi="Arial" w:cs="Arial"/>
                <w:color w:val="000000"/>
                <w:sz w:val="18"/>
                <w:szCs w:val="18"/>
              </w:rPr>
              <w:t>9</w:t>
            </w:r>
            <w:r>
              <w:rPr>
                <w:rFonts w:ascii="Arial" w:eastAsia="Arial" w:hAnsi="Arial" w:cs="Arial"/>
                <w:color w:val="000000"/>
                <w:sz w:val="18"/>
                <w:szCs w:val="18"/>
              </w:rPr>
              <w:t xml:space="preserve"> milhões</w:t>
            </w:r>
            <w:r w:rsidRPr="00707872">
              <w:rPr>
                <w:rFonts w:ascii="Arial" w:eastAsia="Arial" w:hAnsi="Arial" w:cs="Arial"/>
                <w:color w:val="000000"/>
                <w:sz w:val="18"/>
                <w:szCs w:val="18"/>
              </w:rPr>
              <w:t>, sendo R$ 39</w:t>
            </w:r>
            <w:r>
              <w:rPr>
                <w:rFonts w:ascii="Arial" w:eastAsia="Arial" w:hAnsi="Arial" w:cs="Arial"/>
                <w:color w:val="000000"/>
                <w:sz w:val="18"/>
                <w:szCs w:val="18"/>
              </w:rPr>
              <w:t xml:space="preserve"> milhões</w:t>
            </w:r>
            <w:r w:rsidRPr="00707872">
              <w:rPr>
                <w:rFonts w:ascii="Arial" w:eastAsia="Arial" w:hAnsi="Arial" w:cs="Arial"/>
                <w:color w:val="000000"/>
                <w:sz w:val="18"/>
                <w:szCs w:val="18"/>
              </w:rPr>
              <w:t xml:space="preserve"> inscritos em 31/12/2023 e R$ 44</w:t>
            </w:r>
            <w:r>
              <w:rPr>
                <w:rFonts w:ascii="Arial" w:eastAsia="Arial" w:hAnsi="Arial" w:cs="Arial"/>
                <w:color w:val="000000"/>
                <w:sz w:val="18"/>
                <w:szCs w:val="18"/>
              </w:rPr>
              <w:t xml:space="preserve"> milhões</w:t>
            </w:r>
            <w:r w:rsidRPr="00707872">
              <w:rPr>
                <w:rFonts w:ascii="Arial" w:eastAsia="Arial" w:hAnsi="Arial" w:cs="Arial"/>
                <w:color w:val="000000"/>
                <w:sz w:val="18"/>
                <w:szCs w:val="18"/>
              </w:rPr>
              <w:t xml:space="preserve"> </w:t>
            </w:r>
            <w:r>
              <w:rPr>
                <w:rFonts w:ascii="Arial" w:eastAsia="Arial" w:hAnsi="Arial" w:cs="Arial"/>
                <w:color w:val="000000"/>
                <w:sz w:val="18"/>
                <w:szCs w:val="18"/>
              </w:rPr>
              <w:t>em</w:t>
            </w:r>
            <w:r w:rsidRPr="00707872">
              <w:rPr>
                <w:rFonts w:ascii="Arial" w:eastAsia="Arial" w:hAnsi="Arial" w:cs="Arial"/>
                <w:color w:val="000000"/>
                <w:sz w:val="18"/>
                <w:szCs w:val="18"/>
              </w:rPr>
              <w:t xml:space="preserve"> exercícios anteriores</w:t>
            </w:r>
            <w:r>
              <w:rPr>
                <w:rFonts w:ascii="Arial" w:eastAsia="Arial" w:hAnsi="Arial" w:cs="Arial"/>
                <w:color w:val="000000"/>
                <w:sz w:val="18"/>
                <w:szCs w:val="18"/>
              </w:rPr>
              <w:t>, além de R$ 55,4 milhões inscritos em RP Não Processados.</w:t>
            </w:r>
          </w:p>
          <w:p w14:paraId="07F1299E" w14:textId="77777777" w:rsidR="001C7E6F" w:rsidRDefault="001C7E6F" w:rsidP="00BD3046">
            <w:pPr>
              <w:spacing w:after="0" w:line="240" w:lineRule="auto"/>
              <w:jc w:val="both"/>
              <w:rPr>
                <w:rFonts w:ascii="Arial" w:eastAsia="Arial" w:hAnsi="Arial" w:cs="Arial"/>
                <w:color w:val="000000"/>
                <w:sz w:val="18"/>
                <w:szCs w:val="18"/>
              </w:rPr>
            </w:pPr>
          </w:p>
          <w:p w14:paraId="49D6437A"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Dessa forma, a partir dos dados de execução orçamentária do FECP-RJ, conclui-se que:</w:t>
            </w:r>
          </w:p>
          <w:p w14:paraId="3BE77830" w14:textId="77777777" w:rsidR="001C7E6F" w:rsidRDefault="001C7E6F" w:rsidP="00BD3046">
            <w:pPr>
              <w:spacing w:after="0" w:line="240" w:lineRule="auto"/>
              <w:jc w:val="both"/>
              <w:rPr>
                <w:rFonts w:ascii="Arial" w:eastAsia="Arial" w:hAnsi="Arial" w:cs="Arial"/>
                <w:color w:val="000000"/>
                <w:sz w:val="18"/>
                <w:szCs w:val="18"/>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313"/>
              <w:gridCol w:w="2325"/>
              <w:gridCol w:w="1154"/>
              <w:gridCol w:w="1080"/>
              <w:gridCol w:w="1080"/>
              <w:gridCol w:w="1080"/>
            </w:tblGrid>
            <w:tr w:rsidR="001C7E6F" w:rsidRPr="00681D7C" w14:paraId="76242AFB" w14:textId="77777777" w:rsidTr="00BD3046">
              <w:trPr>
                <w:trHeight w:val="240"/>
              </w:trPr>
              <w:tc>
                <w:tcPr>
                  <w:tcW w:w="0" w:type="auto"/>
                  <w:gridSpan w:val="2"/>
                  <w:shd w:val="clear" w:color="auto" w:fill="auto"/>
                  <w:vAlign w:val="center"/>
                  <w:hideMark/>
                </w:tcPr>
                <w:p w14:paraId="39FA8D40" w14:textId="77777777" w:rsidR="001C7E6F" w:rsidRPr="00681D7C" w:rsidRDefault="001C7E6F" w:rsidP="00BD3046">
                  <w:pPr>
                    <w:spacing w:after="0" w:line="240" w:lineRule="auto"/>
                    <w:jc w:val="center"/>
                    <w:rPr>
                      <w:rFonts w:asciiTheme="minorHAnsi" w:eastAsia="Times New Roman" w:hAnsiTheme="minorHAnsi" w:cstheme="minorHAnsi"/>
                      <w:b/>
                      <w:bCs/>
                      <w:color w:val="000000"/>
                      <w:sz w:val="16"/>
                      <w:szCs w:val="16"/>
                      <w:lang w:eastAsia="pt-BR"/>
                    </w:rPr>
                  </w:pPr>
                  <w:r>
                    <w:rPr>
                      <w:rFonts w:asciiTheme="minorHAnsi" w:eastAsia="Times New Roman" w:hAnsiTheme="minorHAnsi" w:cstheme="minorHAnsi"/>
                      <w:b/>
                      <w:bCs/>
                      <w:color w:val="000000"/>
                      <w:sz w:val="16"/>
                      <w:szCs w:val="16"/>
                      <w:lang w:eastAsia="pt-BR"/>
                    </w:rPr>
                    <w:t>Gestão Orçamentária e Financeira</w:t>
                  </w:r>
                </w:p>
              </w:tc>
              <w:tc>
                <w:tcPr>
                  <w:tcW w:w="0" w:type="auto"/>
                  <w:shd w:val="clear" w:color="auto" w:fill="auto"/>
                  <w:vAlign w:val="center"/>
                  <w:hideMark/>
                </w:tcPr>
                <w:p w14:paraId="5C09927C" w14:textId="77777777" w:rsidR="001C7E6F" w:rsidRPr="00681D7C" w:rsidRDefault="001C7E6F" w:rsidP="00BD3046">
                  <w:pPr>
                    <w:spacing w:after="0" w:line="240" w:lineRule="auto"/>
                    <w:jc w:val="center"/>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Acumulado</w:t>
                  </w:r>
                </w:p>
              </w:tc>
              <w:tc>
                <w:tcPr>
                  <w:tcW w:w="0" w:type="auto"/>
                  <w:shd w:val="clear" w:color="auto" w:fill="auto"/>
                  <w:vAlign w:val="center"/>
                  <w:hideMark/>
                </w:tcPr>
                <w:p w14:paraId="76458EC3" w14:textId="77777777" w:rsidR="001C7E6F" w:rsidRPr="00681D7C" w:rsidRDefault="001C7E6F" w:rsidP="00BD3046">
                  <w:pPr>
                    <w:spacing w:after="0" w:line="240" w:lineRule="auto"/>
                    <w:jc w:val="center"/>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2023</w:t>
                  </w:r>
                </w:p>
              </w:tc>
              <w:tc>
                <w:tcPr>
                  <w:tcW w:w="0" w:type="auto"/>
                  <w:shd w:val="clear" w:color="auto" w:fill="auto"/>
                  <w:vAlign w:val="center"/>
                  <w:hideMark/>
                </w:tcPr>
                <w:p w14:paraId="6582C85F" w14:textId="77777777" w:rsidR="001C7E6F" w:rsidRPr="00681D7C" w:rsidRDefault="001C7E6F" w:rsidP="00BD3046">
                  <w:pPr>
                    <w:spacing w:after="0" w:line="240" w:lineRule="auto"/>
                    <w:jc w:val="center"/>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2024</w:t>
                  </w:r>
                </w:p>
              </w:tc>
              <w:tc>
                <w:tcPr>
                  <w:tcW w:w="0" w:type="auto"/>
                  <w:shd w:val="clear" w:color="auto" w:fill="auto"/>
                  <w:vAlign w:val="center"/>
                  <w:hideMark/>
                </w:tcPr>
                <w:p w14:paraId="654DD653" w14:textId="77777777" w:rsidR="001C7E6F" w:rsidRPr="00681D7C" w:rsidRDefault="001C7E6F" w:rsidP="00BD3046">
                  <w:pPr>
                    <w:spacing w:after="0" w:line="240" w:lineRule="auto"/>
                    <w:jc w:val="center"/>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2025</w:t>
                  </w:r>
                </w:p>
              </w:tc>
            </w:tr>
            <w:tr w:rsidR="001C7E6F" w:rsidRPr="00681D7C" w14:paraId="0C5AED3E" w14:textId="77777777" w:rsidTr="00BD3046">
              <w:trPr>
                <w:trHeight w:val="240"/>
              </w:trPr>
              <w:tc>
                <w:tcPr>
                  <w:tcW w:w="0" w:type="auto"/>
                  <w:shd w:val="clear" w:color="auto" w:fill="auto"/>
                  <w:noWrap/>
                  <w:vAlign w:val="center"/>
                  <w:hideMark/>
                </w:tcPr>
                <w:p w14:paraId="6491D08C"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a.</w:t>
                  </w:r>
                </w:p>
              </w:tc>
              <w:tc>
                <w:tcPr>
                  <w:tcW w:w="0" w:type="auto"/>
                  <w:shd w:val="clear" w:color="auto" w:fill="auto"/>
                  <w:vAlign w:val="center"/>
                  <w:hideMark/>
                </w:tcPr>
                <w:p w14:paraId="48FA8451"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Receita Prevista</w:t>
                  </w:r>
                </w:p>
              </w:tc>
              <w:tc>
                <w:tcPr>
                  <w:tcW w:w="0" w:type="auto"/>
                  <w:shd w:val="clear" w:color="auto" w:fill="auto"/>
                  <w:vAlign w:val="center"/>
                  <w:hideMark/>
                </w:tcPr>
                <w:p w14:paraId="4DB30220"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15.645.514.398</w:t>
                  </w:r>
                </w:p>
              </w:tc>
              <w:tc>
                <w:tcPr>
                  <w:tcW w:w="0" w:type="auto"/>
                  <w:shd w:val="clear" w:color="auto" w:fill="auto"/>
                  <w:vAlign w:val="center"/>
                  <w:hideMark/>
                </w:tcPr>
                <w:p w14:paraId="67655246"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4.739.689.853</w:t>
                  </w:r>
                </w:p>
              </w:tc>
              <w:tc>
                <w:tcPr>
                  <w:tcW w:w="0" w:type="auto"/>
                  <w:shd w:val="clear" w:color="auto" w:fill="auto"/>
                  <w:vAlign w:val="center"/>
                  <w:hideMark/>
                </w:tcPr>
                <w:p w14:paraId="351240AA"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5.340.072.249</w:t>
                  </w:r>
                </w:p>
              </w:tc>
              <w:tc>
                <w:tcPr>
                  <w:tcW w:w="0" w:type="auto"/>
                  <w:shd w:val="clear" w:color="auto" w:fill="auto"/>
                  <w:vAlign w:val="center"/>
                  <w:hideMark/>
                </w:tcPr>
                <w:p w14:paraId="18478F8E"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5.565.752.296</w:t>
                  </w:r>
                </w:p>
              </w:tc>
            </w:tr>
            <w:tr w:rsidR="001C7E6F" w:rsidRPr="00681D7C" w14:paraId="4B303690" w14:textId="77777777" w:rsidTr="00BD3046">
              <w:trPr>
                <w:trHeight w:val="240"/>
              </w:trPr>
              <w:tc>
                <w:tcPr>
                  <w:tcW w:w="0" w:type="auto"/>
                  <w:shd w:val="clear" w:color="auto" w:fill="auto"/>
                  <w:noWrap/>
                  <w:vAlign w:val="center"/>
                  <w:hideMark/>
                </w:tcPr>
                <w:p w14:paraId="174C0EE9"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b.</w:t>
                  </w:r>
                </w:p>
              </w:tc>
              <w:tc>
                <w:tcPr>
                  <w:tcW w:w="0" w:type="auto"/>
                  <w:shd w:val="clear" w:color="auto" w:fill="auto"/>
                  <w:vAlign w:val="center"/>
                  <w:hideMark/>
                </w:tcPr>
                <w:p w14:paraId="5BE4BAA3"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Receita Arrecadada (Arrecadação Bruta)</w:t>
                  </w:r>
                </w:p>
              </w:tc>
              <w:tc>
                <w:tcPr>
                  <w:tcW w:w="0" w:type="auto"/>
                  <w:shd w:val="clear" w:color="auto" w:fill="auto"/>
                  <w:vAlign w:val="center"/>
                  <w:hideMark/>
                </w:tcPr>
                <w:p w14:paraId="70D8EFAE"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13.745.281.038</w:t>
                  </w:r>
                </w:p>
              </w:tc>
              <w:tc>
                <w:tcPr>
                  <w:tcW w:w="0" w:type="auto"/>
                  <w:shd w:val="clear" w:color="auto" w:fill="auto"/>
                  <w:vAlign w:val="center"/>
                  <w:hideMark/>
                </w:tcPr>
                <w:p w14:paraId="4D6FD8B3"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4.736.839.684</w:t>
                  </w:r>
                </w:p>
              </w:tc>
              <w:tc>
                <w:tcPr>
                  <w:tcW w:w="0" w:type="auto"/>
                  <w:shd w:val="clear" w:color="auto" w:fill="auto"/>
                  <w:vAlign w:val="center"/>
                  <w:hideMark/>
                </w:tcPr>
                <w:p w14:paraId="56D939D8"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5.345.881.778</w:t>
                  </w:r>
                </w:p>
              </w:tc>
              <w:tc>
                <w:tcPr>
                  <w:tcW w:w="0" w:type="auto"/>
                  <w:shd w:val="clear" w:color="auto" w:fill="auto"/>
                  <w:vAlign w:val="center"/>
                  <w:hideMark/>
                </w:tcPr>
                <w:p w14:paraId="668D061B"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3.662.559.576</w:t>
                  </w:r>
                </w:p>
              </w:tc>
            </w:tr>
            <w:tr w:rsidR="001C7E6F" w:rsidRPr="00681D7C" w14:paraId="1B4A3533" w14:textId="77777777" w:rsidTr="00BD3046">
              <w:trPr>
                <w:trHeight w:val="240"/>
              </w:trPr>
              <w:tc>
                <w:tcPr>
                  <w:tcW w:w="0" w:type="auto"/>
                  <w:shd w:val="clear" w:color="auto" w:fill="auto"/>
                  <w:noWrap/>
                  <w:vAlign w:val="center"/>
                  <w:hideMark/>
                </w:tcPr>
                <w:p w14:paraId="13AA1CB7"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c.</w:t>
                  </w:r>
                </w:p>
              </w:tc>
              <w:tc>
                <w:tcPr>
                  <w:tcW w:w="0" w:type="auto"/>
                  <w:shd w:val="clear" w:color="auto" w:fill="auto"/>
                  <w:vAlign w:val="center"/>
                  <w:hideMark/>
                </w:tcPr>
                <w:p w14:paraId="001C4943"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Desvinculação (30%)</w:t>
                  </w:r>
                </w:p>
              </w:tc>
              <w:tc>
                <w:tcPr>
                  <w:tcW w:w="0" w:type="auto"/>
                  <w:shd w:val="clear" w:color="auto" w:fill="auto"/>
                  <w:vAlign w:val="center"/>
                  <w:hideMark/>
                </w:tcPr>
                <w:p w14:paraId="58334C55"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4.123.584.310</w:t>
                  </w:r>
                </w:p>
              </w:tc>
              <w:tc>
                <w:tcPr>
                  <w:tcW w:w="0" w:type="auto"/>
                  <w:shd w:val="clear" w:color="auto" w:fill="auto"/>
                  <w:vAlign w:val="center"/>
                  <w:hideMark/>
                </w:tcPr>
                <w:p w14:paraId="43042D2D"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1.421.051.913</w:t>
                  </w:r>
                </w:p>
              </w:tc>
              <w:tc>
                <w:tcPr>
                  <w:tcW w:w="0" w:type="auto"/>
                  <w:shd w:val="clear" w:color="auto" w:fill="auto"/>
                  <w:vAlign w:val="center"/>
                  <w:hideMark/>
                </w:tcPr>
                <w:p w14:paraId="1245E67A"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1.603.764.524</w:t>
                  </w:r>
                </w:p>
              </w:tc>
              <w:tc>
                <w:tcPr>
                  <w:tcW w:w="0" w:type="auto"/>
                  <w:shd w:val="clear" w:color="auto" w:fill="auto"/>
                  <w:vAlign w:val="center"/>
                  <w:hideMark/>
                </w:tcPr>
                <w:p w14:paraId="1EA7829B"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1.098.767.873</w:t>
                  </w:r>
                </w:p>
              </w:tc>
            </w:tr>
            <w:tr w:rsidR="001C7E6F" w:rsidRPr="00681D7C" w14:paraId="0AC26122" w14:textId="77777777" w:rsidTr="00BD3046">
              <w:trPr>
                <w:trHeight w:val="240"/>
              </w:trPr>
              <w:tc>
                <w:tcPr>
                  <w:tcW w:w="0" w:type="auto"/>
                  <w:shd w:val="clear" w:color="auto" w:fill="BFBFBF" w:themeFill="background1" w:themeFillShade="BF"/>
                  <w:noWrap/>
                  <w:vAlign w:val="center"/>
                  <w:hideMark/>
                </w:tcPr>
                <w:p w14:paraId="08E7A48C"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d.</w:t>
                  </w:r>
                </w:p>
              </w:tc>
              <w:tc>
                <w:tcPr>
                  <w:tcW w:w="0" w:type="auto"/>
                  <w:shd w:val="clear" w:color="auto" w:fill="BFBFBF" w:themeFill="background1" w:themeFillShade="BF"/>
                  <w:vAlign w:val="center"/>
                  <w:hideMark/>
                </w:tcPr>
                <w:p w14:paraId="39A0391F"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Base de Cálculo Real (Arrecadação Líquida)</w:t>
                  </w:r>
                </w:p>
              </w:tc>
              <w:tc>
                <w:tcPr>
                  <w:tcW w:w="0" w:type="auto"/>
                  <w:shd w:val="clear" w:color="auto" w:fill="BFBFBF" w:themeFill="background1" w:themeFillShade="BF"/>
                  <w:vAlign w:val="center"/>
                  <w:hideMark/>
                </w:tcPr>
                <w:p w14:paraId="52BC1ED2"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9.621.696.728</w:t>
                  </w:r>
                </w:p>
              </w:tc>
              <w:tc>
                <w:tcPr>
                  <w:tcW w:w="0" w:type="auto"/>
                  <w:shd w:val="clear" w:color="auto" w:fill="BFBFBF" w:themeFill="background1" w:themeFillShade="BF"/>
                  <w:vAlign w:val="center"/>
                  <w:hideMark/>
                </w:tcPr>
                <w:p w14:paraId="15F73FD9"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3.315.787.771</w:t>
                  </w:r>
                </w:p>
              </w:tc>
              <w:tc>
                <w:tcPr>
                  <w:tcW w:w="0" w:type="auto"/>
                  <w:shd w:val="clear" w:color="auto" w:fill="BFBFBF" w:themeFill="background1" w:themeFillShade="BF"/>
                  <w:vAlign w:val="center"/>
                  <w:hideMark/>
                </w:tcPr>
                <w:p w14:paraId="49592E57"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3.742.117.254</w:t>
                  </w:r>
                </w:p>
              </w:tc>
              <w:tc>
                <w:tcPr>
                  <w:tcW w:w="0" w:type="auto"/>
                  <w:shd w:val="clear" w:color="auto" w:fill="BFBFBF" w:themeFill="background1" w:themeFillShade="BF"/>
                  <w:vAlign w:val="center"/>
                  <w:hideMark/>
                </w:tcPr>
                <w:p w14:paraId="7D539685"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2.563.791.703</w:t>
                  </w:r>
                </w:p>
              </w:tc>
            </w:tr>
            <w:tr w:rsidR="001C7E6F" w:rsidRPr="00681D7C" w14:paraId="34A63EA9" w14:textId="77777777" w:rsidTr="00BD3046">
              <w:trPr>
                <w:trHeight w:val="240"/>
              </w:trPr>
              <w:tc>
                <w:tcPr>
                  <w:tcW w:w="0" w:type="auto"/>
                  <w:shd w:val="clear" w:color="auto" w:fill="auto"/>
                  <w:noWrap/>
                  <w:vAlign w:val="center"/>
                  <w:hideMark/>
                </w:tcPr>
                <w:p w14:paraId="5E150FB8"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e.</w:t>
                  </w:r>
                </w:p>
              </w:tc>
              <w:tc>
                <w:tcPr>
                  <w:tcW w:w="0" w:type="auto"/>
                  <w:shd w:val="clear" w:color="auto" w:fill="auto"/>
                  <w:vAlign w:val="center"/>
                  <w:hideMark/>
                </w:tcPr>
                <w:p w14:paraId="6908F2CA"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Despesa Fixada</w:t>
                  </w:r>
                </w:p>
              </w:tc>
              <w:tc>
                <w:tcPr>
                  <w:tcW w:w="0" w:type="auto"/>
                  <w:shd w:val="clear" w:color="auto" w:fill="auto"/>
                  <w:vAlign w:val="center"/>
                  <w:hideMark/>
                </w:tcPr>
                <w:p w14:paraId="17570D45"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9.428.034.005</w:t>
                  </w:r>
                </w:p>
              </w:tc>
              <w:tc>
                <w:tcPr>
                  <w:tcW w:w="0" w:type="auto"/>
                  <w:shd w:val="clear" w:color="auto" w:fill="auto"/>
                  <w:vAlign w:val="center"/>
                  <w:hideMark/>
                </w:tcPr>
                <w:p w14:paraId="01A4DA66"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2.975.922.682</w:t>
                  </w:r>
                </w:p>
              </w:tc>
              <w:tc>
                <w:tcPr>
                  <w:tcW w:w="0" w:type="auto"/>
                  <w:shd w:val="clear" w:color="auto" w:fill="auto"/>
                  <w:vAlign w:val="center"/>
                  <w:hideMark/>
                </w:tcPr>
                <w:p w14:paraId="2C5B35BA"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3.219.964.632</w:t>
                  </w:r>
                </w:p>
              </w:tc>
              <w:tc>
                <w:tcPr>
                  <w:tcW w:w="0" w:type="auto"/>
                  <w:shd w:val="clear" w:color="auto" w:fill="auto"/>
                  <w:vAlign w:val="center"/>
                  <w:hideMark/>
                </w:tcPr>
                <w:p w14:paraId="4228DCAA"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3.232.146.691</w:t>
                  </w:r>
                </w:p>
              </w:tc>
            </w:tr>
            <w:tr w:rsidR="001C7E6F" w:rsidRPr="00681D7C" w14:paraId="2092AAE7" w14:textId="77777777" w:rsidTr="00BD3046">
              <w:trPr>
                <w:trHeight w:val="240"/>
              </w:trPr>
              <w:tc>
                <w:tcPr>
                  <w:tcW w:w="0" w:type="auto"/>
                  <w:shd w:val="clear" w:color="auto" w:fill="auto"/>
                  <w:noWrap/>
                  <w:vAlign w:val="center"/>
                  <w:hideMark/>
                </w:tcPr>
                <w:p w14:paraId="68BEB3E8"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f.</w:t>
                  </w:r>
                </w:p>
              </w:tc>
              <w:tc>
                <w:tcPr>
                  <w:tcW w:w="0" w:type="auto"/>
                  <w:shd w:val="clear" w:color="auto" w:fill="auto"/>
                  <w:vAlign w:val="center"/>
                  <w:hideMark/>
                </w:tcPr>
                <w:p w14:paraId="7708B54D"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Despesa Atualizada</w:t>
                  </w:r>
                </w:p>
              </w:tc>
              <w:tc>
                <w:tcPr>
                  <w:tcW w:w="0" w:type="auto"/>
                  <w:shd w:val="clear" w:color="auto" w:fill="auto"/>
                  <w:vAlign w:val="center"/>
                  <w:hideMark/>
                </w:tcPr>
                <w:p w14:paraId="24204C00"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9.600.163.469</w:t>
                  </w:r>
                </w:p>
              </w:tc>
              <w:tc>
                <w:tcPr>
                  <w:tcW w:w="0" w:type="auto"/>
                  <w:shd w:val="clear" w:color="auto" w:fill="auto"/>
                  <w:vAlign w:val="center"/>
                  <w:hideMark/>
                </w:tcPr>
                <w:p w14:paraId="06106DC0"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3.058.727.530</w:t>
                  </w:r>
                </w:p>
              </w:tc>
              <w:tc>
                <w:tcPr>
                  <w:tcW w:w="0" w:type="auto"/>
                  <w:shd w:val="clear" w:color="auto" w:fill="auto"/>
                  <w:vAlign w:val="center"/>
                  <w:hideMark/>
                </w:tcPr>
                <w:p w14:paraId="3F4F18BF"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3.304.896.073</w:t>
                  </w:r>
                </w:p>
              </w:tc>
              <w:tc>
                <w:tcPr>
                  <w:tcW w:w="0" w:type="auto"/>
                  <w:shd w:val="clear" w:color="auto" w:fill="auto"/>
                  <w:vAlign w:val="center"/>
                  <w:hideMark/>
                </w:tcPr>
                <w:p w14:paraId="5875217D"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3.236.539.866</w:t>
                  </w:r>
                </w:p>
              </w:tc>
            </w:tr>
            <w:tr w:rsidR="001C7E6F" w:rsidRPr="00681D7C" w14:paraId="183D285C" w14:textId="77777777" w:rsidTr="00BD3046">
              <w:trPr>
                <w:trHeight w:val="240"/>
              </w:trPr>
              <w:tc>
                <w:tcPr>
                  <w:tcW w:w="0" w:type="auto"/>
                  <w:shd w:val="clear" w:color="auto" w:fill="auto"/>
                  <w:noWrap/>
                  <w:vAlign w:val="center"/>
                  <w:hideMark/>
                </w:tcPr>
                <w:p w14:paraId="35B32860"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g.</w:t>
                  </w:r>
                </w:p>
              </w:tc>
              <w:tc>
                <w:tcPr>
                  <w:tcW w:w="0" w:type="auto"/>
                  <w:shd w:val="clear" w:color="auto" w:fill="auto"/>
                  <w:vAlign w:val="center"/>
                  <w:hideMark/>
                </w:tcPr>
                <w:p w14:paraId="3520B727"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Alteração</w:t>
                  </w:r>
                </w:p>
              </w:tc>
              <w:tc>
                <w:tcPr>
                  <w:tcW w:w="0" w:type="auto"/>
                  <w:shd w:val="clear" w:color="auto" w:fill="auto"/>
                  <w:vAlign w:val="center"/>
                  <w:hideMark/>
                </w:tcPr>
                <w:p w14:paraId="431F298F"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172.129.464</w:t>
                  </w:r>
                </w:p>
              </w:tc>
              <w:tc>
                <w:tcPr>
                  <w:tcW w:w="0" w:type="auto"/>
                  <w:shd w:val="clear" w:color="auto" w:fill="auto"/>
                  <w:vAlign w:val="center"/>
                  <w:hideMark/>
                </w:tcPr>
                <w:p w14:paraId="1D8A3D5A"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82.804.848</w:t>
                  </w:r>
                </w:p>
              </w:tc>
              <w:tc>
                <w:tcPr>
                  <w:tcW w:w="0" w:type="auto"/>
                  <w:shd w:val="clear" w:color="auto" w:fill="auto"/>
                  <w:vAlign w:val="center"/>
                  <w:hideMark/>
                </w:tcPr>
                <w:p w14:paraId="5B605679"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84.931.441</w:t>
                  </w:r>
                </w:p>
              </w:tc>
              <w:tc>
                <w:tcPr>
                  <w:tcW w:w="0" w:type="auto"/>
                  <w:shd w:val="clear" w:color="auto" w:fill="auto"/>
                  <w:vAlign w:val="center"/>
                  <w:hideMark/>
                </w:tcPr>
                <w:p w14:paraId="19E24351"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4.393.175</w:t>
                  </w:r>
                </w:p>
              </w:tc>
            </w:tr>
            <w:tr w:rsidR="001C7E6F" w:rsidRPr="00681D7C" w14:paraId="7EBAF548" w14:textId="77777777" w:rsidTr="00BD3046">
              <w:trPr>
                <w:trHeight w:val="240"/>
              </w:trPr>
              <w:tc>
                <w:tcPr>
                  <w:tcW w:w="0" w:type="auto"/>
                  <w:shd w:val="clear" w:color="auto" w:fill="auto"/>
                  <w:noWrap/>
                  <w:vAlign w:val="center"/>
                  <w:hideMark/>
                </w:tcPr>
                <w:p w14:paraId="7D421228"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h.</w:t>
                  </w:r>
                </w:p>
              </w:tc>
              <w:tc>
                <w:tcPr>
                  <w:tcW w:w="0" w:type="auto"/>
                  <w:shd w:val="clear" w:color="auto" w:fill="auto"/>
                  <w:vAlign w:val="center"/>
                  <w:hideMark/>
                </w:tcPr>
                <w:p w14:paraId="6ABF8655"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Contingenciamento</w:t>
                  </w:r>
                </w:p>
              </w:tc>
              <w:tc>
                <w:tcPr>
                  <w:tcW w:w="0" w:type="auto"/>
                  <w:shd w:val="clear" w:color="auto" w:fill="auto"/>
                  <w:vAlign w:val="center"/>
                  <w:hideMark/>
                </w:tcPr>
                <w:p w14:paraId="50916A2E"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490.093.351</w:t>
                  </w:r>
                </w:p>
              </w:tc>
              <w:tc>
                <w:tcPr>
                  <w:tcW w:w="0" w:type="auto"/>
                  <w:shd w:val="clear" w:color="auto" w:fill="auto"/>
                  <w:vAlign w:val="center"/>
                  <w:hideMark/>
                </w:tcPr>
                <w:p w14:paraId="75A357DA"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160.910.413</w:t>
                  </w:r>
                </w:p>
              </w:tc>
              <w:tc>
                <w:tcPr>
                  <w:tcW w:w="0" w:type="auto"/>
                  <w:shd w:val="clear" w:color="auto" w:fill="auto"/>
                  <w:vAlign w:val="center"/>
                  <w:hideMark/>
                </w:tcPr>
                <w:p w14:paraId="166E2AAD"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42.152.147</w:t>
                  </w:r>
                </w:p>
              </w:tc>
              <w:tc>
                <w:tcPr>
                  <w:tcW w:w="0" w:type="auto"/>
                  <w:shd w:val="clear" w:color="auto" w:fill="auto"/>
                  <w:vAlign w:val="center"/>
                  <w:hideMark/>
                </w:tcPr>
                <w:p w14:paraId="1B67F8A8"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287.030.791</w:t>
                  </w:r>
                </w:p>
              </w:tc>
            </w:tr>
            <w:tr w:rsidR="001C7E6F" w:rsidRPr="00681D7C" w14:paraId="31BAE549" w14:textId="77777777" w:rsidTr="00BD3046">
              <w:trPr>
                <w:trHeight w:val="240"/>
              </w:trPr>
              <w:tc>
                <w:tcPr>
                  <w:tcW w:w="0" w:type="auto"/>
                  <w:shd w:val="clear" w:color="auto" w:fill="BFBFBF" w:themeFill="background1" w:themeFillShade="BF"/>
                  <w:noWrap/>
                  <w:vAlign w:val="center"/>
                  <w:hideMark/>
                </w:tcPr>
                <w:p w14:paraId="6560CA75"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i.</w:t>
                  </w:r>
                </w:p>
              </w:tc>
              <w:tc>
                <w:tcPr>
                  <w:tcW w:w="0" w:type="auto"/>
                  <w:shd w:val="clear" w:color="auto" w:fill="BFBFBF" w:themeFill="background1" w:themeFillShade="BF"/>
                  <w:vAlign w:val="center"/>
                  <w:hideMark/>
                </w:tcPr>
                <w:p w14:paraId="4D43DBB8"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Despesa Liquidada</w:t>
                  </w:r>
                </w:p>
              </w:tc>
              <w:tc>
                <w:tcPr>
                  <w:tcW w:w="0" w:type="auto"/>
                  <w:shd w:val="clear" w:color="auto" w:fill="BFBFBF" w:themeFill="background1" w:themeFillShade="BF"/>
                  <w:vAlign w:val="center"/>
                  <w:hideMark/>
                </w:tcPr>
                <w:p w14:paraId="3F510D4B"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8.121.138.602</w:t>
                  </w:r>
                </w:p>
              </w:tc>
              <w:tc>
                <w:tcPr>
                  <w:tcW w:w="0" w:type="auto"/>
                  <w:shd w:val="clear" w:color="auto" w:fill="BFBFBF" w:themeFill="background1" w:themeFillShade="BF"/>
                  <w:vAlign w:val="center"/>
                  <w:hideMark/>
                </w:tcPr>
                <w:p w14:paraId="2377BBDB"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2.681.590.029</w:t>
                  </w:r>
                </w:p>
              </w:tc>
              <w:tc>
                <w:tcPr>
                  <w:tcW w:w="0" w:type="auto"/>
                  <w:shd w:val="clear" w:color="auto" w:fill="BFBFBF" w:themeFill="background1" w:themeFillShade="BF"/>
                  <w:vAlign w:val="center"/>
                  <w:hideMark/>
                </w:tcPr>
                <w:p w14:paraId="436E9095"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3.200.814.969</w:t>
                  </w:r>
                </w:p>
              </w:tc>
              <w:tc>
                <w:tcPr>
                  <w:tcW w:w="0" w:type="auto"/>
                  <w:shd w:val="clear" w:color="auto" w:fill="BFBFBF" w:themeFill="background1" w:themeFillShade="BF"/>
                  <w:vAlign w:val="center"/>
                  <w:hideMark/>
                </w:tcPr>
                <w:p w14:paraId="03AD7DAC"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2.238.733.604</w:t>
                  </w:r>
                </w:p>
              </w:tc>
            </w:tr>
            <w:tr w:rsidR="001C7E6F" w:rsidRPr="00681D7C" w14:paraId="1234A634" w14:textId="77777777" w:rsidTr="00BD3046">
              <w:trPr>
                <w:trHeight w:val="240"/>
              </w:trPr>
              <w:tc>
                <w:tcPr>
                  <w:tcW w:w="0" w:type="auto"/>
                  <w:shd w:val="clear" w:color="auto" w:fill="auto"/>
                  <w:noWrap/>
                  <w:vAlign w:val="center"/>
                  <w:hideMark/>
                </w:tcPr>
                <w:p w14:paraId="69FAE507"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j.</w:t>
                  </w:r>
                </w:p>
              </w:tc>
              <w:tc>
                <w:tcPr>
                  <w:tcW w:w="0" w:type="auto"/>
                  <w:shd w:val="clear" w:color="auto" w:fill="auto"/>
                  <w:vAlign w:val="center"/>
                  <w:hideMark/>
                </w:tcPr>
                <w:p w14:paraId="593130A2"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Despesa Paga</w:t>
                  </w:r>
                </w:p>
              </w:tc>
              <w:tc>
                <w:tcPr>
                  <w:tcW w:w="0" w:type="auto"/>
                  <w:shd w:val="clear" w:color="auto" w:fill="auto"/>
                  <w:vAlign w:val="center"/>
                  <w:hideMark/>
                </w:tcPr>
                <w:p w14:paraId="4F2390B1"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7.944.101.479</w:t>
                  </w:r>
                </w:p>
              </w:tc>
              <w:tc>
                <w:tcPr>
                  <w:tcW w:w="0" w:type="auto"/>
                  <w:shd w:val="clear" w:color="auto" w:fill="auto"/>
                  <w:vAlign w:val="center"/>
                  <w:hideMark/>
                </w:tcPr>
                <w:p w14:paraId="2272A7FA"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2.642.564.069</w:t>
                  </w:r>
                </w:p>
              </w:tc>
              <w:tc>
                <w:tcPr>
                  <w:tcW w:w="0" w:type="auto"/>
                  <w:shd w:val="clear" w:color="auto" w:fill="auto"/>
                  <w:vAlign w:val="center"/>
                  <w:hideMark/>
                </w:tcPr>
                <w:p w14:paraId="23A2D4D9"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3.135.468.129</w:t>
                  </w:r>
                </w:p>
              </w:tc>
              <w:tc>
                <w:tcPr>
                  <w:tcW w:w="0" w:type="auto"/>
                  <w:shd w:val="clear" w:color="auto" w:fill="auto"/>
                  <w:vAlign w:val="center"/>
                  <w:hideMark/>
                </w:tcPr>
                <w:p w14:paraId="38CC570F"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2.166.069.281</w:t>
                  </w:r>
                </w:p>
              </w:tc>
            </w:tr>
            <w:tr w:rsidR="001C7E6F" w:rsidRPr="00681D7C" w14:paraId="7ED82819" w14:textId="77777777" w:rsidTr="00BD3046">
              <w:trPr>
                <w:trHeight w:val="240"/>
              </w:trPr>
              <w:tc>
                <w:tcPr>
                  <w:tcW w:w="0" w:type="auto"/>
                  <w:shd w:val="clear" w:color="auto" w:fill="auto"/>
                  <w:noWrap/>
                  <w:vAlign w:val="center"/>
                  <w:hideMark/>
                </w:tcPr>
                <w:p w14:paraId="08D8E4DF"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k.</w:t>
                  </w:r>
                </w:p>
              </w:tc>
              <w:tc>
                <w:tcPr>
                  <w:tcW w:w="0" w:type="auto"/>
                  <w:shd w:val="clear" w:color="auto" w:fill="auto"/>
                  <w:vAlign w:val="center"/>
                  <w:hideMark/>
                </w:tcPr>
                <w:p w14:paraId="03D0F989"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Saldo Financeiro do Exercício</w:t>
                  </w:r>
                </w:p>
              </w:tc>
              <w:tc>
                <w:tcPr>
                  <w:tcW w:w="0" w:type="auto"/>
                  <w:shd w:val="clear" w:color="auto" w:fill="auto"/>
                  <w:vAlign w:val="center"/>
                  <w:hideMark/>
                </w:tcPr>
                <w:p w14:paraId="0301AAEE"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1.677.595.249</w:t>
                  </w:r>
                </w:p>
              </w:tc>
              <w:tc>
                <w:tcPr>
                  <w:tcW w:w="0" w:type="auto"/>
                  <w:shd w:val="clear" w:color="auto" w:fill="auto"/>
                  <w:vAlign w:val="center"/>
                  <w:hideMark/>
                </w:tcPr>
                <w:p w14:paraId="72071BBD"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673.223.702</w:t>
                  </w:r>
                </w:p>
              </w:tc>
              <w:tc>
                <w:tcPr>
                  <w:tcW w:w="0" w:type="auto"/>
                  <w:shd w:val="clear" w:color="auto" w:fill="auto"/>
                  <w:vAlign w:val="center"/>
                  <w:hideMark/>
                </w:tcPr>
                <w:p w14:paraId="15C0131B"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606.649.125</w:t>
                  </w:r>
                </w:p>
              </w:tc>
              <w:tc>
                <w:tcPr>
                  <w:tcW w:w="0" w:type="auto"/>
                  <w:shd w:val="clear" w:color="auto" w:fill="auto"/>
                  <w:vAlign w:val="center"/>
                  <w:hideMark/>
                </w:tcPr>
                <w:p w14:paraId="04A9BD84"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397.722.422</w:t>
                  </w:r>
                </w:p>
              </w:tc>
            </w:tr>
            <w:tr w:rsidR="001C7E6F" w:rsidRPr="00681D7C" w14:paraId="653162BC" w14:textId="77777777" w:rsidTr="00BD3046">
              <w:trPr>
                <w:trHeight w:val="240"/>
              </w:trPr>
              <w:tc>
                <w:tcPr>
                  <w:tcW w:w="0" w:type="auto"/>
                  <w:shd w:val="clear" w:color="auto" w:fill="auto"/>
                  <w:noWrap/>
                  <w:vAlign w:val="center"/>
                  <w:hideMark/>
                </w:tcPr>
                <w:p w14:paraId="45873B4C"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l.</w:t>
                  </w:r>
                </w:p>
              </w:tc>
              <w:tc>
                <w:tcPr>
                  <w:tcW w:w="0" w:type="auto"/>
                  <w:shd w:val="clear" w:color="auto" w:fill="auto"/>
                  <w:vAlign w:val="center"/>
                  <w:hideMark/>
                </w:tcPr>
                <w:p w14:paraId="6FFAA1F5"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RPP Inscrito</w:t>
                  </w:r>
                </w:p>
              </w:tc>
              <w:tc>
                <w:tcPr>
                  <w:tcW w:w="0" w:type="auto"/>
                  <w:shd w:val="clear" w:color="auto" w:fill="auto"/>
                  <w:vAlign w:val="center"/>
                  <w:hideMark/>
                </w:tcPr>
                <w:p w14:paraId="7D241B8D"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177.037.123</w:t>
                  </w:r>
                </w:p>
              </w:tc>
              <w:tc>
                <w:tcPr>
                  <w:tcW w:w="0" w:type="auto"/>
                  <w:shd w:val="clear" w:color="auto" w:fill="auto"/>
                  <w:vAlign w:val="center"/>
                  <w:hideMark/>
                </w:tcPr>
                <w:p w14:paraId="6D41F19F"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39.025.960</w:t>
                  </w:r>
                </w:p>
              </w:tc>
              <w:tc>
                <w:tcPr>
                  <w:tcW w:w="0" w:type="auto"/>
                  <w:shd w:val="clear" w:color="auto" w:fill="auto"/>
                  <w:vAlign w:val="center"/>
                  <w:hideMark/>
                </w:tcPr>
                <w:p w14:paraId="15DF5547"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65.346.840</w:t>
                  </w:r>
                </w:p>
              </w:tc>
              <w:tc>
                <w:tcPr>
                  <w:tcW w:w="0" w:type="auto"/>
                  <w:shd w:val="clear" w:color="auto" w:fill="auto"/>
                  <w:vAlign w:val="center"/>
                  <w:hideMark/>
                </w:tcPr>
                <w:p w14:paraId="33D749A7"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72.664.323</w:t>
                  </w:r>
                </w:p>
              </w:tc>
            </w:tr>
            <w:tr w:rsidR="001C7E6F" w:rsidRPr="00681D7C" w14:paraId="1F0CA0EB" w14:textId="77777777" w:rsidTr="00BD3046">
              <w:trPr>
                <w:trHeight w:val="240"/>
              </w:trPr>
              <w:tc>
                <w:tcPr>
                  <w:tcW w:w="0" w:type="auto"/>
                  <w:shd w:val="clear" w:color="auto" w:fill="auto"/>
                  <w:noWrap/>
                  <w:vAlign w:val="center"/>
                  <w:hideMark/>
                </w:tcPr>
                <w:p w14:paraId="32A5A2AF" w14:textId="77777777" w:rsidR="001C7E6F" w:rsidRPr="00681D7C" w:rsidRDefault="001C7E6F" w:rsidP="00BD3046">
                  <w:pPr>
                    <w:spacing w:after="0" w:line="240" w:lineRule="auto"/>
                    <w:jc w:val="right"/>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m.</w:t>
                  </w:r>
                </w:p>
              </w:tc>
              <w:tc>
                <w:tcPr>
                  <w:tcW w:w="0" w:type="auto"/>
                  <w:shd w:val="clear" w:color="auto" w:fill="auto"/>
                  <w:vAlign w:val="center"/>
                  <w:hideMark/>
                </w:tcPr>
                <w:p w14:paraId="175EEBFE" w14:textId="77777777" w:rsidR="001C7E6F" w:rsidRPr="00681D7C" w:rsidRDefault="001C7E6F" w:rsidP="00BD3046">
                  <w:pPr>
                    <w:spacing w:after="0" w:line="240" w:lineRule="auto"/>
                    <w:rPr>
                      <w:rFonts w:asciiTheme="minorHAnsi" w:eastAsia="Times New Roman" w:hAnsiTheme="minorHAnsi" w:cstheme="minorHAnsi"/>
                      <w:b/>
                      <w:bCs/>
                      <w:color w:val="000000"/>
                      <w:sz w:val="16"/>
                      <w:szCs w:val="16"/>
                      <w:lang w:eastAsia="pt-BR"/>
                    </w:rPr>
                  </w:pPr>
                  <w:r w:rsidRPr="00681D7C">
                    <w:rPr>
                      <w:rFonts w:asciiTheme="minorHAnsi" w:eastAsia="Times New Roman" w:hAnsiTheme="minorHAnsi" w:cstheme="minorHAnsi"/>
                      <w:b/>
                      <w:bCs/>
                      <w:color w:val="000000"/>
                      <w:sz w:val="16"/>
                      <w:szCs w:val="16"/>
                      <w:lang w:eastAsia="pt-BR"/>
                    </w:rPr>
                    <w:t>RP Pago</w:t>
                  </w:r>
                </w:p>
              </w:tc>
              <w:tc>
                <w:tcPr>
                  <w:tcW w:w="0" w:type="auto"/>
                  <w:shd w:val="clear" w:color="auto" w:fill="auto"/>
                  <w:vAlign w:val="center"/>
                  <w:hideMark/>
                </w:tcPr>
                <w:p w14:paraId="2F902FA3"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326.247.039</w:t>
                  </w:r>
                </w:p>
              </w:tc>
              <w:tc>
                <w:tcPr>
                  <w:tcW w:w="0" w:type="auto"/>
                  <w:shd w:val="clear" w:color="auto" w:fill="auto"/>
                  <w:vAlign w:val="center"/>
                  <w:hideMark/>
                </w:tcPr>
                <w:p w14:paraId="49805B2D"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222.898.831</w:t>
                  </w:r>
                </w:p>
              </w:tc>
              <w:tc>
                <w:tcPr>
                  <w:tcW w:w="0" w:type="auto"/>
                  <w:shd w:val="clear" w:color="auto" w:fill="auto"/>
                  <w:vAlign w:val="center"/>
                  <w:hideMark/>
                </w:tcPr>
                <w:p w14:paraId="5C36BAD1"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39.208.626</w:t>
                  </w:r>
                </w:p>
              </w:tc>
              <w:tc>
                <w:tcPr>
                  <w:tcW w:w="0" w:type="auto"/>
                  <w:shd w:val="clear" w:color="auto" w:fill="auto"/>
                  <w:vAlign w:val="center"/>
                  <w:hideMark/>
                </w:tcPr>
                <w:p w14:paraId="3AA9CC3A" w14:textId="77777777" w:rsidR="001C7E6F" w:rsidRPr="00681D7C" w:rsidRDefault="001C7E6F" w:rsidP="00BD3046">
                  <w:pPr>
                    <w:spacing w:after="0" w:line="240" w:lineRule="auto"/>
                    <w:jc w:val="right"/>
                    <w:rPr>
                      <w:rFonts w:asciiTheme="minorHAnsi" w:eastAsia="Times New Roman" w:hAnsiTheme="minorHAnsi" w:cstheme="minorHAnsi"/>
                      <w:color w:val="000000"/>
                      <w:sz w:val="16"/>
                      <w:szCs w:val="16"/>
                      <w:lang w:eastAsia="pt-BR"/>
                    </w:rPr>
                  </w:pPr>
                  <w:r w:rsidRPr="00681D7C">
                    <w:rPr>
                      <w:rFonts w:asciiTheme="minorHAnsi" w:eastAsia="Times New Roman" w:hAnsiTheme="minorHAnsi" w:cstheme="minorHAnsi"/>
                      <w:color w:val="000000"/>
                      <w:sz w:val="16"/>
                      <w:szCs w:val="16"/>
                      <w:lang w:eastAsia="pt-BR"/>
                    </w:rPr>
                    <w:t>64.139.582</w:t>
                  </w:r>
                </w:p>
              </w:tc>
            </w:tr>
          </w:tbl>
          <w:p w14:paraId="428614AA" w14:textId="77777777" w:rsidR="001C7E6F" w:rsidRDefault="001C7E6F" w:rsidP="00BD3046">
            <w:pPr>
              <w:spacing w:after="0" w:line="240" w:lineRule="auto"/>
              <w:jc w:val="both"/>
              <w:rPr>
                <w:rFonts w:ascii="Arial" w:eastAsia="Arial" w:hAnsi="Arial" w:cs="Arial"/>
                <w:color w:val="000000"/>
                <w:sz w:val="18"/>
                <w:szCs w:val="18"/>
              </w:rPr>
            </w:pPr>
          </w:p>
          <w:p w14:paraId="2CD38790"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Logo, são parâmetros do Observatório FCP 360°:</w:t>
            </w:r>
          </w:p>
          <w:p w14:paraId="4A0475EE"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Índice de Realização da Receita: 87,85% no acumulado, mas com queda em 2025 (65,81%), indicando risco de frustração da arrecadação.</w:t>
            </w:r>
          </w:p>
          <w:p w14:paraId="282D0467"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Índice de Desvinculação: 30% (limite constitucional aplicado ao FECP).</w:t>
            </w:r>
          </w:p>
          <w:p w14:paraId="620EAE32"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Índice de Receita Disponível: 70% da arrecadação bruta fica de fato disponível após a desvinculação.</w:t>
            </w:r>
          </w:p>
          <w:p w14:paraId="683D98A4"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 xml:space="preserve">Efetividade da Receita Prevista: na média, 61,50% da arrecadação estava disponível. </w:t>
            </w:r>
          </w:p>
          <w:p w14:paraId="1E15BBAC"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Índice de Inexecução Financeira: em média, 17,44% da arrecadação líquida não foi paga (gerando saldo financeiro acumulado).</w:t>
            </w:r>
          </w:p>
          <w:p w14:paraId="42CD8522"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Saldo Financeiro do Exercício: mais de R$ 1,6 bi acumulados sem uso até 2025.</w:t>
            </w:r>
          </w:p>
          <w:p w14:paraId="61794669"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Execução Orçamentária Inicial: 86,14% no acumulado, dentro da meta mínima de 85%.</w:t>
            </w:r>
          </w:p>
          <w:p w14:paraId="048F1AEA"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Execução Orçamentária Atualizada: 84,59% (abaixo da meta), o que revela baixa absorção de créditos adicionais.</w:t>
            </w:r>
          </w:p>
          <w:p w14:paraId="010844A6"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Pagamento sobre Execução: elevado (97,82%), mostrando que quase todo o montante liquidado foi pago.</w:t>
            </w:r>
          </w:p>
          <w:p w14:paraId="353E4C47"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Execução Financeira: 82,56%, revelando que nem toda arrecadação se transformou em despesa paga.</w:t>
            </w:r>
          </w:p>
          <w:p w14:paraId="32010D92"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Contingenciamento: 5,11% da dotação atualizada foi bloqueada (aproximadamente R$ 490 milhões), mas em 2025 saltou para quase 9%.</w:t>
            </w:r>
          </w:p>
          <w:p w14:paraId="6D726DD8"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Alteração Orçamentária: o orçamento autorizado para o FECP foi acrescido em 1,83%, ao longo do período.</w:t>
            </w:r>
          </w:p>
          <w:p w14:paraId="59ECEAD2" w14:textId="77777777" w:rsidR="001C7E6F" w:rsidRPr="0012016D" w:rsidRDefault="001C7E6F" w:rsidP="0032733E">
            <w:pPr>
              <w:pStyle w:val="PargrafodaLista"/>
              <w:numPr>
                <w:ilvl w:val="0"/>
                <w:numId w:val="25"/>
              </w:numPr>
              <w:spacing w:after="0" w:line="240" w:lineRule="auto"/>
              <w:ind w:left="469" w:hanging="283"/>
              <w:rPr>
                <w:rFonts w:eastAsia="Arial"/>
                <w:color w:val="000000"/>
                <w:sz w:val="18"/>
                <w:szCs w:val="18"/>
              </w:rPr>
            </w:pPr>
            <w:r w:rsidRPr="0012016D">
              <w:rPr>
                <w:rFonts w:eastAsia="Arial"/>
                <w:color w:val="000000"/>
                <w:sz w:val="18"/>
                <w:szCs w:val="18"/>
              </w:rPr>
              <w:t>Índice de Restos a Pagar processados inscritos: baixos (2,18%, para o período de 2023 e 2024).</w:t>
            </w:r>
          </w:p>
          <w:p w14:paraId="70F9595F" w14:textId="77777777" w:rsidR="001C7E6F" w:rsidRDefault="001C7E6F" w:rsidP="00BD3046">
            <w:pPr>
              <w:spacing w:after="0" w:line="240" w:lineRule="auto"/>
              <w:jc w:val="both"/>
              <w:rPr>
                <w:rFonts w:ascii="Arial" w:eastAsia="Arial" w:hAnsi="Arial" w:cs="Arial"/>
                <w:color w:val="000000"/>
                <w:sz w:val="18"/>
                <w:szCs w:val="18"/>
              </w:rPr>
            </w:pPr>
          </w:p>
          <w:p w14:paraId="28E67E9C"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Em resumo:</w:t>
            </w:r>
          </w:p>
          <w:p w14:paraId="2D93EC22" w14:textId="77777777" w:rsidR="001C7E6F" w:rsidRDefault="001C7E6F" w:rsidP="00BD3046">
            <w:pPr>
              <w:spacing w:after="0" w:line="240" w:lineRule="auto"/>
              <w:jc w:val="both"/>
              <w:rPr>
                <w:rFonts w:ascii="Arial" w:eastAsia="Arial" w:hAnsi="Arial" w:cs="Arial"/>
                <w:color w:val="000000"/>
                <w:sz w:val="18"/>
                <w:szCs w:val="18"/>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961"/>
              <w:gridCol w:w="2228"/>
              <w:gridCol w:w="963"/>
              <w:gridCol w:w="960"/>
              <w:gridCol w:w="960"/>
              <w:gridCol w:w="960"/>
            </w:tblGrid>
            <w:tr w:rsidR="001C7E6F" w:rsidRPr="008F5EF1" w14:paraId="41B45B2D" w14:textId="77777777" w:rsidTr="00BD3046">
              <w:trPr>
                <w:trHeight w:val="240"/>
              </w:trPr>
              <w:tc>
                <w:tcPr>
                  <w:tcW w:w="0" w:type="auto"/>
                  <w:gridSpan w:val="2"/>
                  <w:shd w:val="clear" w:color="auto" w:fill="auto"/>
                  <w:vAlign w:val="center"/>
                  <w:hideMark/>
                </w:tcPr>
                <w:p w14:paraId="1ED69671" w14:textId="77777777" w:rsidR="001C7E6F" w:rsidRPr="008F5EF1" w:rsidRDefault="001C7E6F" w:rsidP="00BD3046">
                  <w:pPr>
                    <w:spacing w:after="0" w:line="240" w:lineRule="auto"/>
                    <w:jc w:val="center"/>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Indicador</w:t>
                  </w:r>
                </w:p>
              </w:tc>
              <w:tc>
                <w:tcPr>
                  <w:tcW w:w="0" w:type="auto"/>
                  <w:shd w:val="clear" w:color="auto" w:fill="auto"/>
                  <w:vAlign w:val="center"/>
                  <w:hideMark/>
                </w:tcPr>
                <w:p w14:paraId="29562878" w14:textId="77777777" w:rsidR="001C7E6F" w:rsidRPr="008F5EF1" w:rsidRDefault="001C7E6F" w:rsidP="00BD3046">
                  <w:pPr>
                    <w:spacing w:after="0" w:line="240" w:lineRule="auto"/>
                    <w:jc w:val="center"/>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Acumulado</w:t>
                  </w:r>
                </w:p>
              </w:tc>
              <w:tc>
                <w:tcPr>
                  <w:tcW w:w="0" w:type="auto"/>
                  <w:shd w:val="clear" w:color="auto" w:fill="auto"/>
                  <w:vAlign w:val="center"/>
                  <w:hideMark/>
                </w:tcPr>
                <w:p w14:paraId="695B5F01" w14:textId="77777777" w:rsidR="001C7E6F" w:rsidRPr="008F5EF1" w:rsidRDefault="001C7E6F" w:rsidP="00BD3046">
                  <w:pPr>
                    <w:spacing w:after="0" w:line="240" w:lineRule="auto"/>
                    <w:jc w:val="center"/>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2023</w:t>
                  </w:r>
                </w:p>
              </w:tc>
              <w:tc>
                <w:tcPr>
                  <w:tcW w:w="0" w:type="auto"/>
                  <w:shd w:val="clear" w:color="auto" w:fill="auto"/>
                  <w:vAlign w:val="center"/>
                  <w:hideMark/>
                </w:tcPr>
                <w:p w14:paraId="71589A47" w14:textId="77777777" w:rsidR="001C7E6F" w:rsidRPr="008F5EF1" w:rsidRDefault="001C7E6F" w:rsidP="00BD3046">
                  <w:pPr>
                    <w:spacing w:after="0" w:line="240" w:lineRule="auto"/>
                    <w:jc w:val="center"/>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2024</w:t>
                  </w:r>
                </w:p>
              </w:tc>
              <w:tc>
                <w:tcPr>
                  <w:tcW w:w="0" w:type="auto"/>
                  <w:shd w:val="clear" w:color="auto" w:fill="auto"/>
                  <w:vAlign w:val="center"/>
                  <w:hideMark/>
                </w:tcPr>
                <w:p w14:paraId="6F238BBA" w14:textId="77777777" w:rsidR="001C7E6F" w:rsidRPr="008F5EF1" w:rsidRDefault="001C7E6F" w:rsidP="00BD3046">
                  <w:pPr>
                    <w:spacing w:after="0" w:line="240" w:lineRule="auto"/>
                    <w:jc w:val="center"/>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2025</w:t>
                  </w:r>
                </w:p>
              </w:tc>
            </w:tr>
            <w:tr w:rsidR="001C7E6F" w:rsidRPr="008F5EF1" w14:paraId="6B6BB1B2" w14:textId="77777777" w:rsidTr="00BD3046">
              <w:trPr>
                <w:trHeight w:val="240"/>
              </w:trPr>
              <w:tc>
                <w:tcPr>
                  <w:tcW w:w="0" w:type="auto"/>
                  <w:shd w:val="clear" w:color="auto" w:fill="auto"/>
                  <w:noWrap/>
                  <w:vAlign w:val="center"/>
                  <w:hideMark/>
                </w:tcPr>
                <w:p w14:paraId="3F1AA9E2"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[=b/a*100]</w:t>
                  </w:r>
                </w:p>
              </w:tc>
              <w:tc>
                <w:tcPr>
                  <w:tcW w:w="0" w:type="auto"/>
                  <w:shd w:val="clear" w:color="auto" w:fill="auto"/>
                  <w:vAlign w:val="center"/>
                  <w:hideMark/>
                </w:tcPr>
                <w:p w14:paraId="7CF42973"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Índice de Realização da Receita</w:t>
                  </w:r>
                </w:p>
              </w:tc>
              <w:tc>
                <w:tcPr>
                  <w:tcW w:w="0" w:type="auto"/>
                  <w:shd w:val="clear" w:color="auto" w:fill="auto"/>
                  <w:vAlign w:val="center"/>
                  <w:hideMark/>
                </w:tcPr>
                <w:p w14:paraId="3DE725A0"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87,85%</w:t>
                  </w:r>
                </w:p>
              </w:tc>
              <w:tc>
                <w:tcPr>
                  <w:tcW w:w="0" w:type="auto"/>
                  <w:shd w:val="clear" w:color="auto" w:fill="auto"/>
                  <w:vAlign w:val="center"/>
                  <w:hideMark/>
                </w:tcPr>
                <w:p w14:paraId="679B46E9"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99,94%</w:t>
                  </w:r>
                </w:p>
              </w:tc>
              <w:tc>
                <w:tcPr>
                  <w:tcW w:w="0" w:type="auto"/>
                  <w:shd w:val="clear" w:color="auto" w:fill="auto"/>
                  <w:vAlign w:val="center"/>
                  <w:hideMark/>
                </w:tcPr>
                <w:p w14:paraId="4AFC460A"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100,11%</w:t>
                  </w:r>
                </w:p>
              </w:tc>
              <w:tc>
                <w:tcPr>
                  <w:tcW w:w="0" w:type="auto"/>
                  <w:shd w:val="clear" w:color="auto" w:fill="auto"/>
                  <w:vAlign w:val="center"/>
                  <w:hideMark/>
                </w:tcPr>
                <w:p w14:paraId="4B17CEF7"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65,81%</w:t>
                  </w:r>
                </w:p>
              </w:tc>
            </w:tr>
            <w:tr w:rsidR="001C7E6F" w:rsidRPr="008F5EF1" w14:paraId="050E564A" w14:textId="77777777" w:rsidTr="00BD3046">
              <w:trPr>
                <w:trHeight w:val="240"/>
              </w:trPr>
              <w:tc>
                <w:tcPr>
                  <w:tcW w:w="0" w:type="auto"/>
                  <w:shd w:val="clear" w:color="auto" w:fill="auto"/>
                  <w:noWrap/>
                  <w:vAlign w:val="center"/>
                  <w:hideMark/>
                </w:tcPr>
                <w:p w14:paraId="1D8CDCF2"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[=c/b*100]</w:t>
                  </w:r>
                </w:p>
              </w:tc>
              <w:tc>
                <w:tcPr>
                  <w:tcW w:w="0" w:type="auto"/>
                  <w:shd w:val="clear" w:color="auto" w:fill="auto"/>
                  <w:vAlign w:val="center"/>
                  <w:hideMark/>
                </w:tcPr>
                <w:p w14:paraId="4004FD51"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Índice de Desvinculação</w:t>
                  </w:r>
                </w:p>
              </w:tc>
              <w:tc>
                <w:tcPr>
                  <w:tcW w:w="0" w:type="auto"/>
                  <w:shd w:val="clear" w:color="auto" w:fill="auto"/>
                  <w:vAlign w:val="center"/>
                  <w:hideMark/>
                </w:tcPr>
                <w:p w14:paraId="1A76D841"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30,00%</w:t>
                  </w:r>
                </w:p>
              </w:tc>
              <w:tc>
                <w:tcPr>
                  <w:tcW w:w="0" w:type="auto"/>
                  <w:shd w:val="clear" w:color="auto" w:fill="auto"/>
                  <w:vAlign w:val="center"/>
                  <w:hideMark/>
                </w:tcPr>
                <w:p w14:paraId="5C53088F"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30,00%</w:t>
                  </w:r>
                </w:p>
              </w:tc>
              <w:tc>
                <w:tcPr>
                  <w:tcW w:w="0" w:type="auto"/>
                  <w:shd w:val="clear" w:color="auto" w:fill="auto"/>
                  <w:vAlign w:val="center"/>
                  <w:hideMark/>
                </w:tcPr>
                <w:p w14:paraId="787C32B5"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30,00%</w:t>
                  </w:r>
                </w:p>
              </w:tc>
              <w:tc>
                <w:tcPr>
                  <w:tcW w:w="0" w:type="auto"/>
                  <w:shd w:val="clear" w:color="auto" w:fill="auto"/>
                  <w:vAlign w:val="center"/>
                  <w:hideMark/>
                </w:tcPr>
                <w:p w14:paraId="4FB24503"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30,00%</w:t>
                  </w:r>
                </w:p>
              </w:tc>
            </w:tr>
            <w:tr w:rsidR="001C7E6F" w:rsidRPr="008F5EF1" w14:paraId="4E21D7AA" w14:textId="77777777" w:rsidTr="00BD3046">
              <w:trPr>
                <w:trHeight w:val="240"/>
              </w:trPr>
              <w:tc>
                <w:tcPr>
                  <w:tcW w:w="0" w:type="auto"/>
                  <w:shd w:val="clear" w:color="auto" w:fill="auto"/>
                  <w:noWrap/>
                  <w:vAlign w:val="center"/>
                  <w:hideMark/>
                </w:tcPr>
                <w:p w14:paraId="12111254"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lastRenderedPageBreak/>
                    <w:t>[=d/b*100]</w:t>
                  </w:r>
                </w:p>
              </w:tc>
              <w:tc>
                <w:tcPr>
                  <w:tcW w:w="0" w:type="auto"/>
                  <w:shd w:val="clear" w:color="auto" w:fill="auto"/>
                  <w:vAlign w:val="center"/>
                  <w:hideMark/>
                </w:tcPr>
                <w:p w14:paraId="33F8D1E5"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Índice de Receita Disponível</w:t>
                  </w:r>
                </w:p>
              </w:tc>
              <w:tc>
                <w:tcPr>
                  <w:tcW w:w="0" w:type="auto"/>
                  <w:shd w:val="clear" w:color="auto" w:fill="auto"/>
                  <w:vAlign w:val="center"/>
                  <w:hideMark/>
                </w:tcPr>
                <w:p w14:paraId="6B990C90"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70,00%</w:t>
                  </w:r>
                </w:p>
              </w:tc>
              <w:tc>
                <w:tcPr>
                  <w:tcW w:w="0" w:type="auto"/>
                  <w:shd w:val="clear" w:color="auto" w:fill="auto"/>
                  <w:vAlign w:val="center"/>
                  <w:hideMark/>
                </w:tcPr>
                <w:p w14:paraId="6983F05D"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70,00%</w:t>
                  </w:r>
                </w:p>
              </w:tc>
              <w:tc>
                <w:tcPr>
                  <w:tcW w:w="0" w:type="auto"/>
                  <w:shd w:val="clear" w:color="auto" w:fill="auto"/>
                  <w:vAlign w:val="center"/>
                  <w:hideMark/>
                </w:tcPr>
                <w:p w14:paraId="05A909F6"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70,00%</w:t>
                  </w:r>
                </w:p>
              </w:tc>
              <w:tc>
                <w:tcPr>
                  <w:tcW w:w="0" w:type="auto"/>
                  <w:shd w:val="clear" w:color="auto" w:fill="auto"/>
                  <w:vAlign w:val="center"/>
                  <w:hideMark/>
                </w:tcPr>
                <w:p w14:paraId="40EFE49B"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70,00%</w:t>
                  </w:r>
                </w:p>
              </w:tc>
            </w:tr>
            <w:tr w:rsidR="001C7E6F" w:rsidRPr="008F5EF1" w14:paraId="60E35770" w14:textId="77777777" w:rsidTr="00BD3046">
              <w:trPr>
                <w:trHeight w:val="240"/>
              </w:trPr>
              <w:tc>
                <w:tcPr>
                  <w:tcW w:w="0" w:type="auto"/>
                  <w:shd w:val="clear" w:color="auto" w:fill="auto"/>
                  <w:noWrap/>
                  <w:vAlign w:val="center"/>
                  <w:hideMark/>
                </w:tcPr>
                <w:p w14:paraId="035B67EF"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[=d/a*100]</w:t>
                  </w:r>
                </w:p>
              </w:tc>
              <w:tc>
                <w:tcPr>
                  <w:tcW w:w="0" w:type="auto"/>
                  <w:shd w:val="clear" w:color="auto" w:fill="auto"/>
                  <w:vAlign w:val="center"/>
                  <w:hideMark/>
                </w:tcPr>
                <w:p w14:paraId="64AEE0C3"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Índice de Efetividade da Receita Prevista</w:t>
                  </w:r>
                </w:p>
              </w:tc>
              <w:tc>
                <w:tcPr>
                  <w:tcW w:w="0" w:type="auto"/>
                  <w:shd w:val="clear" w:color="auto" w:fill="auto"/>
                  <w:vAlign w:val="center"/>
                  <w:hideMark/>
                </w:tcPr>
                <w:p w14:paraId="23F187BC"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61,50%</w:t>
                  </w:r>
                </w:p>
              </w:tc>
              <w:tc>
                <w:tcPr>
                  <w:tcW w:w="0" w:type="auto"/>
                  <w:shd w:val="clear" w:color="auto" w:fill="auto"/>
                  <w:vAlign w:val="center"/>
                  <w:hideMark/>
                </w:tcPr>
                <w:p w14:paraId="03F10A8C"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69,96%</w:t>
                  </w:r>
                </w:p>
              </w:tc>
              <w:tc>
                <w:tcPr>
                  <w:tcW w:w="0" w:type="auto"/>
                  <w:shd w:val="clear" w:color="auto" w:fill="auto"/>
                  <w:vAlign w:val="center"/>
                  <w:hideMark/>
                </w:tcPr>
                <w:p w14:paraId="512E48C4"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70,08%</w:t>
                  </w:r>
                </w:p>
              </w:tc>
              <w:tc>
                <w:tcPr>
                  <w:tcW w:w="0" w:type="auto"/>
                  <w:shd w:val="clear" w:color="auto" w:fill="auto"/>
                  <w:vAlign w:val="center"/>
                  <w:hideMark/>
                </w:tcPr>
                <w:p w14:paraId="77AA71F9"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46,06%</w:t>
                  </w:r>
                </w:p>
              </w:tc>
            </w:tr>
            <w:tr w:rsidR="001C7E6F" w:rsidRPr="008F5EF1" w14:paraId="05EBD287" w14:textId="77777777" w:rsidTr="00BD3046">
              <w:trPr>
                <w:trHeight w:val="240"/>
              </w:trPr>
              <w:tc>
                <w:tcPr>
                  <w:tcW w:w="0" w:type="auto"/>
                  <w:shd w:val="clear" w:color="auto" w:fill="auto"/>
                  <w:noWrap/>
                  <w:vAlign w:val="center"/>
                  <w:hideMark/>
                </w:tcPr>
                <w:p w14:paraId="0C9E58CE"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[=(d-j)/d*100]</w:t>
                  </w:r>
                </w:p>
              </w:tc>
              <w:tc>
                <w:tcPr>
                  <w:tcW w:w="0" w:type="auto"/>
                  <w:shd w:val="clear" w:color="auto" w:fill="auto"/>
                  <w:vAlign w:val="center"/>
                  <w:hideMark/>
                </w:tcPr>
                <w:p w14:paraId="31C186A4"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Índice de Conversão Financeira</w:t>
                  </w:r>
                </w:p>
              </w:tc>
              <w:tc>
                <w:tcPr>
                  <w:tcW w:w="0" w:type="auto"/>
                  <w:shd w:val="clear" w:color="auto" w:fill="auto"/>
                  <w:vAlign w:val="center"/>
                  <w:hideMark/>
                </w:tcPr>
                <w:p w14:paraId="68571712"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82,56%</w:t>
                  </w:r>
                </w:p>
              </w:tc>
              <w:tc>
                <w:tcPr>
                  <w:tcW w:w="0" w:type="auto"/>
                  <w:shd w:val="clear" w:color="auto" w:fill="auto"/>
                  <w:vAlign w:val="center"/>
                  <w:hideMark/>
                </w:tcPr>
                <w:p w14:paraId="701CF10B"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79,70%</w:t>
                  </w:r>
                </w:p>
              </w:tc>
              <w:tc>
                <w:tcPr>
                  <w:tcW w:w="0" w:type="auto"/>
                  <w:shd w:val="clear" w:color="auto" w:fill="auto"/>
                  <w:vAlign w:val="center"/>
                  <w:hideMark/>
                </w:tcPr>
                <w:p w14:paraId="2158153B"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83,79%</w:t>
                  </w:r>
                </w:p>
              </w:tc>
              <w:tc>
                <w:tcPr>
                  <w:tcW w:w="0" w:type="auto"/>
                  <w:shd w:val="clear" w:color="auto" w:fill="auto"/>
                  <w:vAlign w:val="center"/>
                  <w:hideMark/>
                </w:tcPr>
                <w:p w14:paraId="4B333101"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84,49%</w:t>
                  </w:r>
                </w:p>
              </w:tc>
            </w:tr>
            <w:tr w:rsidR="001C7E6F" w:rsidRPr="008F5EF1" w14:paraId="59F40436" w14:textId="77777777" w:rsidTr="00BD3046">
              <w:trPr>
                <w:trHeight w:val="240"/>
              </w:trPr>
              <w:tc>
                <w:tcPr>
                  <w:tcW w:w="0" w:type="auto"/>
                  <w:shd w:val="clear" w:color="auto" w:fill="auto"/>
                  <w:noWrap/>
                  <w:vAlign w:val="center"/>
                  <w:hideMark/>
                </w:tcPr>
                <w:p w14:paraId="42F82C61"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[=d - j]</w:t>
                  </w:r>
                </w:p>
              </w:tc>
              <w:tc>
                <w:tcPr>
                  <w:tcW w:w="0" w:type="auto"/>
                  <w:shd w:val="clear" w:color="auto" w:fill="auto"/>
                  <w:vAlign w:val="center"/>
                  <w:hideMark/>
                </w:tcPr>
                <w:p w14:paraId="45CB6CF0"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Saldo Financeiro do Exercício</w:t>
                  </w:r>
                </w:p>
              </w:tc>
              <w:tc>
                <w:tcPr>
                  <w:tcW w:w="0" w:type="auto"/>
                  <w:shd w:val="clear" w:color="auto" w:fill="auto"/>
                  <w:vAlign w:val="center"/>
                  <w:hideMark/>
                </w:tcPr>
                <w:p w14:paraId="281F1C04" w14:textId="77777777" w:rsidR="001C7E6F" w:rsidRPr="008F5EF1" w:rsidRDefault="001C7E6F" w:rsidP="00BD3046">
                  <w:pPr>
                    <w:spacing w:after="0" w:line="240" w:lineRule="auto"/>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 xml:space="preserve"> 1.677.595.249 </w:t>
                  </w:r>
                </w:p>
              </w:tc>
              <w:tc>
                <w:tcPr>
                  <w:tcW w:w="0" w:type="auto"/>
                  <w:shd w:val="clear" w:color="auto" w:fill="auto"/>
                  <w:vAlign w:val="center"/>
                  <w:hideMark/>
                </w:tcPr>
                <w:p w14:paraId="4C827D59" w14:textId="77777777" w:rsidR="001C7E6F" w:rsidRPr="008F5EF1" w:rsidRDefault="001C7E6F" w:rsidP="00BD3046">
                  <w:pPr>
                    <w:spacing w:after="0" w:line="240" w:lineRule="auto"/>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 xml:space="preserve">    673.223.702 </w:t>
                  </w:r>
                </w:p>
              </w:tc>
              <w:tc>
                <w:tcPr>
                  <w:tcW w:w="0" w:type="auto"/>
                  <w:shd w:val="clear" w:color="auto" w:fill="auto"/>
                  <w:vAlign w:val="center"/>
                  <w:hideMark/>
                </w:tcPr>
                <w:p w14:paraId="450FAC81" w14:textId="77777777" w:rsidR="001C7E6F" w:rsidRPr="008F5EF1" w:rsidRDefault="001C7E6F" w:rsidP="00BD3046">
                  <w:pPr>
                    <w:spacing w:after="0" w:line="240" w:lineRule="auto"/>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 xml:space="preserve">    606.649.125 </w:t>
                  </w:r>
                </w:p>
              </w:tc>
              <w:tc>
                <w:tcPr>
                  <w:tcW w:w="0" w:type="auto"/>
                  <w:shd w:val="clear" w:color="auto" w:fill="auto"/>
                  <w:vAlign w:val="center"/>
                  <w:hideMark/>
                </w:tcPr>
                <w:p w14:paraId="05599D4B" w14:textId="77777777" w:rsidR="001C7E6F" w:rsidRPr="008F5EF1" w:rsidRDefault="001C7E6F" w:rsidP="00BD3046">
                  <w:pPr>
                    <w:spacing w:after="0" w:line="240" w:lineRule="auto"/>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 xml:space="preserve">    397.722.422 </w:t>
                  </w:r>
                </w:p>
              </w:tc>
            </w:tr>
            <w:tr w:rsidR="001C7E6F" w:rsidRPr="008F5EF1" w14:paraId="09DA2803" w14:textId="77777777" w:rsidTr="00BD3046">
              <w:trPr>
                <w:trHeight w:val="240"/>
              </w:trPr>
              <w:tc>
                <w:tcPr>
                  <w:tcW w:w="0" w:type="auto"/>
                  <w:shd w:val="clear" w:color="auto" w:fill="auto"/>
                  <w:noWrap/>
                  <w:vAlign w:val="center"/>
                  <w:hideMark/>
                </w:tcPr>
                <w:p w14:paraId="01526DC7" w14:textId="77777777" w:rsidR="001C7E6F" w:rsidRPr="008F5EF1" w:rsidRDefault="001C7E6F" w:rsidP="00BD3046">
                  <w:pPr>
                    <w:spacing w:after="0" w:line="240" w:lineRule="auto"/>
                    <w:rPr>
                      <w:rFonts w:asciiTheme="minorHAnsi" w:eastAsia="Times New Roman" w:hAnsiTheme="minorHAnsi" w:cstheme="minorHAnsi"/>
                      <w:b/>
                      <w:bCs/>
                      <w:color w:val="C00000"/>
                      <w:sz w:val="14"/>
                      <w:szCs w:val="16"/>
                      <w:lang w:eastAsia="pt-BR"/>
                    </w:rPr>
                  </w:pPr>
                  <w:r w:rsidRPr="008F5EF1">
                    <w:rPr>
                      <w:rFonts w:asciiTheme="minorHAnsi" w:eastAsia="Times New Roman" w:hAnsiTheme="minorHAnsi" w:cstheme="minorHAnsi"/>
                      <w:b/>
                      <w:bCs/>
                      <w:color w:val="C00000"/>
                      <w:sz w:val="14"/>
                      <w:szCs w:val="16"/>
                      <w:lang w:eastAsia="pt-BR"/>
                    </w:rPr>
                    <w:t>[=k/d]</w:t>
                  </w:r>
                </w:p>
              </w:tc>
              <w:tc>
                <w:tcPr>
                  <w:tcW w:w="0" w:type="auto"/>
                  <w:shd w:val="clear" w:color="auto" w:fill="auto"/>
                  <w:vAlign w:val="center"/>
                  <w:hideMark/>
                </w:tcPr>
                <w:p w14:paraId="524A1CD2" w14:textId="77777777" w:rsidR="001C7E6F" w:rsidRPr="008F5EF1" w:rsidRDefault="001C7E6F" w:rsidP="00BD3046">
                  <w:pPr>
                    <w:spacing w:after="0" w:line="240" w:lineRule="auto"/>
                    <w:rPr>
                      <w:rFonts w:asciiTheme="minorHAnsi" w:eastAsia="Times New Roman" w:hAnsiTheme="minorHAnsi" w:cstheme="minorHAnsi"/>
                      <w:b/>
                      <w:bCs/>
                      <w:color w:val="C00000"/>
                      <w:sz w:val="14"/>
                      <w:szCs w:val="16"/>
                      <w:lang w:eastAsia="pt-BR"/>
                    </w:rPr>
                  </w:pPr>
                  <w:r w:rsidRPr="008F5EF1">
                    <w:rPr>
                      <w:rFonts w:asciiTheme="minorHAnsi" w:eastAsia="Times New Roman" w:hAnsiTheme="minorHAnsi" w:cstheme="minorHAnsi"/>
                      <w:b/>
                      <w:bCs/>
                      <w:color w:val="C00000"/>
                      <w:sz w:val="14"/>
                      <w:szCs w:val="16"/>
                      <w:lang w:eastAsia="pt-BR"/>
                    </w:rPr>
                    <w:t>Índice de Inexecução Financeira</w:t>
                  </w:r>
                </w:p>
              </w:tc>
              <w:tc>
                <w:tcPr>
                  <w:tcW w:w="0" w:type="auto"/>
                  <w:shd w:val="clear" w:color="auto" w:fill="auto"/>
                  <w:vAlign w:val="center"/>
                  <w:hideMark/>
                </w:tcPr>
                <w:p w14:paraId="0040809B"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17,44%</w:t>
                  </w:r>
                </w:p>
              </w:tc>
              <w:tc>
                <w:tcPr>
                  <w:tcW w:w="0" w:type="auto"/>
                  <w:shd w:val="clear" w:color="auto" w:fill="auto"/>
                  <w:vAlign w:val="center"/>
                  <w:hideMark/>
                </w:tcPr>
                <w:p w14:paraId="459270DB"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20,30%</w:t>
                  </w:r>
                </w:p>
              </w:tc>
              <w:tc>
                <w:tcPr>
                  <w:tcW w:w="0" w:type="auto"/>
                  <w:shd w:val="clear" w:color="auto" w:fill="auto"/>
                  <w:vAlign w:val="center"/>
                  <w:hideMark/>
                </w:tcPr>
                <w:p w14:paraId="1E006465"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16,21%</w:t>
                  </w:r>
                </w:p>
              </w:tc>
              <w:tc>
                <w:tcPr>
                  <w:tcW w:w="0" w:type="auto"/>
                  <w:shd w:val="clear" w:color="auto" w:fill="auto"/>
                  <w:vAlign w:val="center"/>
                  <w:hideMark/>
                </w:tcPr>
                <w:p w14:paraId="10182899"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15,51%</w:t>
                  </w:r>
                </w:p>
              </w:tc>
            </w:tr>
            <w:tr w:rsidR="001C7E6F" w:rsidRPr="008F5EF1" w14:paraId="4F25B7CA" w14:textId="77777777" w:rsidTr="00BD3046">
              <w:trPr>
                <w:trHeight w:val="240"/>
              </w:trPr>
              <w:tc>
                <w:tcPr>
                  <w:tcW w:w="0" w:type="auto"/>
                  <w:shd w:val="clear" w:color="auto" w:fill="auto"/>
                  <w:noWrap/>
                  <w:vAlign w:val="center"/>
                  <w:hideMark/>
                </w:tcPr>
                <w:p w14:paraId="113DB7EF"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[=a*30%]</w:t>
                  </w:r>
                </w:p>
              </w:tc>
              <w:tc>
                <w:tcPr>
                  <w:tcW w:w="0" w:type="auto"/>
                  <w:shd w:val="clear" w:color="auto" w:fill="auto"/>
                  <w:vAlign w:val="center"/>
                  <w:hideMark/>
                </w:tcPr>
                <w:p w14:paraId="07C61230"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Perda Potencial</w:t>
                  </w:r>
                </w:p>
              </w:tc>
              <w:tc>
                <w:tcPr>
                  <w:tcW w:w="0" w:type="auto"/>
                  <w:shd w:val="clear" w:color="auto" w:fill="auto"/>
                  <w:vAlign w:val="center"/>
                  <w:hideMark/>
                </w:tcPr>
                <w:p w14:paraId="54B45E0E" w14:textId="77777777" w:rsidR="001C7E6F" w:rsidRPr="008F5EF1" w:rsidRDefault="001C7E6F" w:rsidP="00BD3046">
                  <w:pPr>
                    <w:spacing w:after="0" w:line="240" w:lineRule="auto"/>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 xml:space="preserve">4.693.654.319 </w:t>
                  </w:r>
                </w:p>
              </w:tc>
              <w:tc>
                <w:tcPr>
                  <w:tcW w:w="0" w:type="auto"/>
                  <w:shd w:val="clear" w:color="auto" w:fill="auto"/>
                  <w:vAlign w:val="center"/>
                  <w:hideMark/>
                </w:tcPr>
                <w:p w14:paraId="268915C8" w14:textId="77777777" w:rsidR="001C7E6F" w:rsidRPr="008F5EF1" w:rsidRDefault="001C7E6F" w:rsidP="00BD3046">
                  <w:pPr>
                    <w:spacing w:after="0" w:line="240" w:lineRule="auto"/>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 xml:space="preserve">1.421.906.956 </w:t>
                  </w:r>
                </w:p>
              </w:tc>
              <w:tc>
                <w:tcPr>
                  <w:tcW w:w="0" w:type="auto"/>
                  <w:shd w:val="clear" w:color="auto" w:fill="auto"/>
                  <w:vAlign w:val="center"/>
                  <w:hideMark/>
                </w:tcPr>
                <w:p w14:paraId="74155333" w14:textId="77777777" w:rsidR="001C7E6F" w:rsidRPr="008F5EF1" w:rsidRDefault="001C7E6F" w:rsidP="00BD3046">
                  <w:pPr>
                    <w:spacing w:after="0" w:line="240" w:lineRule="auto"/>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 xml:space="preserve">1.602.021.675 </w:t>
                  </w:r>
                </w:p>
              </w:tc>
              <w:tc>
                <w:tcPr>
                  <w:tcW w:w="0" w:type="auto"/>
                  <w:shd w:val="clear" w:color="auto" w:fill="auto"/>
                  <w:vAlign w:val="center"/>
                  <w:hideMark/>
                </w:tcPr>
                <w:p w14:paraId="7125B88C" w14:textId="77777777" w:rsidR="001C7E6F" w:rsidRPr="008F5EF1" w:rsidRDefault="001C7E6F" w:rsidP="00BD3046">
                  <w:pPr>
                    <w:spacing w:after="0" w:line="240" w:lineRule="auto"/>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 xml:space="preserve">1.669.725.689 </w:t>
                  </w:r>
                </w:p>
              </w:tc>
            </w:tr>
            <w:tr w:rsidR="001C7E6F" w:rsidRPr="008F5EF1" w14:paraId="6A3BDC78" w14:textId="77777777" w:rsidTr="00BD3046">
              <w:trPr>
                <w:trHeight w:val="240"/>
              </w:trPr>
              <w:tc>
                <w:tcPr>
                  <w:tcW w:w="0" w:type="auto"/>
                  <w:shd w:val="clear" w:color="auto" w:fill="auto"/>
                  <w:noWrap/>
                  <w:vAlign w:val="center"/>
                  <w:hideMark/>
                </w:tcPr>
                <w:p w14:paraId="75088DA2"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[=i/e*100]</w:t>
                  </w:r>
                </w:p>
              </w:tc>
              <w:tc>
                <w:tcPr>
                  <w:tcW w:w="0" w:type="auto"/>
                  <w:shd w:val="clear" w:color="auto" w:fill="auto"/>
                  <w:vAlign w:val="center"/>
                  <w:hideMark/>
                </w:tcPr>
                <w:p w14:paraId="642E641B"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Índice de Execução Orçamentária Inicial</w:t>
                  </w:r>
                </w:p>
              </w:tc>
              <w:tc>
                <w:tcPr>
                  <w:tcW w:w="0" w:type="auto"/>
                  <w:shd w:val="clear" w:color="auto" w:fill="auto"/>
                  <w:vAlign w:val="center"/>
                  <w:hideMark/>
                </w:tcPr>
                <w:p w14:paraId="62C33B25"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86,14%</w:t>
                  </w:r>
                </w:p>
              </w:tc>
              <w:tc>
                <w:tcPr>
                  <w:tcW w:w="0" w:type="auto"/>
                  <w:shd w:val="clear" w:color="auto" w:fill="auto"/>
                  <w:vAlign w:val="center"/>
                  <w:hideMark/>
                </w:tcPr>
                <w:p w14:paraId="76C0E463"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90,11%</w:t>
                  </w:r>
                </w:p>
              </w:tc>
              <w:tc>
                <w:tcPr>
                  <w:tcW w:w="0" w:type="auto"/>
                  <w:shd w:val="clear" w:color="auto" w:fill="auto"/>
                  <w:vAlign w:val="center"/>
                  <w:hideMark/>
                </w:tcPr>
                <w:p w14:paraId="6106A405"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99,41%</w:t>
                  </w:r>
                </w:p>
              </w:tc>
              <w:tc>
                <w:tcPr>
                  <w:tcW w:w="0" w:type="auto"/>
                  <w:shd w:val="clear" w:color="auto" w:fill="auto"/>
                  <w:vAlign w:val="center"/>
                  <w:hideMark/>
                </w:tcPr>
                <w:p w14:paraId="56CF4FF9"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69,26%</w:t>
                  </w:r>
                </w:p>
              </w:tc>
            </w:tr>
            <w:tr w:rsidR="001C7E6F" w:rsidRPr="008F5EF1" w14:paraId="22775A7D" w14:textId="77777777" w:rsidTr="00BD3046">
              <w:trPr>
                <w:trHeight w:val="240"/>
              </w:trPr>
              <w:tc>
                <w:tcPr>
                  <w:tcW w:w="0" w:type="auto"/>
                  <w:shd w:val="clear" w:color="auto" w:fill="auto"/>
                  <w:noWrap/>
                  <w:vAlign w:val="center"/>
                  <w:hideMark/>
                </w:tcPr>
                <w:p w14:paraId="1585DFB5"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[=i/f*100]</w:t>
                  </w:r>
                </w:p>
              </w:tc>
              <w:tc>
                <w:tcPr>
                  <w:tcW w:w="0" w:type="auto"/>
                  <w:shd w:val="clear" w:color="auto" w:fill="auto"/>
                  <w:vAlign w:val="center"/>
                  <w:hideMark/>
                </w:tcPr>
                <w:p w14:paraId="4BE3DCBF"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Índice de Execução Orçamentária Atualizada</w:t>
                  </w:r>
                </w:p>
              </w:tc>
              <w:tc>
                <w:tcPr>
                  <w:tcW w:w="0" w:type="auto"/>
                  <w:shd w:val="clear" w:color="auto" w:fill="auto"/>
                  <w:vAlign w:val="center"/>
                  <w:hideMark/>
                </w:tcPr>
                <w:p w14:paraId="7F987BDA"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84,59%</w:t>
                  </w:r>
                </w:p>
              </w:tc>
              <w:tc>
                <w:tcPr>
                  <w:tcW w:w="0" w:type="auto"/>
                  <w:shd w:val="clear" w:color="auto" w:fill="auto"/>
                  <w:vAlign w:val="center"/>
                  <w:hideMark/>
                </w:tcPr>
                <w:p w14:paraId="17D44CB0"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87,67%</w:t>
                  </w:r>
                </w:p>
              </w:tc>
              <w:tc>
                <w:tcPr>
                  <w:tcW w:w="0" w:type="auto"/>
                  <w:shd w:val="clear" w:color="auto" w:fill="auto"/>
                  <w:vAlign w:val="center"/>
                  <w:hideMark/>
                </w:tcPr>
                <w:p w14:paraId="468EC465"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96,85%</w:t>
                  </w:r>
                </w:p>
              </w:tc>
              <w:tc>
                <w:tcPr>
                  <w:tcW w:w="0" w:type="auto"/>
                  <w:shd w:val="clear" w:color="auto" w:fill="auto"/>
                  <w:vAlign w:val="center"/>
                  <w:hideMark/>
                </w:tcPr>
                <w:p w14:paraId="6E1122F7"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69,17%</w:t>
                  </w:r>
                </w:p>
              </w:tc>
            </w:tr>
            <w:tr w:rsidR="001C7E6F" w:rsidRPr="008F5EF1" w14:paraId="43C7A0FB" w14:textId="77777777" w:rsidTr="00BD3046">
              <w:trPr>
                <w:trHeight w:val="240"/>
              </w:trPr>
              <w:tc>
                <w:tcPr>
                  <w:tcW w:w="0" w:type="auto"/>
                  <w:shd w:val="clear" w:color="auto" w:fill="auto"/>
                  <w:noWrap/>
                  <w:vAlign w:val="center"/>
                  <w:hideMark/>
                </w:tcPr>
                <w:p w14:paraId="57D73185"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[=j/f*100]</w:t>
                  </w:r>
                </w:p>
              </w:tc>
              <w:tc>
                <w:tcPr>
                  <w:tcW w:w="0" w:type="auto"/>
                  <w:shd w:val="clear" w:color="auto" w:fill="auto"/>
                  <w:vAlign w:val="center"/>
                  <w:hideMark/>
                </w:tcPr>
                <w:p w14:paraId="7593996C"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Índice de Pagamento sobre Orçamento</w:t>
                  </w:r>
                </w:p>
              </w:tc>
              <w:tc>
                <w:tcPr>
                  <w:tcW w:w="0" w:type="auto"/>
                  <w:shd w:val="clear" w:color="auto" w:fill="auto"/>
                  <w:vAlign w:val="center"/>
                  <w:hideMark/>
                </w:tcPr>
                <w:p w14:paraId="3A71C9D5"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82,75%</w:t>
                  </w:r>
                </w:p>
              </w:tc>
              <w:tc>
                <w:tcPr>
                  <w:tcW w:w="0" w:type="auto"/>
                  <w:shd w:val="clear" w:color="auto" w:fill="auto"/>
                  <w:vAlign w:val="center"/>
                  <w:hideMark/>
                </w:tcPr>
                <w:p w14:paraId="3A58C520"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86,39%</w:t>
                  </w:r>
                </w:p>
              </w:tc>
              <w:tc>
                <w:tcPr>
                  <w:tcW w:w="0" w:type="auto"/>
                  <w:shd w:val="clear" w:color="auto" w:fill="auto"/>
                  <w:vAlign w:val="center"/>
                  <w:hideMark/>
                </w:tcPr>
                <w:p w14:paraId="7A8F20CE"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94,87%</w:t>
                  </w:r>
                </w:p>
              </w:tc>
              <w:tc>
                <w:tcPr>
                  <w:tcW w:w="0" w:type="auto"/>
                  <w:shd w:val="clear" w:color="auto" w:fill="auto"/>
                  <w:vAlign w:val="center"/>
                  <w:hideMark/>
                </w:tcPr>
                <w:p w14:paraId="5FEA8A47"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66,93%</w:t>
                  </w:r>
                </w:p>
              </w:tc>
            </w:tr>
            <w:tr w:rsidR="001C7E6F" w:rsidRPr="008F5EF1" w14:paraId="14460CCB" w14:textId="77777777" w:rsidTr="00BD3046">
              <w:trPr>
                <w:trHeight w:val="240"/>
              </w:trPr>
              <w:tc>
                <w:tcPr>
                  <w:tcW w:w="0" w:type="auto"/>
                  <w:shd w:val="clear" w:color="auto" w:fill="auto"/>
                  <w:noWrap/>
                  <w:vAlign w:val="center"/>
                  <w:hideMark/>
                </w:tcPr>
                <w:p w14:paraId="5C779932"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[=j/i*100]</w:t>
                  </w:r>
                </w:p>
              </w:tc>
              <w:tc>
                <w:tcPr>
                  <w:tcW w:w="0" w:type="auto"/>
                  <w:shd w:val="clear" w:color="auto" w:fill="auto"/>
                  <w:vAlign w:val="center"/>
                  <w:hideMark/>
                </w:tcPr>
                <w:p w14:paraId="733CEF19"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C00000"/>
                      <w:sz w:val="14"/>
                      <w:szCs w:val="16"/>
                      <w:lang w:eastAsia="pt-BR"/>
                    </w:rPr>
                    <w:t>Índice de Pagamento sobre Execução</w:t>
                  </w:r>
                </w:p>
              </w:tc>
              <w:tc>
                <w:tcPr>
                  <w:tcW w:w="0" w:type="auto"/>
                  <w:shd w:val="clear" w:color="auto" w:fill="auto"/>
                  <w:vAlign w:val="center"/>
                  <w:hideMark/>
                </w:tcPr>
                <w:p w14:paraId="03AD8D6B"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97,82%</w:t>
                  </w:r>
                </w:p>
              </w:tc>
              <w:tc>
                <w:tcPr>
                  <w:tcW w:w="0" w:type="auto"/>
                  <w:shd w:val="clear" w:color="auto" w:fill="auto"/>
                  <w:vAlign w:val="center"/>
                  <w:hideMark/>
                </w:tcPr>
                <w:p w14:paraId="3416F4C0"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98,54%</w:t>
                  </w:r>
                </w:p>
              </w:tc>
              <w:tc>
                <w:tcPr>
                  <w:tcW w:w="0" w:type="auto"/>
                  <w:shd w:val="clear" w:color="auto" w:fill="auto"/>
                  <w:vAlign w:val="center"/>
                  <w:hideMark/>
                </w:tcPr>
                <w:p w14:paraId="6FB82A09"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97,96%</w:t>
                  </w:r>
                </w:p>
              </w:tc>
              <w:tc>
                <w:tcPr>
                  <w:tcW w:w="0" w:type="auto"/>
                  <w:shd w:val="clear" w:color="auto" w:fill="auto"/>
                  <w:vAlign w:val="center"/>
                  <w:hideMark/>
                </w:tcPr>
                <w:p w14:paraId="073195A2"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96,75%</w:t>
                  </w:r>
                </w:p>
              </w:tc>
            </w:tr>
            <w:tr w:rsidR="001C7E6F" w:rsidRPr="008F5EF1" w14:paraId="571D5682" w14:textId="77777777" w:rsidTr="00BD3046">
              <w:trPr>
                <w:trHeight w:val="240"/>
              </w:trPr>
              <w:tc>
                <w:tcPr>
                  <w:tcW w:w="0" w:type="auto"/>
                  <w:shd w:val="clear" w:color="auto" w:fill="auto"/>
                  <w:noWrap/>
                  <w:vAlign w:val="center"/>
                  <w:hideMark/>
                </w:tcPr>
                <w:p w14:paraId="5E659046"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[=j/d*100]</w:t>
                  </w:r>
                </w:p>
              </w:tc>
              <w:tc>
                <w:tcPr>
                  <w:tcW w:w="0" w:type="auto"/>
                  <w:shd w:val="clear" w:color="auto" w:fill="auto"/>
                  <w:vAlign w:val="center"/>
                  <w:hideMark/>
                </w:tcPr>
                <w:p w14:paraId="795CC709"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Índice de Execução Financeira</w:t>
                  </w:r>
                </w:p>
              </w:tc>
              <w:tc>
                <w:tcPr>
                  <w:tcW w:w="0" w:type="auto"/>
                  <w:shd w:val="clear" w:color="auto" w:fill="auto"/>
                  <w:vAlign w:val="center"/>
                  <w:hideMark/>
                </w:tcPr>
                <w:p w14:paraId="774C9CE7"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82,56%</w:t>
                  </w:r>
                </w:p>
              </w:tc>
              <w:tc>
                <w:tcPr>
                  <w:tcW w:w="0" w:type="auto"/>
                  <w:shd w:val="clear" w:color="auto" w:fill="auto"/>
                  <w:vAlign w:val="center"/>
                  <w:hideMark/>
                </w:tcPr>
                <w:p w14:paraId="512C34D7"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79,70%</w:t>
                  </w:r>
                </w:p>
              </w:tc>
              <w:tc>
                <w:tcPr>
                  <w:tcW w:w="0" w:type="auto"/>
                  <w:shd w:val="clear" w:color="auto" w:fill="auto"/>
                  <w:vAlign w:val="center"/>
                  <w:hideMark/>
                </w:tcPr>
                <w:p w14:paraId="27F3FDBD"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83,79%</w:t>
                  </w:r>
                </w:p>
              </w:tc>
              <w:tc>
                <w:tcPr>
                  <w:tcW w:w="0" w:type="auto"/>
                  <w:shd w:val="clear" w:color="auto" w:fill="auto"/>
                  <w:vAlign w:val="center"/>
                  <w:hideMark/>
                </w:tcPr>
                <w:p w14:paraId="565A0923"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84,49%</w:t>
                  </w:r>
                </w:p>
              </w:tc>
            </w:tr>
            <w:tr w:rsidR="001C7E6F" w:rsidRPr="008F5EF1" w14:paraId="0B0ECDB1" w14:textId="77777777" w:rsidTr="00BD3046">
              <w:trPr>
                <w:trHeight w:val="240"/>
              </w:trPr>
              <w:tc>
                <w:tcPr>
                  <w:tcW w:w="0" w:type="auto"/>
                  <w:shd w:val="clear" w:color="auto" w:fill="auto"/>
                  <w:noWrap/>
                  <w:vAlign w:val="center"/>
                  <w:hideMark/>
                </w:tcPr>
                <w:p w14:paraId="1B8CAE6B"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[=g/e*100]</w:t>
                  </w:r>
                </w:p>
              </w:tc>
              <w:tc>
                <w:tcPr>
                  <w:tcW w:w="0" w:type="auto"/>
                  <w:shd w:val="clear" w:color="auto" w:fill="auto"/>
                  <w:noWrap/>
                  <w:vAlign w:val="center"/>
                  <w:hideMark/>
                </w:tcPr>
                <w:p w14:paraId="7F0BF5A4"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Índice de Alteração Orçamentária</w:t>
                  </w:r>
                </w:p>
              </w:tc>
              <w:tc>
                <w:tcPr>
                  <w:tcW w:w="0" w:type="auto"/>
                  <w:shd w:val="clear" w:color="auto" w:fill="auto"/>
                  <w:noWrap/>
                  <w:vAlign w:val="center"/>
                  <w:hideMark/>
                </w:tcPr>
                <w:p w14:paraId="08DB8C51"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1,83%</w:t>
                  </w:r>
                </w:p>
              </w:tc>
              <w:tc>
                <w:tcPr>
                  <w:tcW w:w="0" w:type="auto"/>
                  <w:shd w:val="clear" w:color="auto" w:fill="auto"/>
                  <w:noWrap/>
                  <w:vAlign w:val="center"/>
                  <w:hideMark/>
                </w:tcPr>
                <w:p w14:paraId="69A2BD17"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2,78%</w:t>
                  </w:r>
                </w:p>
              </w:tc>
              <w:tc>
                <w:tcPr>
                  <w:tcW w:w="0" w:type="auto"/>
                  <w:shd w:val="clear" w:color="auto" w:fill="auto"/>
                  <w:noWrap/>
                  <w:vAlign w:val="center"/>
                  <w:hideMark/>
                </w:tcPr>
                <w:p w14:paraId="233D0801"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2,64%</w:t>
                  </w:r>
                </w:p>
              </w:tc>
              <w:tc>
                <w:tcPr>
                  <w:tcW w:w="0" w:type="auto"/>
                  <w:shd w:val="clear" w:color="auto" w:fill="auto"/>
                  <w:noWrap/>
                  <w:vAlign w:val="center"/>
                  <w:hideMark/>
                </w:tcPr>
                <w:p w14:paraId="7768D05F"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0,14%</w:t>
                  </w:r>
                </w:p>
              </w:tc>
            </w:tr>
            <w:tr w:rsidR="001C7E6F" w:rsidRPr="008F5EF1" w14:paraId="4D9F396B" w14:textId="77777777" w:rsidTr="00BD3046">
              <w:trPr>
                <w:trHeight w:val="240"/>
              </w:trPr>
              <w:tc>
                <w:tcPr>
                  <w:tcW w:w="0" w:type="auto"/>
                  <w:shd w:val="clear" w:color="auto" w:fill="auto"/>
                  <w:noWrap/>
                  <w:vAlign w:val="center"/>
                  <w:hideMark/>
                </w:tcPr>
                <w:p w14:paraId="51F5B878"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[=h/f*100]</w:t>
                  </w:r>
                </w:p>
              </w:tc>
              <w:tc>
                <w:tcPr>
                  <w:tcW w:w="0" w:type="auto"/>
                  <w:shd w:val="clear" w:color="auto" w:fill="auto"/>
                  <w:noWrap/>
                  <w:vAlign w:val="center"/>
                  <w:hideMark/>
                </w:tcPr>
                <w:p w14:paraId="5AB2C422"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Índice de Contingenciamento</w:t>
                  </w:r>
                </w:p>
              </w:tc>
              <w:tc>
                <w:tcPr>
                  <w:tcW w:w="0" w:type="auto"/>
                  <w:shd w:val="clear" w:color="auto" w:fill="auto"/>
                  <w:noWrap/>
                  <w:vAlign w:val="center"/>
                  <w:hideMark/>
                </w:tcPr>
                <w:p w14:paraId="171B45D0"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5,11%</w:t>
                  </w:r>
                </w:p>
              </w:tc>
              <w:tc>
                <w:tcPr>
                  <w:tcW w:w="0" w:type="auto"/>
                  <w:shd w:val="clear" w:color="auto" w:fill="auto"/>
                  <w:noWrap/>
                  <w:vAlign w:val="center"/>
                  <w:hideMark/>
                </w:tcPr>
                <w:p w14:paraId="0C5200E7"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5,26%</w:t>
                  </w:r>
                </w:p>
              </w:tc>
              <w:tc>
                <w:tcPr>
                  <w:tcW w:w="0" w:type="auto"/>
                  <w:shd w:val="clear" w:color="auto" w:fill="auto"/>
                  <w:noWrap/>
                  <w:vAlign w:val="center"/>
                  <w:hideMark/>
                </w:tcPr>
                <w:p w14:paraId="40F94435"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1,28%</w:t>
                  </w:r>
                </w:p>
              </w:tc>
              <w:tc>
                <w:tcPr>
                  <w:tcW w:w="0" w:type="auto"/>
                  <w:shd w:val="clear" w:color="auto" w:fill="auto"/>
                  <w:noWrap/>
                  <w:vAlign w:val="center"/>
                  <w:hideMark/>
                </w:tcPr>
                <w:p w14:paraId="35BA7820"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8,87%</w:t>
                  </w:r>
                </w:p>
              </w:tc>
            </w:tr>
            <w:tr w:rsidR="001C7E6F" w:rsidRPr="008F5EF1" w14:paraId="57CA4EB0" w14:textId="77777777" w:rsidTr="00BD3046">
              <w:trPr>
                <w:trHeight w:val="240"/>
              </w:trPr>
              <w:tc>
                <w:tcPr>
                  <w:tcW w:w="0" w:type="auto"/>
                  <w:shd w:val="clear" w:color="auto" w:fill="auto"/>
                  <w:noWrap/>
                  <w:vAlign w:val="center"/>
                  <w:hideMark/>
                </w:tcPr>
                <w:p w14:paraId="706A96E2"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[=l/i*100]</w:t>
                  </w:r>
                </w:p>
              </w:tc>
              <w:tc>
                <w:tcPr>
                  <w:tcW w:w="0" w:type="auto"/>
                  <w:shd w:val="clear" w:color="auto" w:fill="auto"/>
                  <w:noWrap/>
                  <w:vAlign w:val="center"/>
                  <w:hideMark/>
                </w:tcPr>
                <w:p w14:paraId="442B5436" w14:textId="77777777" w:rsidR="001C7E6F" w:rsidRPr="008F5EF1" w:rsidRDefault="001C7E6F" w:rsidP="00BD3046">
                  <w:pPr>
                    <w:spacing w:after="0" w:line="240" w:lineRule="auto"/>
                    <w:rPr>
                      <w:rFonts w:asciiTheme="minorHAnsi" w:eastAsia="Times New Roman" w:hAnsiTheme="minorHAnsi" w:cstheme="minorHAnsi"/>
                      <w:b/>
                      <w:bCs/>
                      <w:color w:val="000000"/>
                      <w:sz w:val="14"/>
                      <w:szCs w:val="16"/>
                      <w:lang w:eastAsia="pt-BR"/>
                    </w:rPr>
                  </w:pPr>
                  <w:r w:rsidRPr="008F5EF1">
                    <w:rPr>
                      <w:rFonts w:asciiTheme="minorHAnsi" w:eastAsia="Times New Roman" w:hAnsiTheme="minorHAnsi" w:cstheme="minorHAnsi"/>
                      <w:b/>
                      <w:bCs/>
                      <w:color w:val="000000"/>
                      <w:sz w:val="14"/>
                      <w:szCs w:val="16"/>
                      <w:lang w:eastAsia="pt-BR"/>
                    </w:rPr>
                    <w:t>Índice de Restos a Pagar</w:t>
                  </w:r>
                </w:p>
              </w:tc>
              <w:tc>
                <w:tcPr>
                  <w:tcW w:w="0" w:type="auto"/>
                  <w:shd w:val="clear" w:color="auto" w:fill="auto"/>
                  <w:noWrap/>
                  <w:vAlign w:val="center"/>
                  <w:hideMark/>
                </w:tcPr>
                <w:p w14:paraId="4D4A7C0D"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2,18%</w:t>
                  </w:r>
                </w:p>
              </w:tc>
              <w:tc>
                <w:tcPr>
                  <w:tcW w:w="0" w:type="auto"/>
                  <w:shd w:val="clear" w:color="auto" w:fill="auto"/>
                  <w:noWrap/>
                  <w:vAlign w:val="center"/>
                  <w:hideMark/>
                </w:tcPr>
                <w:p w14:paraId="3D85CFCC"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1,46%</w:t>
                  </w:r>
                </w:p>
              </w:tc>
              <w:tc>
                <w:tcPr>
                  <w:tcW w:w="0" w:type="auto"/>
                  <w:shd w:val="clear" w:color="auto" w:fill="auto"/>
                  <w:noWrap/>
                  <w:vAlign w:val="center"/>
                  <w:hideMark/>
                </w:tcPr>
                <w:p w14:paraId="51818D1D"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2,04%</w:t>
                  </w:r>
                </w:p>
              </w:tc>
              <w:tc>
                <w:tcPr>
                  <w:tcW w:w="0" w:type="auto"/>
                  <w:shd w:val="clear" w:color="auto" w:fill="auto"/>
                  <w:noWrap/>
                  <w:vAlign w:val="center"/>
                  <w:hideMark/>
                </w:tcPr>
                <w:p w14:paraId="720F80BA" w14:textId="77777777" w:rsidR="001C7E6F" w:rsidRPr="008F5EF1" w:rsidRDefault="001C7E6F" w:rsidP="00BD3046">
                  <w:pPr>
                    <w:spacing w:after="0" w:line="240" w:lineRule="auto"/>
                    <w:jc w:val="center"/>
                    <w:rPr>
                      <w:rFonts w:asciiTheme="minorHAnsi" w:eastAsia="Times New Roman" w:hAnsiTheme="minorHAnsi" w:cstheme="minorHAnsi"/>
                      <w:color w:val="000000"/>
                      <w:sz w:val="14"/>
                      <w:szCs w:val="16"/>
                      <w:lang w:eastAsia="pt-BR"/>
                    </w:rPr>
                  </w:pPr>
                  <w:r w:rsidRPr="008F5EF1">
                    <w:rPr>
                      <w:rFonts w:asciiTheme="minorHAnsi" w:eastAsia="Times New Roman" w:hAnsiTheme="minorHAnsi" w:cstheme="minorHAnsi"/>
                      <w:color w:val="000000"/>
                      <w:sz w:val="14"/>
                      <w:szCs w:val="16"/>
                      <w:lang w:eastAsia="pt-BR"/>
                    </w:rPr>
                    <w:t>-</w:t>
                  </w:r>
                </w:p>
              </w:tc>
            </w:tr>
          </w:tbl>
          <w:p w14:paraId="07399E2B" w14:textId="77777777" w:rsidR="001C7E6F" w:rsidRDefault="001C7E6F" w:rsidP="00BD3046">
            <w:pPr>
              <w:spacing w:after="0" w:line="240" w:lineRule="auto"/>
              <w:jc w:val="both"/>
              <w:rPr>
                <w:rFonts w:ascii="Arial" w:eastAsia="Arial" w:hAnsi="Arial" w:cs="Arial"/>
                <w:color w:val="000000"/>
                <w:sz w:val="18"/>
                <w:szCs w:val="18"/>
              </w:rPr>
            </w:pPr>
          </w:p>
          <w:p w14:paraId="48757E22" w14:textId="77777777" w:rsidR="001C7E6F" w:rsidRDefault="001C7E6F" w:rsidP="00BD3046">
            <w:pPr>
              <w:spacing w:after="0" w:line="240" w:lineRule="auto"/>
              <w:jc w:val="both"/>
              <w:rPr>
                <w:rFonts w:ascii="Arial" w:eastAsia="Arial" w:hAnsi="Arial" w:cs="Arial"/>
                <w:color w:val="000000"/>
                <w:sz w:val="18"/>
                <w:szCs w:val="18"/>
              </w:rPr>
            </w:pPr>
          </w:p>
          <w:p w14:paraId="5E74C620" w14:textId="77777777" w:rsidR="001C7E6F" w:rsidRDefault="001C7E6F" w:rsidP="00BD3046">
            <w:pPr>
              <w:spacing w:after="0" w:line="240" w:lineRule="auto"/>
              <w:jc w:val="both"/>
              <w:rPr>
                <w:rFonts w:ascii="Arial" w:eastAsia="Arial" w:hAnsi="Arial" w:cs="Arial"/>
                <w:color w:val="000000"/>
                <w:sz w:val="18"/>
                <w:szCs w:val="18"/>
              </w:rPr>
            </w:pPr>
            <w:r w:rsidRPr="00F32B0C">
              <w:rPr>
                <w:rFonts w:ascii="Arial" w:eastAsia="Arial" w:hAnsi="Arial" w:cs="Arial"/>
                <w:color w:val="000000"/>
                <w:sz w:val="18"/>
                <w:szCs w:val="18"/>
              </w:rPr>
              <w:t>Embora o Fundo tenha conseguido liquidar e pagar a maior parte da despesa, o Índice de Conversão Financeira acumulado ficou em 17,44%, o que significa que quase R$ 1,7 bilhão permaneceram sem uso no período (Saldo Financeiro do Exercício). Esse acúmulo reduz a efetividade social do gasto e aumenta o risco de desvinculação futura ou de utilização indevida.</w:t>
            </w:r>
          </w:p>
          <w:p w14:paraId="40E1A96B" w14:textId="77777777" w:rsidR="001C7E6F" w:rsidRDefault="001C7E6F" w:rsidP="00BD3046">
            <w:pPr>
              <w:spacing w:after="0" w:line="240" w:lineRule="auto"/>
              <w:jc w:val="both"/>
              <w:rPr>
                <w:rFonts w:ascii="Arial" w:eastAsia="Arial" w:hAnsi="Arial" w:cs="Arial"/>
                <w:color w:val="000000"/>
                <w:sz w:val="18"/>
                <w:szCs w:val="18"/>
              </w:rPr>
            </w:pPr>
          </w:p>
          <w:p w14:paraId="2C2D4803" w14:textId="77777777" w:rsidR="001C7E6F" w:rsidRPr="00F32B0C" w:rsidRDefault="001C7E6F" w:rsidP="00BD3046">
            <w:pPr>
              <w:spacing w:after="0" w:line="240" w:lineRule="auto"/>
              <w:jc w:val="both"/>
              <w:rPr>
                <w:rFonts w:ascii="Arial" w:eastAsia="Arial" w:hAnsi="Arial" w:cs="Arial"/>
                <w:color w:val="000000"/>
                <w:sz w:val="18"/>
                <w:szCs w:val="18"/>
              </w:rPr>
            </w:pPr>
            <w:r w:rsidRPr="00F32B0C">
              <w:rPr>
                <w:rFonts w:ascii="Arial" w:eastAsia="Arial" w:hAnsi="Arial" w:cs="Arial"/>
                <w:color w:val="000000"/>
                <w:sz w:val="18"/>
                <w:szCs w:val="18"/>
              </w:rPr>
              <w:t>A análise dos índices de execu</w:t>
            </w:r>
            <w:r>
              <w:rPr>
                <w:rFonts w:ascii="Arial" w:eastAsia="Arial" w:hAnsi="Arial" w:cs="Arial"/>
                <w:color w:val="000000"/>
                <w:sz w:val="18"/>
                <w:szCs w:val="18"/>
              </w:rPr>
              <w:t>ção revela nuances importantes:</w:t>
            </w:r>
          </w:p>
          <w:p w14:paraId="60306245" w14:textId="77777777" w:rsidR="001C7E6F" w:rsidRPr="00F32B0C" w:rsidRDefault="001C7E6F" w:rsidP="0032733E">
            <w:pPr>
              <w:pStyle w:val="PargrafodaLista"/>
              <w:numPr>
                <w:ilvl w:val="0"/>
                <w:numId w:val="26"/>
              </w:numPr>
              <w:spacing w:after="0" w:line="240" w:lineRule="auto"/>
              <w:ind w:left="469" w:hanging="283"/>
              <w:rPr>
                <w:rFonts w:eastAsia="Arial"/>
                <w:color w:val="000000"/>
                <w:sz w:val="18"/>
                <w:szCs w:val="18"/>
              </w:rPr>
            </w:pPr>
            <w:r w:rsidRPr="00F32B0C">
              <w:rPr>
                <w:rFonts w:eastAsia="Arial"/>
                <w:color w:val="000000"/>
                <w:sz w:val="18"/>
                <w:szCs w:val="18"/>
              </w:rPr>
              <w:t>Execução sobre a Dotação Inicial: 86,14%, dentro da meta mínima de 85%.</w:t>
            </w:r>
          </w:p>
          <w:p w14:paraId="3B36E056" w14:textId="77777777" w:rsidR="001C7E6F" w:rsidRPr="00F32B0C" w:rsidRDefault="001C7E6F" w:rsidP="0032733E">
            <w:pPr>
              <w:pStyle w:val="PargrafodaLista"/>
              <w:numPr>
                <w:ilvl w:val="0"/>
                <w:numId w:val="26"/>
              </w:numPr>
              <w:spacing w:after="0" w:line="240" w:lineRule="auto"/>
              <w:ind w:left="469" w:hanging="283"/>
              <w:rPr>
                <w:rFonts w:eastAsia="Arial"/>
                <w:color w:val="000000"/>
                <w:sz w:val="18"/>
                <w:szCs w:val="18"/>
              </w:rPr>
            </w:pPr>
            <w:r w:rsidRPr="00F32B0C">
              <w:rPr>
                <w:rFonts w:eastAsia="Arial"/>
                <w:color w:val="000000"/>
                <w:sz w:val="18"/>
                <w:szCs w:val="18"/>
              </w:rPr>
              <w:t xml:space="preserve">Execução sobre a Dotação Atualizada: 84,59%, levemente abaixo da meta. O dado mais crítico é 2025, </w:t>
            </w:r>
            <w:r>
              <w:rPr>
                <w:rFonts w:eastAsia="Arial"/>
                <w:color w:val="000000"/>
                <w:sz w:val="18"/>
                <w:szCs w:val="18"/>
              </w:rPr>
              <w:t xml:space="preserve">ainda em execução, </w:t>
            </w:r>
            <w:r w:rsidRPr="00F32B0C">
              <w:rPr>
                <w:rFonts w:eastAsia="Arial"/>
                <w:color w:val="000000"/>
                <w:sz w:val="18"/>
                <w:szCs w:val="18"/>
              </w:rPr>
              <w:t>com apenas 69,17%, evidenciando a incapacidade de absorver créditos adicionais.</w:t>
            </w:r>
          </w:p>
          <w:p w14:paraId="434912F7" w14:textId="77777777" w:rsidR="001C7E6F" w:rsidRDefault="001C7E6F" w:rsidP="00BD3046">
            <w:pPr>
              <w:spacing w:after="0" w:line="240" w:lineRule="auto"/>
              <w:jc w:val="both"/>
              <w:rPr>
                <w:rFonts w:ascii="Arial" w:eastAsia="Arial" w:hAnsi="Arial" w:cs="Arial"/>
                <w:color w:val="000000"/>
                <w:sz w:val="18"/>
                <w:szCs w:val="18"/>
              </w:rPr>
            </w:pPr>
            <w:r w:rsidRPr="00F32B0C">
              <w:rPr>
                <w:rFonts w:ascii="Arial" w:eastAsia="Arial" w:hAnsi="Arial" w:cs="Arial"/>
                <w:color w:val="000000"/>
                <w:sz w:val="18"/>
                <w:szCs w:val="18"/>
              </w:rPr>
              <w:t>Esses resultados sugerem que o Fundo mantém boa aderência ao orçamento original, mas apresenta limitações quando o orçamento é ampliado ao longo do exercício.</w:t>
            </w:r>
          </w:p>
          <w:p w14:paraId="656971C2" w14:textId="77777777" w:rsidR="001C7E6F" w:rsidRDefault="001C7E6F" w:rsidP="00BD3046">
            <w:pPr>
              <w:spacing w:after="0" w:line="240" w:lineRule="auto"/>
              <w:jc w:val="both"/>
              <w:rPr>
                <w:rFonts w:ascii="Arial" w:eastAsia="Arial" w:hAnsi="Arial" w:cs="Arial"/>
                <w:color w:val="000000"/>
                <w:sz w:val="18"/>
                <w:szCs w:val="18"/>
              </w:rPr>
            </w:pPr>
          </w:p>
          <w:p w14:paraId="193E0C20" w14:textId="77777777" w:rsidR="001C7E6F" w:rsidRDefault="001C7E6F" w:rsidP="00BD3046">
            <w:pPr>
              <w:spacing w:after="0" w:line="240" w:lineRule="auto"/>
              <w:jc w:val="both"/>
              <w:rPr>
                <w:rFonts w:ascii="Arial" w:eastAsia="Arial" w:hAnsi="Arial" w:cs="Arial"/>
                <w:color w:val="000000"/>
                <w:sz w:val="18"/>
                <w:szCs w:val="18"/>
              </w:rPr>
            </w:pPr>
            <w:r w:rsidRPr="00775904">
              <w:rPr>
                <w:rFonts w:ascii="Arial" w:eastAsia="Arial" w:hAnsi="Arial" w:cs="Arial"/>
                <w:color w:val="000000"/>
                <w:sz w:val="18"/>
                <w:szCs w:val="18"/>
              </w:rPr>
              <w:t xml:space="preserve">De forma geral, o Fundo mostra </w:t>
            </w:r>
            <w:r w:rsidRPr="00523CC0">
              <w:rPr>
                <w:rFonts w:ascii="Arial" w:eastAsia="Arial" w:hAnsi="Arial" w:cs="Arial"/>
                <w:b/>
                <w:color w:val="000000"/>
                <w:sz w:val="18"/>
                <w:szCs w:val="18"/>
              </w:rPr>
              <w:t>consistência arrecadatória e boa disciplina de pagamento</w:t>
            </w:r>
            <w:r w:rsidRPr="00775904">
              <w:rPr>
                <w:rFonts w:ascii="Arial" w:eastAsia="Arial" w:hAnsi="Arial" w:cs="Arial"/>
                <w:color w:val="000000"/>
                <w:sz w:val="18"/>
                <w:szCs w:val="18"/>
              </w:rPr>
              <w:t>, mas precisa avançar na previsibilidade da execução e no uso integral da dotação autorizada para reduzir sobras orçamentárias e ampliar a efetividade social do gasto.</w:t>
            </w:r>
          </w:p>
          <w:p w14:paraId="7C63E9A2" w14:textId="77777777" w:rsidR="001C7E6F" w:rsidRDefault="001C7E6F" w:rsidP="00BD3046">
            <w:pPr>
              <w:spacing w:after="0" w:line="240" w:lineRule="auto"/>
              <w:jc w:val="both"/>
              <w:rPr>
                <w:rFonts w:ascii="Arial" w:eastAsia="Arial" w:hAnsi="Arial" w:cs="Arial"/>
                <w:color w:val="000000"/>
                <w:sz w:val="18"/>
                <w:szCs w:val="18"/>
              </w:rPr>
            </w:pPr>
          </w:p>
          <w:p w14:paraId="2006ED08"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Assim pontuou o TCE-RJ, na prestação de contas de 2024: “</w:t>
            </w:r>
            <w:r w:rsidRPr="004500AA">
              <w:rPr>
                <w:rFonts w:ascii="Arial" w:eastAsia="Arial" w:hAnsi="Arial" w:cs="Arial"/>
                <w:color w:val="000000"/>
                <w:sz w:val="18"/>
                <w:szCs w:val="18"/>
              </w:rPr>
              <w:t xml:space="preserve">A despesa liquidada representou 59,87% da receita arrecadada. </w:t>
            </w:r>
            <w:r w:rsidRPr="004500AA">
              <w:rPr>
                <w:rFonts w:ascii="Arial" w:eastAsia="Arial" w:hAnsi="Arial" w:cs="Arial"/>
                <w:b/>
                <w:color w:val="000000"/>
                <w:sz w:val="18"/>
                <w:szCs w:val="18"/>
              </w:rPr>
              <w:t>O reduzido percentual de aplicação é resultado, em grande parte, da desvinculação promovida pelo ERJ, fundamentada na EC nº 93/16</w:t>
            </w:r>
            <w:r>
              <w:rPr>
                <w:rFonts w:ascii="Arial" w:eastAsia="Arial" w:hAnsi="Arial" w:cs="Arial"/>
                <w:color w:val="000000"/>
                <w:sz w:val="18"/>
                <w:szCs w:val="18"/>
              </w:rPr>
              <w:t>”:</w:t>
            </w:r>
          </w:p>
          <w:p w14:paraId="44C00514" w14:textId="77777777" w:rsidR="001C7E6F" w:rsidRDefault="001C7E6F" w:rsidP="00BD3046">
            <w:pPr>
              <w:spacing w:after="0" w:line="240" w:lineRule="auto"/>
              <w:jc w:val="both"/>
              <w:rPr>
                <w:rFonts w:ascii="Arial" w:eastAsia="Arial" w:hAnsi="Arial" w:cs="Arial"/>
                <w:color w:val="000000"/>
                <w:sz w:val="18"/>
                <w:szCs w:val="18"/>
              </w:rPr>
            </w:pPr>
          </w:p>
          <w:p w14:paraId="158F9A73" w14:textId="77777777" w:rsidR="001C7E6F" w:rsidRDefault="001C7E6F" w:rsidP="00BD3046">
            <w:pPr>
              <w:spacing w:after="0" w:line="240" w:lineRule="auto"/>
              <w:jc w:val="both"/>
              <w:rPr>
                <w:rFonts w:ascii="Arial" w:eastAsia="Arial" w:hAnsi="Arial" w:cs="Arial"/>
                <w:color w:val="000000"/>
                <w:sz w:val="18"/>
                <w:szCs w:val="18"/>
              </w:rPr>
            </w:pPr>
            <w:r>
              <w:rPr>
                <w:noProof/>
                <w:lang w:eastAsia="pt-BR"/>
              </w:rPr>
              <w:drawing>
                <wp:inline distT="0" distB="0" distL="0" distR="0" wp14:anchorId="2AA52EFC" wp14:editId="1E083E1C">
                  <wp:extent cx="4504491" cy="1773789"/>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07971" cy="1775159"/>
                          </a:xfrm>
                          <a:prstGeom prst="rect">
                            <a:avLst/>
                          </a:prstGeom>
                        </pic:spPr>
                      </pic:pic>
                    </a:graphicData>
                  </a:graphic>
                </wp:inline>
              </w:drawing>
            </w:r>
          </w:p>
          <w:p w14:paraId="4124DA83" w14:textId="77777777" w:rsidR="001C7E6F" w:rsidRDefault="001C7E6F" w:rsidP="00BD3046">
            <w:pPr>
              <w:spacing w:after="0" w:line="240" w:lineRule="auto"/>
              <w:jc w:val="both"/>
              <w:rPr>
                <w:rFonts w:ascii="Arial" w:eastAsia="Arial" w:hAnsi="Arial" w:cs="Arial"/>
                <w:color w:val="000000"/>
                <w:sz w:val="18"/>
                <w:szCs w:val="18"/>
              </w:rPr>
            </w:pPr>
          </w:p>
          <w:p w14:paraId="3DDF97ED"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 enfatizou o TCE-RJ, a partir dos valores globais de arrecadação (antes da desvinculação): “</w:t>
            </w:r>
            <w:r w:rsidRPr="004500AA">
              <w:rPr>
                <w:rFonts w:ascii="Arial" w:eastAsia="Arial" w:hAnsi="Arial" w:cs="Arial"/>
                <w:color w:val="000000"/>
                <w:sz w:val="18"/>
                <w:szCs w:val="18"/>
              </w:rPr>
              <w:t xml:space="preserve">Tendo em vista o superávit orçamentário acumulado </w:t>
            </w:r>
            <w:r w:rsidRPr="00F32B0C">
              <w:rPr>
                <w:rFonts w:ascii="Arial" w:eastAsia="Arial" w:hAnsi="Arial" w:cs="Arial"/>
                <w:b/>
                <w:color w:val="000000"/>
                <w:sz w:val="18"/>
                <w:szCs w:val="18"/>
              </w:rPr>
              <w:t>nos últimos seis anos</w:t>
            </w:r>
            <w:r w:rsidRPr="004500AA">
              <w:rPr>
                <w:rFonts w:ascii="Arial" w:eastAsia="Arial" w:hAnsi="Arial" w:cs="Arial"/>
                <w:color w:val="000000"/>
                <w:sz w:val="18"/>
                <w:szCs w:val="18"/>
              </w:rPr>
              <w:t xml:space="preserve"> (2019 a 2024) no montante de R$ 9.203,89 milhões sugere-se Comunicação ao Sr. Governador </w:t>
            </w:r>
            <w:r w:rsidRPr="004500AA">
              <w:rPr>
                <w:rFonts w:ascii="Arial" w:eastAsia="Arial" w:hAnsi="Arial" w:cs="Arial"/>
                <w:b/>
                <w:color w:val="000000"/>
                <w:sz w:val="18"/>
                <w:szCs w:val="18"/>
              </w:rPr>
              <w:t>para que estabeleça e execute um plano de ação visando garantir a aplicação dos recursos em políticas públicas para o combate da pobreza e desigualdade social</w:t>
            </w:r>
            <w:r>
              <w:rPr>
                <w:rFonts w:ascii="Arial" w:eastAsia="Arial" w:hAnsi="Arial" w:cs="Arial"/>
                <w:color w:val="000000"/>
                <w:sz w:val="18"/>
                <w:szCs w:val="18"/>
              </w:rPr>
              <w:t>”</w:t>
            </w:r>
            <w:r w:rsidRPr="004500AA">
              <w:rPr>
                <w:rFonts w:ascii="Arial" w:eastAsia="Arial" w:hAnsi="Arial" w:cs="Arial"/>
                <w:color w:val="000000"/>
                <w:sz w:val="18"/>
                <w:szCs w:val="18"/>
              </w:rPr>
              <w:t>.</w:t>
            </w:r>
          </w:p>
          <w:p w14:paraId="45D42BC0" w14:textId="77777777" w:rsidR="001C7E6F" w:rsidRDefault="001C7E6F" w:rsidP="00BD3046">
            <w:pPr>
              <w:spacing w:after="0" w:line="240" w:lineRule="auto"/>
              <w:jc w:val="both"/>
              <w:rPr>
                <w:rFonts w:ascii="Arial" w:eastAsia="Arial" w:hAnsi="Arial" w:cs="Arial"/>
                <w:color w:val="000000"/>
                <w:sz w:val="18"/>
                <w:szCs w:val="18"/>
              </w:rPr>
            </w:pPr>
          </w:p>
          <w:p w14:paraId="779F379E"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Noutro sentido, o percentual de 5% do FECP-RJ que deveria ter sido destinado ao </w:t>
            </w:r>
            <w:r w:rsidRPr="00855CBC">
              <w:rPr>
                <w:rFonts w:ascii="Arial" w:eastAsia="Arial" w:hAnsi="Arial" w:cs="Arial"/>
                <w:color w:val="000000"/>
                <w:sz w:val="18"/>
                <w:szCs w:val="18"/>
              </w:rPr>
              <w:t>Fundo Estadual de Habitação de Interesse Social</w:t>
            </w:r>
            <w:r>
              <w:rPr>
                <w:rFonts w:ascii="Arial" w:eastAsia="Arial" w:hAnsi="Arial" w:cs="Arial"/>
                <w:color w:val="000000"/>
                <w:sz w:val="18"/>
                <w:szCs w:val="18"/>
              </w:rPr>
              <w:t xml:space="preserve">, conforme prevê </w:t>
            </w:r>
            <w:r w:rsidRPr="00855CBC">
              <w:rPr>
                <w:rFonts w:ascii="Arial" w:eastAsia="Arial" w:hAnsi="Arial" w:cs="Arial"/>
                <w:color w:val="000000"/>
                <w:sz w:val="18"/>
                <w:szCs w:val="18"/>
              </w:rPr>
              <w:t xml:space="preserve">o art. 4º da </w:t>
            </w:r>
            <w:r>
              <w:rPr>
                <w:rFonts w:ascii="Arial" w:eastAsia="Arial" w:hAnsi="Arial" w:cs="Arial"/>
                <w:color w:val="000000"/>
                <w:sz w:val="18"/>
                <w:szCs w:val="18"/>
              </w:rPr>
              <w:t>LC</w:t>
            </w:r>
            <w:r w:rsidRPr="00855CBC">
              <w:rPr>
                <w:rFonts w:ascii="Arial" w:eastAsia="Arial" w:hAnsi="Arial" w:cs="Arial"/>
                <w:color w:val="000000"/>
                <w:sz w:val="18"/>
                <w:szCs w:val="18"/>
              </w:rPr>
              <w:t xml:space="preserve"> nº 210/2023</w:t>
            </w:r>
            <w:r>
              <w:rPr>
                <w:rStyle w:val="Refdenotaderodap"/>
                <w:rFonts w:ascii="Arial" w:eastAsia="Arial" w:hAnsi="Arial" w:cs="Arial"/>
                <w:color w:val="000000"/>
                <w:sz w:val="18"/>
                <w:szCs w:val="18"/>
              </w:rPr>
              <w:footnoteReference w:id="20"/>
            </w:r>
            <w:r>
              <w:rPr>
                <w:rFonts w:ascii="Arial" w:eastAsia="Arial" w:hAnsi="Arial" w:cs="Arial"/>
                <w:color w:val="000000"/>
                <w:sz w:val="18"/>
                <w:szCs w:val="18"/>
              </w:rPr>
              <w:t>, também não foi cumprido</w:t>
            </w:r>
            <w:r w:rsidRPr="00855CBC">
              <w:rPr>
                <w:rFonts w:ascii="Arial" w:eastAsia="Arial" w:hAnsi="Arial" w:cs="Arial"/>
                <w:color w:val="000000"/>
                <w:sz w:val="18"/>
                <w:szCs w:val="18"/>
              </w:rPr>
              <w:t xml:space="preserve">. </w:t>
            </w:r>
            <w:r>
              <w:rPr>
                <w:rFonts w:ascii="Arial" w:eastAsia="Arial" w:hAnsi="Arial" w:cs="Arial"/>
                <w:color w:val="000000"/>
                <w:sz w:val="18"/>
                <w:szCs w:val="18"/>
              </w:rPr>
              <w:t>Acrescentou a Corte de Contas fluminense: “</w:t>
            </w:r>
            <w:r w:rsidRPr="00855CBC">
              <w:rPr>
                <w:rFonts w:ascii="Arial" w:eastAsia="Arial" w:hAnsi="Arial" w:cs="Arial"/>
                <w:color w:val="000000"/>
                <w:sz w:val="18"/>
                <w:szCs w:val="18"/>
              </w:rPr>
              <w:t>Contudo, considerando este ser o primeiro ano de aplicação da nova metodologia de cálculo instituída pela supracitada lei, tal fato será relevado objetivando fornecer tempo hábil de adequação ao Chefe do Poder Executivo no que tange à mudança. Cabe destacar, portanto, que tal fato poderá impactar no exame das Contas de Governo nos exercícios subsequentes, razão pela qual será objeto de Comunicação na conclusão deste relatório</w:t>
            </w:r>
            <w:r>
              <w:rPr>
                <w:rFonts w:ascii="Arial" w:eastAsia="Arial" w:hAnsi="Arial" w:cs="Arial"/>
                <w:color w:val="000000"/>
                <w:sz w:val="18"/>
                <w:szCs w:val="18"/>
              </w:rPr>
              <w:t>”</w:t>
            </w:r>
            <w:r w:rsidRPr="00855CBC">
              <w:rPr>
                <w:rFonts w:ascii="Arial" w:eastAsia="Arial" w:hAnsi="Arial" w:cs="Arial"/>
                <w:color w:val="000000"/>
                <w:sz w:val="18"/>
                <w:szCs w:val="18"/>
              </w:rPr>
              <w:t>.</w:t>
            </w:r>
          </w:p>
          <w:p w14:paraId="3225A48E" w14:textId="77777777" w:rsidR="001C7E6F" w:rsidRDefault="001C7E6F" w:rsidP="00BD3046">
            <w:pPr>
              <w:spacing w:after="0" w:line="240" w:lineRule="auto"/>
              <w:jc w:val="both"/>
              <w:rPr>
                <w:rFonts w:ascii="Arial" w:eastAsia="Arial" w:hAnsi="Arial" w:cs="Arial"/>
                <w:color w:val="000000"/>
                <w:sz w:val="18"/>
                <w:szCs w:val="18"/>
              </w:rPr>
            </w:pPr>
            <w:r>
              <w:rPr>
                <w:noProof/>
                <w:lang w:eastAsia="pt-BR"/>
              </w:rPr>
              <w:drawing>
                <wp:inline distT="0" distB="0" distL="0" distR="0" wp14:anchorId="3D43735E" wp14:editId="5FADA3A8">
                  <wp:extent cx="4535811" cy="1719618"/>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40089" cy="1721240"/>
                          </a:xfrm>
                          <a:prstGeom prst="rect">
                            <a:avLst/>
                          </a:prstGeom>
                        </pic:spPr>
                      </pic:pic>
                    </a:graphicData>
                  </a:graphic>
                </wp:inline>
              </w:drawing>
            </w:r>
          </w:p>
          <w:p w14:paraId="6926B4AC" w14:textId="77777777" w:rsidR="001C7E6F" w:rsidRDefault="001C7E6F" w:rsidP="00BD3046">
            <w:pPr>
              <w:spacing w:after="0" w:line="240" w:lineRule="auto"/>
              <w:rPr>
                <w:rFonts w:ascii="Arial" w:eastAsia="Arial" w:hAnsi="Arial" w:cs="Arial"/>
                <w:color w:val="000000"/>
                <w:sz w:val="18"/>
                <w:szCs w:val="18"/>
              </w:rPr>
            </w:pPr>
          </w:p>
        </w:tc>
      </w:tr>
      <w:tr w:rsidR="001C7E6F" w14:paraId="096473A0" w14:textId="77777777" w:rsidTr="00BD3046">
        <w:trPr>
          <w:trHeight w:val="20"/>
        </w:trPr>
        <w:tc>
          <w:tcPr>
            <w:tcW w:w="0" w:type="auto"/>
            <w:shd w:val="clear" w:color="auto" w:fill="auto"/>
            <w:vAlign w:val="center"/>
          </w:tcPr>
          <w:p w14:paraId="27BD558D"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3.2 Restrições e desvios</w:t>
            </w:r>
          </w:p>
        </w:tc>
        <w:tc>
          <w:tcPr>
            <w:tcW w:w="0" w:type="auto"/>
            <w:shd w:val="clear" w:color="auto" w:fill="auto"/>
            <w:vAlign w:val="center"/>
          </w:tcPr>
          <w:sdt>
            <w:sdtPr>
              <w:tag w:val="goog_rdk_6"/>
              <w:id w:val="-797834616"/>
            </w:sdtPr>
            <w:sdtContent>
              <w:p w14:paraId="2587CCB4" w14:textId="77777777" w:rsidR="001C7E6F" w:rsidRPr="009B5681" w:rsidRDefault="001C7E6F" w:rsidP="00BD3046">
                <w:pPr>
                  <w:spacing w:after="0" w:line="240" w:lineRule="auto"/>
                  <w:rPr>
                    <w:rFonts w:ascii="Arial Unicode MS" w:eastAsia="Arial Unicode MS" w:hAnsi="Arial Unicode MS" w:cs="Arial Unicode MS"/>
                    <w:i/>
                    <w:color w:val="000000"/>
                    <w:sz w:val="18"/>
                    <w:szCs w:val="18"/>
                  </w:rPr>
                </w:pPr>
                <w:r w:rsidRPr="009B5681">
                  <w:rPr>
                    <w:rFonts w:ascii="Arial Unicode MS" w:eastAsia="Arial Unicode MS" w:hAnsi="Arial Unicode MS" w:cs="Arial Unicode MS"/>
                    <w:i/>
                    <w:color w:val="000000"/>
                    <w:sz w:val="18"/>
                    <w:szCs w:val="18"/>
                  </w:rPr>
                  <w:t xml:space="preserve">Identificação de contingenciamentos, desvinculações, remanejamentos indevidos ou perdas de arrecadação por desvinculação ≥20%. </w:t>
                </w:r>
              </w:p>
              <w:p w14:paraId="65C4DDFF" w14:textId="77777777" w:rsidR="001C7E6F" w:rsidRDefault="001C7E6F" w:rsidP="00BD3046">
                <w:pPr>
                  <w:spacing w:after="0" w:line="240" w:lineRule="auto"/>
                  <w:rPr>
                    <w:rFonts w:ascii="Arial Unicode MS" w:eastAsia="Arial Unicode MS" w:hAnsi="Arial Unicode MS" w:cs="Arial Unicode MS"/>
                    <w:color w:val="000000"/>
                    <w:sz w:val="18"/>
                    <w:szCs w:val="18"/>
                  </w:rPr>
                </w:pPr>
              </w:p>
              <w:p w14:paraId="4C8559DA" w14:textId="77777777" w:rsidR="001C7E6F" w:rsidRDefault="001C7E6F" w:rsidP="00BD3046">
                <w:pPr>
                  <w:spacing w:after="0" w:line="240" w:lineRule="auto"/>
                  <w:jc w:val="both"/>
                  <w:rPr>
                    <w:rFonts w:ascii="Arial Unicode MS" w:eastAsia="Arial Unicode MS" w:hAnsi="Arial Unicode MS" w:cs="Arial Unicode MS"/>
                    <w:color w:val="000000"/>
                    <w:sz w:val="18"/>
                    <w:szCs w:val="18"/>
                  </w:rPr>
                </w:pPr>
                <w:r>
                  <w:rPr>
                    <w:rFonts w:ascii="Arial Unicode MS" w:eastAsia="Arial Unicode MS" w:hAnsi="Arial Unicode MS" w:cs="Arial Unicode MS"/>
                    <w:color w:val="000000"/>
                    <w:sz w:val="18"/>
                    <w:szCs w:val="18"/>
                  </w:rPr>
                  <w:t>O</w:t>
                </w:r>
                <w:r w:rsidRPr="00873F9C">
                  <w:rPr>
                    <w:rFonts w:ascii="Arial Unicode MS" w:eastAsia="Arial Unicode MS" w:hAnsi="Arial Unicode MS" w:cs="Arial Unicode MS"/>
                    <w:color w:val="000000"/>
                    <w:sz w:val="18"/>
                    <w:szCs w:val="18"/>
                  </w:rPr>
                  <w:t xml:space="preserve"> histórico recente do Estado do Rio de Janeiro e do </w:t>
                </w:r>
                <w:r>
                  <w:rPr>
                    <w:rFonts w:ascii="Arial Unicode MS" w:eastAsia="Arial Unicode MS" w:hAnsi="Arial Unicode MS" w:cs="Arial Unicode MS"/>
                    <w:color w:val="000000"/>
                    <w:sz w:val="18"/>
                    <w:szCs w:val="18"/>
                  </w:rPr>
                  <w:t>FECP-RJ</w:t>
                </w:r>
                <w:r w:rsidRPr="00873F9C">
                  <w:rPr>
                    <w:rFonts w:ascii="Arial Unicode MS" w:eastAsia="Arial Unicode MS" w:hAnsi="Arial Unicode MS" w:cs="Arial Unicode MS"/>
                    <w:color w:val="000000"/>
                    <w:sz w:val="18"/>
                    <w:szCs w:val="18"/>
                  </w:rPr>
                  <w:t xml:space="preserve"> apresenta evidência</w:t>
                </w:r>
                <w:r>
                  <w:rPr>
                    <w:rFonts w:ascii="Arial Unicode MS" w:eastAsia="Arial Unicode MS" w:hAnsi="Arial Unicode MS" w:cs="Arial Unicode MS"/>
                    <w:color w:val="000000"/>
                    <w:sz w:val="18"/>
                    <w:szCs w:val="18"/>
                  </w:rPr>
                  <w:t xml:space="preserve">s claras de contingenciamentos e </w:t>
                </w:r>
                <w:r w:rsidRPr="00873F9C">
                  <w:rPr>
                    <w:rFonts w:ascii="Arial Unicode MS" w:eastAsia="Arial Unicode MS" w:hAnsi="Arial Unicode MS" w:cs="Arial Unicode MS"/>
                    <w:color w:val="000000"/>
                    <w:sz w:val="18"/>
                    <w:szCs w:val="18"/>
                  </w:rPr>
                  <w:t xml:space="preserve">desvinculações, resultando em perdas de arrecadação por desvinculação </w:t>
                </w:r>
                <w:r>
                  <w:rPr>
                    <w:rFonts w:ascii="Arial Unicode MS" w:eastAsia="Arial Unicode MS" w:hAnsi="Arial Unicode MS" w:cs="Arial Unicode MS"/>
                    <w:color w:val="000000"/>
                    <w:sz w:val="18"/>
                    <w:szCs w:val="18"/>
                  </w:rPr>
                  <w:t>de 30</w:t>
                </w:r>
                <w:r w:rsidRPr="00873F9C">
                  <w:rPr>
                    <w:rFonts w:ascii="Arial Unicode MS" w:eastAsia="Arial Unicode MS" w:hAnsi="Arial Unicode MS" w:cs="Arial Unicode MS"/>
                    <w:color w:val="000000"/>
                    <w:sz w:val="18"/>
                    <w:szCs w:val="18"/>
                  </w:rPr>
                  <w:t>%.</w:t>
                </w:r>
                <w:r>
                  <w:rPr>
                    <w:rFonts w:ascii="Arial Unicode MS" w:eastAsia="Arial Unicode MS" w:hAnsi="Arial Unicode MS" w:cs="Arial Unicode MS"/>
                    <w:color w:val="000000"/>
                    <w:sz w:val="18"/>
                    <w:szCs w:val="18"/>
                  </w:rPr>
                  <w:t xml:space="preserve"> </w:t>
                </w:r>
                <w:r w:rsidRPr="00873F9C">
                  <w:rPr>
                    <w:rFonts w:ascii="Arial Unicode MS" w:eastAsia="Arial Unicode MS" w:hAnsi="Arial Unicode MS" w:cs="Arial Unicode MS"/>
                    <w:color w:val="000000"/>
                    <w:sz w:val="18"/>
                    <w:szCs w:val="18"/>
                  </w:rPr>
                  <w:t>O prazo de vigência da DRE foi alterado para 31 de dezembro de 2032</w:t>
                </w:r>
                <w:r>
                  <w:rPr>
                    <w:rFonts w:ascii="Arial Unicode MS" w:eastAsia="Arial Unicode MS" w:hAnsi="Arial Unicode MS" w:cs="Arial Unicode MS"/>
                    <w:color w:val="000000"/>
                    <w:sz w:val="18"/>
                    <w:szCs w:val="18"/>
                  </w:rPr>
                  <w:t>, conforme o a</w:t>
                </w:r>
                <w:r w:rsidRPr="00873F9C">
                  <w:rPr>
                    <w:rFonts w:ascii="Arial Unicode MS" w:eastAsia="Arial Unicode MS" w:hAnsi="Arial Unicode MS" w:cs="Arial Unicode MS"/>
                    <w:color w:val="000000"/>
                    <w:sz w:val="18"/>
                    <w:szCs w:val="18"/>
                  </w:rPr>
                  <w:t>rt. 76-A do ADCT</w:t>
                </w:r>
                <w:r>
                  <w:rPr>
                    <w:rFonts w:ascii="Arial Unicode MS" w:eastAsia="Arial Unicode MS" w:hAnsi="Arial Unicode MS" w:cs="Arial Unicode MS"/>
                    <w:color w:val="000000"/>
                    <w:sz w:val="18"/>
                    <w:szCs w:val="18"/>
                  </w:rPr>
                  <w:t xml:space="preserve"> da CERJ.</w:t>
                </w:r>
              </w:p>
              <w:p w14:paraId="32D4CE59" w14:textId="77777777" w:rsidR="001C7E6F" w:rsidRDefault="001C7E6F" w:rsidP="00BD3046">
                <w:pPr>
                  <w:spacing w:after="0" w:line="240" w:lineRule="auto"/>
                  <w:jc w:val="both"/>
                  <w:rPr>
                    <w:rFonts w:ascii="Arial Unicode MS" w:eastAsia="Arial Unicode MS" w:hAnsi="Arial Unicode MS" w:cs="Arial Unicode MS"/>
                    <w:color w:val="000000"/>
                    <w:sz w:val="18"/>
                    <w:szCs w:val="18"/>
                  </w:rPr>
                </w:pPr>
              </w:p>
              <w:p w14:paraId="28FCF11E" w14:textId="77777777" w:rsidR="001C7E6F" w:rsidRDefault="001C7E6F" w:rsidP="00BD3046">
                <w:pPr>
                  <w:spacing w:after="0" w:line="240" w:lineRule="auto"/>
                  <w:jc w:val="both"/>
                  <w:rPr>
                    <w:rFonts w:ascii="Arial Unicode MS" w:eastAsia="Arial Unicode MS" w:hAnsi="Arial Unicode MS" w:cs="Arial Unicode MS"/>
                    <w:color w:val="000000"/>
                    <w:sz w:val="18"/>
                    <w:szCs w:val="18"/>
                  </w:rPr>
                </w:pPr>
                <w:r w:rsidRPr="00873F9C">
                  <w:rPr>
                    <w:rFonts w:ascii="Arial Unicode MS" w:eastAsia="Arial Unicode MS" w:hAnsi="Arial Unicode MS" w:cs="Arial Unicode MS"/>
                    <w:color w:val="000000"/>
                    <w:sz w:val="18"/>
                    <w:szCs w:val="18"/>
                  </w:rPr>
                  <w:t>O FECP</w:t>
                </w:r>
                <w:r>
                  <w:rPr>
                    <w:rFonts w:ascii="Arial Unicode MS" w:eastAsia="Arial Unicode MS" w:hAnsi="Arial Unicode MS" w:cs="Arial Unicode MS"/>
                    <w:color w:val="000000"/>
                    <w:sz w:val="18"/>
                    <w:szCs w:val="18"/>
                  </w:rPr>
                  <w:t>-RJ também</w:t>
                </w:r>
                <w:r w:rsidRPr="00873F9C">
                  <w:rPr>
                    <w:rFonts w:ascii="Arial Unicode MS" w:eastAsia="Arial Unicode MS" w:hAnsi="Arial Unicode MS" w:cs="Arial Unicode MS"/>
                    <w:color w:val="000000"/>
                    <w:sz w:val="18"/>
                    <w:szCs w:val="18"/>
                  </w:rPr>
                  <w:t xml:space="preserve"> sofre dedução adicional de 20% sobre sua receita bruta (Adicional ICMS) para a formação do Fundo de Manutenção e Desenvolvimento da Educação Básica</w:t>
                </w:r>
                <w:r>
                  <w:rPr>
                    <w:rFonts w:ascii="Arial Unicode MS" w:eastAsia="Arial Unicode MS" w:hAnsi="Arial Unicode MS" w:cs="Arial Unicode MS"/>
                    <w:color w:val="000000"/>
                    <w:sz w:val="18"/>
                    <w:szCs w:val="18"/>
                  </w:rPr>
                  <w:t xml:space="preserve"> (Fundeb</w:t>
                </w:r>
                <w:r w:rsidRPr="00873F9C">
                  <w:rPr>
                    <w:rFonts w:ascii="Arial Unicode MS" w:eastAsia="Arial Unicode MS" w:hAnsi="Arial Unicode MS" w:cs="Arial Unicode MS"/>
                    <w:color w:val="000000"/>
                    <w:sz w:val="18"/>
                    <w:szCs w:val="18"/>
                  </w:rPr>
                  <w:t>)</w:t>
                </w:r>
                <w:r>
                  <w:rPr>
                    <w:rFonts w:ascii="Arial Unicode MS" w:eastAsia="Arial Unicode MS" w:hAnsi="Arial Unicode MS" w:cs="Arial Unicode MS"/>
                    <w:color w:val="000000"/>
                    <w:sz w:val="18"/>
                    <w:szCs w:val="18"/>
                  </w:rPr>
                  <w:t>.</w:t>
                </w:r>
              </w:p>
              <w:p w14:paraId="0ABADC00" w14:textId="77777777" w:rsidR="001C7E6F" w:rsidRDefault="001C7E6F" w:rsidP="00BD3046">
                <w:pPr>
                  <w:spacing w:after="0" w:line="240" w:lineRule="auto"/>
                  <w:jc w:val="both"/>
                  <w:rPr>
                    <w:rFonts w:ascii="Arial Unicode MS" w:eastAsia="Arial Unicode MS" w:hAnsi="Arial Unicode MS" w:cs="Arial Unicode MS"/>
                    <w:color w:val="000000"/>
                    <w:sz w:val="18"/>
                    <w:szCs w:val="18"/>
                  </w:rPr>
                </w:pPr>
              </w:p>
              <w:p w14:paraId="3D96A625" w14:textId="77777777" w:rsidR="001C7E6F" w:rsidRPr="00873F9C" w:rsidRDefault="001C7E6F" w:rsidP="00BD3046">
                <w:pPr>
                  <w:spacing w:after="0" w:line="240" w:lineRule="auto"/>
                  <w:jc w:val="both"/>
                  <w:rPr>
                    <w:rFonts w:ascii="Arial Unicode MS" w:eastAsia="Arial Unicode MS" w:hAnsi="Arial Unicode MS" w:cs="Arial Unicode MS"/>
                    <w:color w:val="000000"/>
                    <w:sz w:val="18"/>
                    <w:szCs w:val="18"/>
                  </w:rPr>
                </w:pPr>
                <w:r>
                  <w:rPr>
                    <w:rFonts w:ascii="Arial Unicode MS" w:eastAsia="Arial Unicode MS" w:hAnsi="Arial Unicode MS" w:cs="Arial Unicode MS"/>
                    <w:color w:val="000000"/>
                    <w:sz w:val="18"/>
                    <w:szCs w:val="18"/>
                  </w:rPr>
                  <w:t>Também h</w:t>
                </w:r>
                <w:r w:rsidRPr="00873F9C">
                  <w:rPr>
                    <w:rFonts w:ascii="Arial Unicode MS" w:eastAsia="Arial Unicode MS" w:hAnsi="Arial Unicode MS" w:cs="Arial Unicode MS"/>
                    <w:color w:val="000000"/>
                    <w:sz w:val="18"/>
                    <w:szCs w:val="18"/>
                  </w:rPr>
                  <w:t>ouve registros de remanejamentos de recursos vinculados, incluindo o FECP</w:t>
                </w:r>
                <w:r>
                  <w:rPr>
                    <w:rFonts w:ascii="Arial Unicode MS" w:eastAsia="Arial Unicode MS" w:hAnsi="Arial Unicode MS" w:cs="Arial Unicode MS"/>
                    <w:color w:val="000000"/>
                    <w:sz w:val="18"/>
                    <w:szCs w:val="18"/>
                  </w:rPr>
                  <w:t>-RJ</w:t>
                </w:r>
                <w:r w:rsidRPr="00873F9C">
                  <w:rPr>
                    <w:rFonts w:ascii="Arial Unicode MS" w:eastAsia="Arial Unicode MS" w:hAnsi="Arial Unicode MS" w:cs="Arial Unicode MS"/>
                    <w:color w:val="000000"/>
                    <w:sz w:val="18"/>
                    <w:szCs w:val="18"/>
                  </w:rPr>
                  <w:t>, que foram classificados como irregulares pelo TCE-RJ:</w:t>
                </w:r>
              </w:p>
              <w:p w14:paraId="5770B17B" w14:textId="77777777" w:rsidR="001C7E6F" w:rsidRDefault="001C7E6F" w:rsidP="00BD3046">
                <w:pPr>
                  <w:spacing w:after="0" w:line="240" w:lineRule="auto"/>
                  <w:jc w:val="both"/>
                  <w:rPr>
                    <w:rFonts w:ascii="Arial Unicode MS" w:eastAsia="Arial Unicode MS" w:hAnsi="Arial Unicode MS" w:cs="Arial Unicode MS"/>
                    <w:color w:val="000000"/>
                    <w:sz w:val="18"/>
                    <w:szCs w:val="18"/>
                  </w:rPr>
                </w:pPr>
                <w:r w:rsidRPr="00873F9C">
                  <w:rPr>
                    <w:rFonts w:ascii="Arial Unicode MS" w:eastAsia="Arial Unicode MS" w:hAnsi="Arial Unicode MS" w:cs="Arial Unicode MS"/>
                    <w:color w:val="000000"/>
                    <w:sz w:val="18"/>
                    <w:szCs w:val="18"/>
                  </w:rPr>
                  <w:t xml:space="preserve">Auditorias do TCE-RJ (Processo nº 104.773-1/2019, que abrange 2015 a 2018) concluíram que foi utilizado o "mecanismo de antecipação de fontes de </w:t>
                </w:r>
                <w:r>
                  <w:rPr>
                    <w:rFonts w:ascii="Arial Unicode MS" w:eastAsia="Arial Unicode MS" w:hAnsi="Arial Unicode MS" w:cs="Arial Unicode MS"/>
                    <w:color w:val="000000"/>
                    <w:sz w:val="18"/>
                    <w:szCs w:val="18"/>
                  </w:rPr>
                  <w:t xml:space="preserve">recursos" para cobrir despesas. </w:t>
                </w:r>
                <w:r w:rsidRPr="00873F9C">
                  <w:rPr>
                    <w:rFonts w:ascii="Arial Unicode MS" w:eastAsia="Arial Unicode MS" w:hAnsi="Arial Unicode MS" w:cs="Arial Unicode MS"/>
                    <w:color w:val="000000"/>
                    <w:sz w:val="18"/>
                    <w:szCs w:val="18"/>
                  </w:rPr>
                  <w:t>Esse mecanismo resultou na utilização de recursos da Fonte 122 (FECP) em favor da Fonte 101 – Ordinários não provenientes de impostos</w:t>
                </w:r>
                <w:r>
                  <w:rPr>
                    <w:rFonts w:ascii="Arial Unicode MS" w:eastAsia="Arial Unicode MS" w:hAnsi="Arial Unicode MS" w:cs="Arial Unicode MS"/>
                    <w:color w:val="000000"/>
                    <w:sz w:val="18"/>
                    <w:szCs w:val="18"/>
                  </w:rPr>
                  <w:t>.</w:t>
                </w:r>
              </w:p>
              <w:p w14:paraId="1955A5EF" w14:textId="77777777" w:rsidR="001C7E6F" w:rsidRDefault="001C7E6F" w:rsidP="00BD3046">
                <w:pPr>
                  <w:spacing w:after="0" w:line="240" w:lineRule="auto"/>
                  <w:jc w:val="both"/>
                  <w:rPr>
                    <w:rFonts w:ascii="Arial Unicode MS" w:eastAsia="Arial Unicode MS" w:hAnsi="Arial Unicode MS" w:cs="Arial Unicode MS"/>
                    <w:color w:val="000000"/>
                    <w:sz w:val="18"/>
                    <w:szCs w:val="18"/>
                  </w:rPr>
                </w:pPr>
              </w:p>
              <w:p w14:paraId="05CB8B08" w14:textId="77777777" w:rsidR="001C7E6F" w:rsidRDefault="001C7E6F" w:rsidP="00BD3046">
                <w:pPr>
                  <w:spacing w:after="0" w:line="240" w:lineRule="auto"/>
                  <w:jc w:val="both"/>
                  <w:rPr>
                    <w:rFonts w:ascii="Arial Unicode MS" w:eastAsia="Arial Unicode MS" w:hAnsi="Arial Unicode MS" w:cs="Arial Unicode MS"/>
                    <w:color w:val="000000"/>
                    <w:sz w:val="18"/>
                    <w:szCs w:val="18"/>
                  </w:rPr>
                </w:pPr>
                <w:r w:rsidRPr="00873F9C">
                  <w:rPr>
                    <w:rFonts w:ascii="Arial Unicode MS" w:eastAsia="Arial Unicode MS" w:hAnsi="Arial Unicode MS" w:cs="Arial Unicode MS"/>
                    <w:color w:val="000000"/>
                    <w:sz w:val="18"/>
                    <w:szCs w:val="18"/>
                  </w:rPr>
                  <w:t>O TCE-RJ concordou que o uso desse mecanismo em recursos vinculados (como o FECP) resultou em descompasso no controle das disponibilidades por fontes de recursos. O Corpo Instrutivo sugeriu nova determinação para que a SEFAZ priorizasse o ressarcimento dessas disponibilidades adiantadas, pois haviam transcorrido três exercícios sem que fossem ressarcidas</w:t>
                </w:r>
                <w:r>
                  <w:rPr>
                    <w:rFonts w:ascii="Arial Unicode MS" w:eastAsia="Arial Unicode MS" w:hAnsi="Arial Unicode MS" w:cs="Arial Unicode MS"/>
                    <w:color w:val="000000"/>
                    <w:sz w:val="18"/>
                    <w:szCs w:val="18"/>
                  </w:rPr>
                  <w:t>.</w:t>
                </w:r>
              </w:p>
              <w:p w14:paraId="6CA17723" w14:textId="77777777" w:rsidR="001C7E6F" w:rsidRDefault="001C7E6F" w:rsidP="00BD3046">
                <w:pPr>
                  <w:spacing w:after="0" w:line="240" w:lineRule="auto"/>
                  <w:rPr>
                    <w:rFonts w:ascii="Arial" w:eastAsia="Arial" w:hAnsi="Arial" w:cs="Arial"/>
                    <w:color w:val="000000"/>
                    <w:sz w:val="18"/>
                    <w:szCs w:val="18"/>
                  </w:rPr>
                </w:pPr>
              </w:p>
            </w:sdtContent>
          </w:sdt>
        </w:tc>
      </w:tr>
      <w:tr w:rsidR="001C7E6F" w14:paraId="4D05C123" w14:textId="77777777" w:rsidTr="00BD3046">
        <w:trPr>
          <w:trHeight w:val="20"/>
        </w:trPr>
        <w:tc>
          <w:tcPr>
            <w:tcW w:w="0" w:type="auto"/>
            <w:shd w:val="clear" w:color="auto" w:fill="auto"/>
            <w:vAlign w:val="center"/>
          </w:tcPr>
          <w:p w14:paraId="6DB488FB"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3.3 Execução setorial</w:t>
            </w:r>
          </w:p>
        </w:tc>
        <w:tc>
          <w:tcPr>
            <w:tcW w:w="0" w:type="auto"/>
            <w:shd w:val="clear" w:color="auto" w:fill="auto"/>
            <w:vAlign w:val="center"/>
          </w:tcPr>
          <w:p w14:paraId="41F7E671" w14:textId="77777777" w:rsidR="001C7E6F" w:rsidRPr="0067442F" w:rsidRDefault="001C7E6F" w:rsidP="00BD3046">
            <w:pPr>
              <w:spacing w:after="0" w:line="240" w:lineRule="auto"/>
              <w:rPr>
                <w:rFonts w:ascii="Arial" w:eastAsia="Arial" w:hAnsi="Arial" w:cs="Arial"/>
                <w:i/>
                <w:color w:val="000000"/>
                <w:sz w:val="18"/>
                <w:szCs w:val="18"/>
              </w:rPr>
            </w:pPr>
            <w:r w:rsidRPr="0067442F">
              <w:rPr>
                <w:rFonts w:ascii="Arial" w:eastAsia="Arial" w:hAnsi="Arial" w:cs="Arial"/>
                <w:i/>
                <w:color w:val="000000"/>
                <w:sz w:val="18"/>
                <w:szCs w:val="18"/>
              </w:rPr>
              <w:t>Verificação da descentralização e aderência temática (quem executa o quê e com que critério). Demonstra a distribuição dos recursos por Unidade Orçamentária e áreas.</w:t>
            </w:r>
          </w:p>
          <w:p w14:paraId="5E504E32" w14:textId="77777777" w:rsidR="001C7E6F" w:rsidRDefault="001C7E6F" w:rsidP="00BD3046">
            <w:pPr>
              <w:spacing w:after="0" w:line="240" w:lineRule="auto"/>
              <w:rPr>
                <w:rFonts w:ascii="Arial" w:eastAsia="Arial" w:hAnsi="Arial" w:cs="Arial"/>
                <w:color w:val="000000"/>
                <w:sz w:val="18"/>
                <w:szCs w:val="18"/>
              </w:rPr>
            </w:pPr>
          </w:p>
          <w:p w14:paraId="49D4C980" w14:textId="77777777" w:rsidR="001C7E6F" w:rsidRDefault="001C7E6F" w:rsidP="00BD3046">
            <w:pPr>
              <w:spacing w:after="0" w:line="240" w:lineRule="auto"/>
              <w:rPr>
                <w:rFonts w:ascii="Arial" w:eastAsia="Arial" w:hAnsi="Arial" w:cs="Arial"/>
                <w:color w:val="000000"/>
                <w:sz w:val="18"/>
                <w:szCs w:val="18"/>
              </w:rPr>
            </w:pPr>
            <w:r w:rsidRPr="008867C8">
              <w:rPr>
                <w:rFonts w:ascii="Arial" w:eastAsia="Arial" w:hAnsi="Arial" w:cs="Arial"/>
                <w:color w:val="000000"/>
                <w:sz w:val="18"/>
                <w:szCs w:val="18"/>
              </w:rPr>
              <w:t>A aplicação dos recursos do FECP</w:t>
            </w:r>
            <w:r>
              <w:rPr>
                <w:rFonts w:ascii="Arial" w:eastAsia="Arial" w:hAnsi="Arial" w:cs="Arial"/>
                <w:color w:val="000000"/>
                <w:sz w:val="18"/>
                <w:szCs w:val="18"/>
              </w:rPr>
              <w:t>-RJ</w:t>
            </w:r>
            <w:r w:rsidRPr="008867C8">
              <w:rPr>
                <w:rFonts w:ascii="Arial" w:eastAsia="Arial" w:hAnsi="Arial" w:cs="Arial"/>
                <w:color w:val="000000"/>
                <w:sz w:val="18"/>
                <w:szCs w:val="18"/>
              </w:rPr>
              <w:t xml:space="preserve"> é realizada por meio de um modelo de gestão descentralizada, no qual </w:t>
            </w:r>
            <w:r>
              <w:rPr>
                <w:rFonts w:ascii="Arial" w:eastAsia="Arial" w:hAnsi="Arial" w:cs="Arial"/>
                <w:color w:val="000000"/>
                <w:sz w:val="18"/>
                <w:szCs w:val="18"/>
              </w:rPr>
              <w:t>diferentes</w:t>
            </w:r>
            <w:r w:rsidRPr="008867C8">
              <w:rPr>
                <w:rFonts w:ascii="Arial" w:eastAsia="Arial" w:hAnsi="Arial" w:cs="Arial"/>
                <w:color w:val="000000"/>
                <w:sz w:val="18"/>
                <w:szCs w:val="18"/>
              </w:rPr>
              <w:t xml:space="preserve"> unidades da administração direta e indireta (Unidades Orçamentárias) são responsáveis pela execução, sob a coordenação da Secretaria de Estado de Planejamento e Gestão (SEPLAG)</w:t>
            </w:r>
            <w:r>
              <w:rPr>
                <w:rFonts w:ascii="Arial" w:eastAsia="Arial" w:hAnsi="Arial" w:cs="Arial"/>
                <w:color w:val="000000"/>
                <w:sz w:val="18"/>
                <w:szCs w:val="18"/>
              </w:rPr>
              <w:t xml:space="preserve">. </w:t>
            </w:r>
            <w:r w:rsidRPr="008867C8">
              <w:rPr>
                <w:rFonts w:ascii="Arial" w:eastAsia="Arial" w:hAnsi="Arial" w:cs="Arial"/>
                <w:color w:val="000000"/>
                <w:sz w:val="18"/>
                <w:szCs w:val="18"/>
              </w:rPr>
              <w:t>Os dados permitem aplicar um conjunto de indicadores sintéticos que revelam a efetividade do ciclo orçamentário-financeiro do Fundo. A análise comparada expõe movimentos de forte oscilação, especialmente no equilíbrio entre arrecadação líquida e capacidade de execução.</w:t>
            </w:r>
          </w:p>
          <w:p w14:paraId="03431E94" w14:textId="77777777" w:rsidR="001C7E6F" w:rsidRDefault="001C7E6F" w:rsidP="00BD3046">
            <w:pPr>
              <w:spacing w:after="0" w:line="240" w:lineRule="auto"/>
              <w:rPr>
                <w:rFonts w:ascii="Arial" w:eastAsia="Arial" w:hAnsi="Arial" w:cs="Arial"/>
                <w:color w:val="000000"/>
                <w:sz w:val="18"/>
                <w:szCs w:val="18"/>
              </w:rPr>
            </w:pPr>
          </w:p>
          <w:p w14:paraId="40F8B688" w14:textId="77777777" w:rsidR="001C7E6F" w:rsidRPr="008867C8" w:rsidRDefault="001C7E6F" w:rsidP="00BD3046">
            <w:pPr>
              <w:spacing w:after="0" w:line="240" w:lineRule="auto"/>
              <w:jc w:val="both"/>
              <w:rPr>
                <w:rFonts w:ascii="Arial" w:eastAsia="Arial" w:hAnsi="Arial" w:cs="Arial"/>
                <w:color w:val="000000"/>
                <w:sz w:val="18"/>
                <w:szCs w:val="18"/>
              </w:rPr>
            </w:pPr>
            <w:r w:rsidRPr="008867C8">
              <w:rPr>
                <w:rFonts w:ascii="Arial" w:eastAsia="Arial" w:hAnsi="Arial" w:cs="Arial"/>
                <w:color w:val="000000"/>
                <w:sz w:val="18"/>
                <w:szCs w:val="18"/>
              </w:rPr>
              <w:lastRenderedPageBreak/>
              <w:t>2023</w:t>
            </w:r>
            <w:r>
              <w:rPr>
                <w:rFonts w:ascii="Arial" w:eastAsia="Arial" w:hAnsi="Arial" w:cs="Arial"/>
                <w:color w:val="000000"/>
                <w:sz w:val="18"/>
                <w:szCs w:val="18"/>
              </w:rPr>
              <w:t>:</w:t>
            </w:r>
            <w:r w:rsidRPr="008867C8">
              <w:rPr>
                <w:rFonts w:ascii="Arial" w:eastAsia="Arial" w:hAnsi="Arial" w:cs="Arial"/>
                <w:color w:val="000000"/>
                <w:sz w:val="18"/>
                <w:szCs w:val="18"/>
              </w:rPr>
              <w:t xml:space="preserve"> O Fundo apresentou elevada realização de receita (99,9%) e aderência plena à previsão, mas sofreu desvinculação obrigatória de 30%, reduzindo sua receita disponível a 70%. A execução orçamentária inicial foi </w:t>
            </w:r>
            <w:r>
              <w:rPr>
                <w:rFonts w:ascii="Arial" w:eastAsia="Arial" w:hAnsi="Arial" w:cs="Arial"/>
                <w:color w:val="000000"/>
                <w:sz w:val="18"/>
                <w:szCs w:val="18"/>
              </w:rPr>
              <w:t>relevante</w:t>
            </w:r>
            <w:r w:rsidRPr="008867C8">
              <w:rPr>
                <w:rFonts w:ascii="Arial" w:eastAsia="Arial" w:hAnsi="Arial" w:cs="Arial"/>
                <w:color w:val="000000"/>
                <w:sz w:val="18"/>
                <w:szCs w:val="18"/>
              </w:rPr>
              <w:t xml:space="preserve"> (90,1%), mas a financeira ficou em apenas 79,7%. Isso significa que, de cada R$ 100 arrecadados líquidos, cerca de R$ 20 permaneceram inativos em caixa. O saldo financeiro de R$ 673 milhões indica concentração de recursos não aplicados, comprometendo a efetividade redistributiva.</w:t>
            </w:r>
          </w:p>
          <w:p w14:paraId="207F640A" w14:textId="77777777" w:rsidR="001C7E6F" w:rsidRPr="008867C8" w:rsidRDefault="001C7E6F" w:rsidP="00BD3046">
            <w:pPr>
              <w:spacing w:after="0" w:line="240" w:lineRule="auto"/>
              <w:jc w:val="both"/>
              <w:rPr>
                <w:rFonts w:ascii="Arial" w:eastAsia="Arial" w:hAnsi="Arial" w:cs="Arial"/>
                <w:color w:val="000000"/>
                <w:sz w:val="18"/>
                <w:szCs w:val="18"/>
              </w:rPr>
            </w:pPr>
          </w:p>
          <w:p w14:paraId="522D9BF0" w14:textId="77777777" w:rsidR="001C7E6F" w:rsidRPr="008867C8" w:rsidRDefault="001C7E6F" w:rsidP="00BD3046">
            <w:pPr>
              <w:spacing w:after="0" w:line="240" w:lineRule="auto"/>
              <w:jc w:val="both"/>
              <w:rPr>
                <w:rFonts w:ascii="Arial" w:eastAsia="Arial" w:hAnsi="Arial" w:cs="Arial"/>
                <w:color w:val="000000"/>
                <w:sz w:val="18"/>
                <w:szCs w:val="18"/>
              </w:rPr>
            </w:pPr>
            <w:r w:rsidRPr="008867C8">
              <w:rPr>
                <w:rFonts w:ascii="Arial" w:eastAsia="Arial" w:hAnsi="Arial" w:cs="Arial"/>
                <w:color w:val="000000"/>
                <w:sz w:val="18"/>
                <w:szCs w:val="18"/>
              </w:rPr>
              <w:t>2024</w:t>
            </w:r>
            <w:r>
              <w:rPr>
                <w:rFonts w:ascii="Arial" w:eastAsia="Arial" w:hAnsi="Arial" w:cs="Arial"/>
                <w:color w:val="000000"/>
                <w:sz w:val="18"/>
                <w:szCs w:val="18"/>
              </w:rPr>
              <w:t>:</w:t>
            </w:r>
            <w:r w:rsidRPr="008867C8">
              <w:rPr>
                <w:rFonts w:ascii="Arial" w:eastAsia="Arial" w:hAnsi="Arial" w:cs="Arial"/>
                <w:color w:val="000000"/>
                <w:sz w:val="18"/>
                <w:szCs w:val="18"/>
              </w:rPr>
              <w:t xml:space="preserve"> O cenário atingiu eficiência máxima. Houve novamente realização plena da receita (100,1%) e manutenção do índice de desvinculação em 30%. O desempenho orçamentário alcançou 99,4% em relação à despesa fixada e 96,9% sobre a despesa atualizada, representando aderência quase total entre programação e liquidação. A execução financeira também se elevou para 83,8%, reduzindo o acúmulo de recursos ociosos. Trata-se de um padrão de maturidade institucional, marcado pela convergência entre arrecadação, autorização e pagamento, com baixa interferência de contingenciamentos (1,3%).</w:t>
            </w:r>
          </w:p>
          <w:p w14:paraId="3AC42AE4" w14:textId="77777777" w:rsidR="001C7E6F" w:rsidRPr="008867C8" w:rsidRDefault="001C7E6F" w:rsidP="00BD3046">
            <w:pPr>
              <w:spacing w:after="0" w:line="240" w:lineRule="auto"/>
              <w:jc w:val="both"/>
              <w:rPr>
                <w:rFonts w:ascii="Arial" w:eastAsia="Arial" w:hAnsi="Arial" w:cs="Arial"/>
                <w:color w:val="000000"/>
                <w:sz w:val="18"/>
                <w:szCs w:val="18"/>
              </w:rPr>
            </w:pPr>
          </w:p>
          <w:p w14:paraId="12AE4B77" w14:textId="77777777" w:rsidR="001C7E6F" w:rsidRPr="009C0C9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2025 (parcial):</w:t>
            </w:r>
            <w:r w:rsidRPr="008867C8">
              <w:rPr>
                <w:rFonts w:ascii="Arial" w:eastAsia="Arial" w:hAnsi="Arial" w:cs="Arial"/>
                <w:color w:val="000000"/>
                <w:sz w:val="18"/>
                <w:szCs w:val="18"/>
              </w:rPr>
              <w:t xml:space="preserve"> Até o momento, verifica-se </w:t>
            </w:r>
            <w:r>
              <w:rPr>
                <w:rFonts w:ascii="Arial" w:eastAsia="Arial" w:hAnsi="Arial" w:cs="Arial"/>
                <w:color w:val="000000"/>
                <w:sz w:val="18"/>
                <w:szCs w:val="18"/>
              </w:rPr>
              <w:t>instabilidade</w:t>
            </w:r>
            <w:r w:rsidRPr="008867C8">
              <w:rPr>
                <w:rFonts w:ascii="Arial" w:eastAsia="Arial" w:hAnsi="Arial" w:cs="Arial"/>
                <w:color w:val="000000"/>
                <w:sz w:val="18"/>
                <w:szCs w:val="18"/>
              </w:rPr>
              <w:t xml:space="preserve"> relevante. </w:t>
            </w:r>
            <w:r>
              <w:rPr>
                <w:rFonts w:ascii="Arial" w:eastAsia="Arial" w:hAnsi="Arial" w:cs="Arial"/>
                <w:color w:val="000000"/>
                <w:sz w:val="18"/>
                <w:szCs w:val="18"/>
              </w:rPr>
              <w:t>No final de agosto de 2025, a</w:t>
            </w:r>
            <w:r w:rsidRPr="008867C8">
              <w:rPr>
                <w:rFonts w:ascii="Arial" w:eastAsia="Arial" w:hAnsi="Arial" w:cs="Arial"/>
                <w:color w:val="000000"/>
                <w:sz w:val="18"/>
                <w:szCs w:val="18"/>
              </w:rPr>
              <w:t xml:space="preserve"> realização da receita </w:t>
            </w:r>
            <w:r>
              <w:rPr>
                <w:rFonts w:ascii="Arial" w:eastAsia="Arial" w:hAnsi="Arial" w:cs="Arial"/>
                <w:color w:val="000000"/>
                <w:sz w:val="18"/>
                <w:szCs w:val="18"/>
              </w:rPr>
              <w:t>estava em</w:t>
            </w:r>
            <w:r w:rsidRPr="008867C8">
              <w:rPr>
                <w:rFonts w:ascii="Arial" w:eastAsia="Arial" w:hAnsi="Arial" w:cs="Arial"/>
                <w:color w:val="000000"/>
                <w:sz w:val="18"/>
                <w:szCs w:val="18"/>
              </w:rPr>
              <w:t xml:space="preserve"> 65,8%, reflexo direto de frustração arrecadatória, enquanto a efetividade da receita prevista recuou para apenas 46%. Apesar da manutenção da desvinculação em 30%, a execução orçamentária inicial caiu para 69,3%, evidenciando perda de cadência. O índice de execução financeira, de 84,5%, sinaliza que o pouco arrecadado foi relativamente bem aplicado, mas o saldo financeiro de R$ 397 milhões continua expressivo frente ao ritmo de arrecadação. O contingenciamento subiu para 8,9%, reforçando entraves administrativos que reduzem a liquidez das ações financiadas.</w:t>
            </w:r>
          </w:p>
          <w:p w14:paraId="4391D784" w14:textId="77777777" w:rsidR="001C7E6F" w:rsidRDefault="001C7E6F" w:rsidP="00BD3046">
            <w:pPr>
              <w:spacing w:after="0" w:line="240" w:lineRule="auto"/>
              <w:rPr>
                <w:rFonts w:ascii="Arial" w:eastAsia="Arial" w:hAnsi="Arial" w:cs="Arial"/>
                <w:color w:val="000000"/>
                <w:sz w:val="18"/>
                <w:szCs w:val="18"/>
              </w:rPr>
            </w:pPr>
          </w:p>
        </w:tc>
      </w:tr>
      <w:tr w:rsidR="001C7E6F" w14:paraId="486C4261" w14:textId="77777777" w:rsidTr="00BD3046">
        <w:trPr>
          <w:trHeight w:val="20"/>
        </w:trPr>
        <w:tc>
          <w:tcPr>
            <w:tcW w:w="0" w:type="auto"/>
            <w:shd w:val="clear" w:color="auto" w:fill="auto"/>
            <w:vAlign w:val="center"/>
          </w:tcPr>
          <w:p w14:paraId="70CF41EA"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3.6 Entrega física das ações</w:t>
            </w:r>
          </w:p>
        </w:tc>
        <w:tc>
          <w:tcPr>
            <w:tcW w:w="0" w:type="auto"/>
            <w:shd w:val="clear" w:color="auto" w:fill="auto"/>
            <w:vAlign w:val="center"/>
          </w:tcPr>
          <w:p w14:paraId="5A20A4EB" w14:textId="77777777" w:rsidR="001C7E6F" w:rsidRPr="0067442F" w:rsidRDefault="001C7E6F" w:rsidP="00BD3046">
            <w:pPr>
              <w:spacing w:after="0" w:line="240" w:lineRule="auto"/>
              <w:rPr>
                <w:rFonts w:ascii="Arial" w:eastAsia="Arial" w:hAnsi="Arial" w:cs="Arial"/>
                <w:i/>
                <w:sz w:val="18"/>
                <w:szCs w:val="18"/>
              </w:rPr>
            </w:pPr>
            <w:r w:rsidRPr="0067442F">
              <w:rPr>
                <w:rFonts w:ascii="Arial" w:eastAsia="Arial" w:hAnsi="Arial" w:cs="Arial"/>
                <w:i/>
                <w:sz w:val="18"/>
                <w:szCs w:val="18"/>
              </w:rPr>
              <w:t>Aferição de p</w:t>
            </w:r>
            <w:sdt>
              <w:sdtPr>
                <w:rPr>
                  <w:rFonts w:ascii="Arial" w:eastAsia="Arial" w:hAnsi="Arial" w:cs="Arial"/>
                  <w:i/>
                  <w:sz w:val="18"/>
                  <w:szCs w:val="18"/>
                </w:rPr>
                <w:tag w:val="goog_rdk_7"/>
                <w:id w:val="1574472399"/>
              </w:sdtPr>
              <w:sdtContent>
                <w:r w:rsidRPr="0067442F">
                  <w:rPr>
                    <w:rFonts w:ascii="Arial" w:eastAsia="Arial" w:hAnsi="Arial" w:cs="Arial"/>
                    <w:i/>
                    <w:sz w:val="18"/>
                    <w:szCs w:val="18"/>
                  </w:rPr>
                  <w:t xml:space="preserve">ercentual de execução das metas planejadas (≥85%), a partir do produto/serviço entregue.      </w:t>
                </w:r>
              </w:sdtContent>
            </w:sdt>
          </w:p>
          <w:p w14:paraId="3163AF67" w14:textId="77777777" w:rsidR="001C7E6F" w:rsidRPr="009C0C9F" w:rsidRDefault="001C7E6F" w:rsidP="00BD3046">
            <w:pPr>
              <w:spacing w:after="0" w:line="240" w:lineRule="auto"/>
              <w:rPr>
                <w:rFonts w:ascii="Arial" w:eastAsia="Arial" w:hAnsi="Arial" w:cs="Arial"/>
                <w:sz w:val="18"/>
                <w:szCs w:val="18"/>
              </w:rPr>
            </w:pPr>
          </w:p>
          <w:p w14:paraId="584CC8B3" w14:textId="77777777" w:rsidR="001C7E6F" w:rsidRDefault="001C7E6F" w:rsidP="00BD3046">
            <w:pPr>
              <w:spacing w:after="0" w:line="240" w:lineRule="auto"/>
              <w:jc w:val="both"/>
              <w:rPr>
                <w:rFonts w:ascii="Arial" w:eastAsia="Arial" w:hAnsi="Arial" w:cs="Arial"/>
                <w:sz w:val="18"/>
                <w:szCs w:val="18"/>
              </w:rPr>
            </w:pPr>
            <w:r w:rsidRPr="008867C8">
              <w:rPr>
                <w:rFonts w:ascii="Arial" w:eastAsia="Arial" w:hAnsi="Arial" w:cs="Arial"/>
                <w:sz w:val="18"/>
                <w:szCs w:val="18"/>
              </w:rPr>
              <w:t xml:space="preserve">O indicador de </w:t>
            </w:r>
            <w:r>
              <w:rPr>
                <w:rFonts w:ascii="Arial" w:eastAsia="Arial" w:hAnsi="Arial" w:cs="Arial"/>
                <w:sz w:val="18"/>
                <w:szCs w:val="18"/>
              </w:rPr>
              <w:t>“</w:t>
            </w:r>
            <w:r w:rsidRPr="008867C8">
              <w:rPr>
                <w:rFonts w:ascii="Arial" w:eastAsia="Arial" w:hAnsi="Arial" w:cs="Arial"/>
                <w:sz w:val="18"/>
                <w:szCs w:val="18"/>
              </w:rPr>
              <w:t>Entrega Física das Ações</w:t>
            </w:r>
            <w:r>
              <w:rPr>
                <w:rFonts w:ascii="Arial" w:eastAsia="Arial" w:hAnsi="Arial" w:cs="Arial"/>
                <w:sz w:val="18"/>
                <w:szCs w:val="18"/>
              </w:rPr>
              <w:t>”</w:t>
            </w:r>
            <w:r w:rsidRPr="008867C8">
              <w:rPr>
                <w:rFonts w:ascii="Arial" w:eastAsia="Arial" w:hAnsi="Arial" w:cs="Arial"/>
                <w:sz w:val="18"/>
                <w:szCs w:val="18"/>
              </w:rPr>
              <w:t xml:space="preserve"> ou a mensuração da </w:t>
            </w:r>
            <w:r>
              <w:rPr>
                <w:rFonts w:ascii="Arial" w:eastAsia="Arial" w:hAnsi="Arial" w:cs="Arial"/>
                <w:sz w:val="18"/>
                <w:szCs w:val="18"/>
              </w:rPr>
              <w:t>“</w:t>
            </w:r>
            <w:r w:rsidRPr="008867C8">
              <w:rPr>
                <w:rFonts w:ascii="Arial" w:eastAsia="Arial" w:hAnsi="Arial" w:cs="Arial"/>
                <w:sz w:val="18"/>
                <w:szCs w:val="18"/>
              </w:rPr>
              <w:t>Meta Realizada</w:t>
            </w:r>
            <w:r>
              <w:rPr>
                <w:rFonts w:ascii="Arial" w:eastAsia="Arial" w:hAnsi="Arial" w:cs="Arial"/>
                <w:sz w:val="18"/>
                <w:szCs w:val="18"/>
              </w:rPr>
              <w:t>”</w:t>
            </w:r>
            <w:r w:rsidRPr="008867C8">
              <w:rPr>
                <w:rFonts w:ascii="Arial" w:eastAsia="Arial" w:hAnsi="Arial" w:cs="Arial"/>
                <w:sz w:val="18"/>
                <w:szCs w:val="18"/>
              </w:rPr>
              <w:t xml:space="preserve"> de produtos é o elo entre a execução orçamentária-financeira (liquidação da despesa) e o impacto concreto das políticas públicas na sociedade. No âmbito do Plano Plurianual, as Iniciativas financiadas pelo FECP</w:t>
            </w:r>
            <w:r>
              <w:rPr>
                <w:rFonts w:ascii="Arial" w:eastAsia="Arial" w:hAnsi="Arial" w:cs="Arial"/>
                <w:sz w:val="18"/>
                <w:szCs w:val="18"/>
              </w:rPr>
              <w:t>-RJ</w:t>
            </w:r>
            <w:r w:rsidRPr="008867C8">
              <w:rPr>
                <w:rFonts w:ascii="Arial" w:eastAsia="Arial" w:hAnsi="Arial" w:cs="Arial"/>
                <w:sz w:val="18"/>
                <w:szCs w:val="18"/>
              </w:rPr>
              <w:t xml:space="preserve"> devem prever a entrega de </w:t>
            </w:r>
            <w:r>
              <w:rPr>
                <w:rFonts w:ascii="Arial" w:eastAsia="Arial" w:hAnsi="Arial" w:cs="Arial"/>
                <w:sz w:val="18"/>
                <w:szCs w:val="18"/>
              </w:rPr>
              <w:t>p</w:t>
            </w:r>
            <w:r w:rsidRPr="008867C8">
              <w:rPr>
                <w:rFonts w:ascii="Arial" w:eastAsia="Arial" w:hAnsi="Arial" w:cs="Arial"/>
                <w:sz w:val="18"/>
                <w:szCs w:val="18"/>
              </w:rPr>
              <w:t>rodutos (bens ou serviços finalísticos) com metas físicas quantificáveis e indicadores de iniciativa que mensurem os resultados.</w:t>
            </w:r>
          </w:p>
          <w:p w14:paraId="14BC6368" w14:textId="77777777" w:rsidR="001C7E6F" w:rsidRPr="008867C8" w:rsidRDefault="001C7E6F" w:rsidP="00BD3046">
            <w:pPr>
              <w:spacing w:after="0" w:line="240" w:lineRule="auto"/>
              <w:jc w:val="both"/>
              <w:rPr>
                <w:rFonts w:ascii="Arial" w:eastAsia="Arial" w:hAnsi="Arial" w:cs="Arial"/>
                <w:sz w:val="18"/>
                <w:szCs w:val="18"/>
              </w:rPr>
            </w:pPr>
          </w:p>
          <w:p w14:paraId="1A3E413C" w14:textId="77777777" w:rsidR="001C7E6F" w:rsidRDefault="001C7E6F" w:rsidP="00BD3046">
            <w:pPr>
              <w:spacing w:after="0" w:line="240" w:lineRule="auto"/>
              <w:jc w:val="both"/>
              <w:rPr>
                <w:rFonts w:ascii="Arial" w:eastAsia="Arial" w:hAnsi="Arial" w:cs="Arial"/>
                <w:sz w:val="18"/>
                <w:szCs w:val="18"/>
              </w:rPr>
            </w:pPr>
            <w:r w:rsidRPr="008867C8">
              <w:rPr>
                <w:rFonts w:ascii="Arial" w:eastAsia="Arial" w:hAnsi="Arial" w:cs="Arial"/>
                <w:sz w:val="18"/>
                <w:szCs w:val="18"/>
              </w:rPr>
              <w:t xml:space="preserve">No plano teórico, essa mensuração se relaciona com a dimensão de efetividade do ciclo orçamentário e dialoga com a literatura de </w:t>
            </w:r>
            <w:r w:rsidRPr="008867C8">
              <w:rPr>
                <w:rFonts w:ascii="Arial" w:eastAsia="Arial" w:hAnsi="Arial" w:cs="Arial"/>
                <w:i/>
                <w:sz w:val="18"/>
                <w:szCs w:val="18"/>
              </w:rPr>
              <w:t>accountability</w:t>
            </w:r>
            <w:r w:rsidRPr="008867C8">
              <w:rPr>
                <w:rFonts w:ascii="Arial" w:eastAsia="Arial" w:hAnsi="Arial" w:cs="Arial"/>
                <w:sz w:val="18"/>
                <w:szCs w:val="18"/>
              </w:rPr>
              <w:t xml:space="preserve"> baseada em desempenho, buscando informar como os recursos foram gastos e quais foram seus resultados. </w:t>
            </w:r>
            <w:r>
              <w:rPr>
                <w:rFonts w:ascii="Arial" w:eastAsia="Arial" w:hAnsi="Arial" w:cs="Arial"/>
                <w:sz w:val="18"/>
                <w:szCs w:val="18"/>
              </w:rPr>
              <w:t xml:space="preserve">Para tanto, o TCE-RJ e a CGE-RJ têm </w:t>
            </w:r>
            <w:r w:rsidRPr="008867C8">
              <w:rPr>
                <w:rFonts w:ascii="Arial" w:eastAsia="Arial" w:hAnsi="Arial" w:cs="Arial"/>
                <w:sz w:val="18"/>
                <w:szCs w:val="18"/>
              </w:rPr>
              <w:t>utiliza</w:t>
            </w:r>
            <w:r>
              <w:rPr>
                <w:rFonts w:ascii="Arial" w:eastAsia="Arial" w:hAnsi="Arial" w:cs="Arial"/>
                <w:sz w:val="18"/>
                <w:szCs w:val="18"/>
              </w:rPr>
              <w:t>do</w:t>
            </w:r>
            <w:r w:rsidRPr="008867C8">
              <w:rPr>
                <w:rFonts w:ascii="Arial" w:eastAsia="Arial" w:hAnsi="Arial" w:cs="Arial"/>
                <w:sz w:val="18"/>
                <w:szCs w:val="18"/>
              </w:rPr>
              <w:t xml:space="preserve"> relatórios de monitoramento do PPA para acompanhar o atingimento dos resultados para além da liquidação orçamentária</w:t>
            </w:r>
            <w:r>
              <w:rPr>
                <w:rFonts w:ascii="Arial" w:eastAsia="Arial" w:hAnsi="Arial" w:cs="Arial"/>
                <w:sz w:val="18"/>
                <w:szCs w:val="18"/>
              </w:rPr>
              <w:t>.</w:t>
            </w:r>
          </w:p>
          <w:p w14:paraId="615953F7" w14:textId="77777777" w:rsidR="001C7E6F" w:rsidRDefault="001C7E6F" w:rsidP="00BD3046">
            <w:pPr>
              <w:spacing w:after="0" w:line="240" w:lineRule="auto"/>
              <w:jc w:val="both"/>
              <w:rPr>
                <w:rFonts w:ascii="Arial" w:eastAsia="Arial" w:hAnsi="Arial" w:cs="Arial"/>
                <w:sz w:val="18"/>
                <w:szCs w:val="18"/>
              </w:rPr>
            </w:pPr>
          </w:p>
          <w:p w14:paraId="3AF71B46" w14:textId="77777777" w:rsidR="001C7E6F" w:rsidRDefault="001C7E6F" w:rsidP="00BD3046">
            <w:pPr>
              <w:spacing w:after="0" w:line="240" w:lineRule="auto"/>
              <w:jc w:val="both"/>
              <w:rPr>
                <w:rFonts w:ascii="Arial" w:eastAsia="Arial" w:hAnsi="Arial" w:cs="Arial"/>
                <w:sz w:val="18"/>
                <w:szCs w:val="18"/>
              </w:rPr>
            </w:pPr>
            <w:r>
              <w:rPr>
                <w:rFonts w:ascii="Arial" w:eastAsia="Arial" w:hAnsi="Arial" w:cs="Arial"/>
                <w:sz w:val="18"/>
                <w:szCs w:val="18"/>
              </w:rPr>
              <w:t>Como exemplo, observa-se que, n</w:t>
            </w:r>
            <w:r w:rsidRPr="008867C8">
              <w:rPr>
                <w:rFonts w:ascii="Arial" w:eastAsia="Arial" w:hAnsi="Arial" w:cs="Arial"/>
                <w:sz w:val="18"/>
                <w:szCs w:val="18"/>
              </w:rPr>
              <w:t xml:space="preserve">o exercício de 2023, </w:t>
            </w:r>
            <w:r>
              <w:rPr>
                <w:rFonts w:ascii="Arial" w:eastAsia="Arial" w:hAnsi="Arial" w:cs="Arial"/>
                <w:sz w:val="18"/>
                <w:szCs w:val="18"/>
              </w:rPr>
              <w:t>a</w:t>
            </w:r>
            <w:r w:rsidRPr="008867C8">
              <w:rPr>
                <w:rFonts w:ascii="Arial" w:eastAsia="Arial" w:hAnsi="Arial" w:cs="Arial"/>
                <w:sz w:val="18"/>
                <w:szCs w:val="18"/>
              </w:rPr>
              <w:t xml:space="preserve"> execução orçamentária</w:t>
            </w:r>
            <w:r>
              <w:rPr>
                <w:rFonts w:ascii="Arial" w:eastAsia="Arial" w:hAnsi="Arial" w:cs="Arial"/>
                <w:sz w:val="18"/>
                <w:szCs w:val="18"/>
              </w:rPr>
              <w:t>,</w:t>
            </w:r>
            <w:r w:rsidRPr="008867C8">
              <w:rPr>
                <w:rFonts w:ascii="Arial" w:eastAsia="Arial" w:hAnsi="Arial" w:cs="Arial"/>
                <w:sz w:val="18"/>
                <w:szCs w:val="18"/>
              </w:rPr>
              <w:t xml:space="preserve"> em relação à dotação atualizada</w:t>
            </w:r>
            <w:r>
              <w:rPr>
                <w:rFonts w:ascii="Arial" w:eastAsia="Arial" w:hAnsi="Arial" w:cs="Arial"/>
                <w:sz w:val="18"/>
                <w:szCs w:val="18"/>
              </w:rPr>
              <w:t>,</w:t>
            </w:r>
            <w:r w:rsidRPr="008867C8">
              <w:rPr>
                <w:rFonts w:ascii="Arial" w:eastAsia="Arial" w:hAnsi="Arial" w:cs="Arial"/>
                <w:sz w:val="18"/>
                <w:szCs w:val="18"/>
              </w:rPr>
              <w:t xml:space="preserve"> foi alta (87,67%), mas o desempenho físico das metas (o produto/serviço entregue) foi heterogêneo. Muitas ações de alto impacto cumpriram ou superaram a meta física, como a realização de </w:t>
            </w:r>
            <w:r>
              <w:rPr>
                <w:rFonts w:ascii="Arial" w:eastAsia="Arial" w:hAnsi="Arial" w:cs="Arial"/>
                <w:sz w:val="18"/>
                <w:szCs w:val="18"/>
              </w:rPr>
              <w:t>“</w:t>
            </w:r>
            <w:r w:rsidRPr="008867C8">
              <w:rPr>
                <w:rFonts w:ascii="Arial" w:eastAsia="Arial" w:hAnsi="Arial" w:cs="Arial"/>
                <w:sz w:val="18"/>
                <w:szCs w:val="18"/>
              </w:rPr>
              <w:t>Teste de Triagem Neonatal</w:t>
            </w:r>
            <w:r>
              <w:rPr>
                <w:rFonts w:ascii="Arial" w:eastAsia="Arial" w:hAnsi="Arial" w:cs="Arial"/>
                <w:sz w:val="18"/>
                <w:szCs w:val="18"/>
              </w:rPr>
              <w:t>”</w:t>
            </w:r>
            <w:r w:rsidRPr="008867C8">
              <w:rPr>
                <w:rFonts w:ascii="Arial" w:eastAsia="Arial" w:hAnsi="Arial" w:cs="Arial"/>
                <w:sz w:val="18"/>
                <w:szCs w:val="18"/>
              </w:rPr>
              <w:t xml:space="preserve"> (169,61% realizado) e a aquisição de </w:t>
            </w:r>
            <w:r>
              <w:rPr>
                <w:rFonts w:ascii="Arial" w:eastAsia="Arial" w:hAnsi="Arial" w:cs="Arial"/>
                <w:sz w:val="18"/>
                <w:szCs w:val="18"/>
              </w:rPr>
              <w:t>“</w:t>
            </w:r>
            <w:r w:rsidRPr="008867C8">
              <w:rPr>
                <w:rFonts w:ascii="Arial" w:eastAsia="Arial" w:hAnsi="Arial" w:cs="Arial"/>
                <w:sz w:val="18"/>
                <w:szCs w:val="18"/>
              </w:rPr>
              <w:t>Equipamento destinado à prestação de socorro</w:t>
            </w:r>
            <w:r>
              <w:rPr>
                <w:rFonts w:ascii="Arial" w:eastAsia="Arial" w:hAnsi="Arial" w:cs="Arial"/>
                <w:sz w:val="18"/>
                <w:szCs w:val="18"/>
              </w:rPr>
              <w:t>”</w:t>
            </w:r>
            <w:r w:rsidRPr="008867C8">
              <w:rPr>
                <w:rFonts w:ascii="Arial" w:eastAsia="Arial" w:hAnsi="Arial" w:cs="Arial"/>
                <w:sz w:val="18"/>
                <w:szCs w:val="18"/>
              </w:rPr>
              <w:t xml:space="preserve"> (107,94% realizado)</w:t>
            </w:r>
            <w:r>
              <w:rPr>
                <w:rFonts w:ascii="Arial" w:eastAsia="Arial" w:hAnsi="Arial" w:cs="Arial"/>
                <w:sz w:val="18"/>
                <w:szCs w:val="18"/>
              </w:rPr>
              <w:t xml:space="preserve">. </w:t>
            </w:r>
            <w:r w:rsidRPr="0064516B">
              <w:rPr>
                <w:rFonts w:ascii="Arial" w:eastAsia="Arial" w:hAnsi="Arial" w:cs="Arial"/>
                <w:sz w:val="18"/>
                <w:szCs w:val="18"/>
              </w:rPr>
              <w:t xml:space="preserve">Outras ações, no entanto, apresentaram falhas, com metas não iniciadas, paralisadas ou canceladas, apesar de terem dotação prevista. Por exemplo, a Defensoria Pública teve produtos como o </w:t>
            </w:r>
            <w:r>
              <w:rPr>
                <w:rFonts w:ascii="Arial" w:eastAsia="Arial" w:hAnsi="Arial" w:cs="Arial"/>
                <w:sz w:val="18"/>
                <w:szCs w:val="18"/>
              </w:rPr>
              <w:t>“</w:t>
            </w:r>
            <w:r w:rsidRPr="0064516B">
              <w:rPr>
                <w:rFonts w:ascii="Arial" w:eastAsia="Arial" w:hAnsi="Arial" w:cs="Arial"/>
                <w:sz w:val="18"/>
                <w:szCs w:val="18"/>
              </w:rPr>
              <w:t>Projeto de Assessoramento Técnico</w:t>
            </w:r>
            <w:r>
              <w:rPr>
                <w:rFonts w:ascii="Arial" w:eastAsia="Arial" w:hAnsi="Arial" w:cs="Arial"/>
                <w:sz w:val="18"/>
                <w:szCs w:val="18"/>
              </w:rPr>
              <w:t>”</w:t>
            </w:r>
            <w:r w:rsidRPr="0064516B">
              <w:rPr>
                <w:rFonts w:ascii="Arial" w:eastAsia="Arial" w:hAnsi="Arial" w:cs="Arial"/>
                <w:sz w:val="18"/>
                <w:szCs w:val="18"/>
              </w:rPr>
              <w:t xml:space="preserve"> com 0,00% de realização (</w:t>
            </w:r>
            <w:r>
              <w:rPr>
                <w:rFonts w:ascii="Arial" w:eastAsia="Arial" w:hAnsi="Arial" w:cs="Arial"/>
                <w:sz w:val="18"/>
                <w:szCs w:val="18"/>
              </w:rPr>
              <w:t>ou seja, n</w:t>
            </w:r>
            <w:r w:rsidRPr="0064516B">
              <w:rPr>
                <w:rFonts w:ascii="Arial" w:eastAsia="Arial" w:hAnsi="Arial" w:cs="Arial"/>
                <w:sz w:val="18"/>
                <w:szCs w:val="18"/>
              </w:rPr>
              <w:t xml:space="preserve">ão </w:t>
            </w:r>
            <w:r>
              <w:rPr>
                <w:rFonts w:ascii="Arial" w:eastAsia="Arial" w:hAnsi="Arial" w:cs="Arial"/>
                <w:sz w:val="18"/>
                <w:szCs w:val="18"/>
              </w:rPr>
              <w:t xml:space="preserve">foi </w:t>
            </w:r>
            <w:r w:rsidRPr="0064516B">
              <w:rPr>
                <w:rFonts w:ascii="Arial" w:eastAsia="Arial" w:hAnsi="Arial" w:cs="Arial"/>
                <w:sz w:val="18"/>
                <w:szCs w:val="18"/>
              </w:rPr>
              <w:t xml:space="preserve">iniciado). Projetos da SEFAZ, como a implantação do </w:t>
            </w:r>
            <w:r>
              <w:rPr>
                <w:rFonts w:ascii="Arial" w:eastAsia="Arial" w:hAnsi="Arial" w:cs="Arial"/>
                <w:sz w:val="18"/>
                <w:szCs w:val="18"/>
              </w:rPr>
              <w:t>“</w:t>
            </w:r>
            <w:r w:rsidRPr="0064516B">
              <w:rPr>
                <w:rFonts w:ascii="Arial" w:eastAsia="Arial" w:hAnsi="Arial" w:cs="Arial"/>
                <w:sz w:val="18"/>
                <w:szCs w:val="18"/>
              </w:rPr>
              <w:t>Sistema e-Contencioso/e-PAT</w:t>
            </w:r>
            <w:r>
              <w:rPr>
                <w:rFonts w:ascii="Arial" w:eastAsia="Arial" w:hAnsi="Arial" w:cs="Arial"/>
                <w:sz w:val="18"/>
                <w:szCs w:val="18"/>
              </w:rPr>
              <w:t>”</w:t>
            </w:r>
            <w:r w:rsidRPr="0064516B">
              <w:rPr>
                <w:rFonts w:ascii="Arial" w:eastAsia="Arial" w:hAnsi="Arial" w:cs="Arial"/>
                <w:sz w:val="18"/>
                <w:szCs w:val="18"/>
              </w:rPr>
              <w:t>, também ficaram com 0,00% de realização.</w:t>
            </w:r>
          </w:p>
          <w:p w14:paraId="34DE1F87" w14:textId="77777777" w:rsidR="001C7E6F" w:rsidRPr="009C0C9F" w:rsidRDefault="001C7E6F" w:rsidP="00BD3046">
            <w:pPr>
              <w:spacing w:after="0" w:line="240" w:lineRule="auto"/>
              <w:rPr>
                <w:rFonts w:ascii="Arial" w:eastAsia="Arial" w:hAnsi="Arial" w:cs="Arial"/>
                <w:sz w:val="18"/>
                <w:szCs w:val="18"/>
              </w:rPr>
            </w:pPr>
          </w:p>
        </w:tc>
      </w:tr>
      <w:tr w:rsidR="001C7E6F" w14:paraId="4572345A" w14:textId="77777777" w:rsidTr="00BD3046">
        <w:trPr>
          <w:trHeight w:val="20"/>
        </w:trPr>
        <w:tc>
          <w:tcPr>
            <w:tcW w:w="0" w:type="auto"/>
            <w:shd w:val="clear" w:color="auto" w:fill="auto"/>
            <w:vAlign w:val="center"/>
          </w:tcPr>
          <w:p w14:paraId="7C3B4FE3"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3.7 Integridade do gasto</w:t>
            </w:r>
          </w:p>
        </w:tc>
        <w:tc>
          <w:tcPr>
            <w:tcW w:w="0" w:type="auto"/>
            <w:shd w:val="clear" w:color="auto" w:fill="auto"/>
            <w:vAlign w:val="center"/>
          </w:tcPr>
          <w:p w14:paraId="0A74B0B4" w14:textId="77777777" w:rsidR="001C7E6F" w:rsidRPr="0067442F" w:rsidRDefault="001C7E6F" w:rsidP="00BD3046">
            <w:pPr>
              <w:spacing w:after="0" w:line="240" w:lineRule="auto"/>
              <w:jc w:val="both"/>
              <w:rPr>
                <w:rFonts w:ascii="Arial" w:eastAsia="Arial" w:hAnsi="Arial" w:cs="Arial"/>
                <w:i/>
                <w:color w:val="000000"/>
                <w:sz w:val="18"/>
                <w:szCs w:val="18"/>
              </w:rPr>
            </w:pPr>
            <w:r w:rsidRPr="0067442F">
              <w:rPr>
                <w:rFonts w:ascii="Arial" w:eastAsia="Arial" w:hAnsi="Arial" w:cs="Arial"/>
                <w:i/>
                <w:sz w:val="18"/>
                <w:szCs w:val="18"/>
              </w:rPr>
              <w:t>Certificação de i</w:t>
            </w:r>
            <w:r w:rsidRPr="0067442F">
              <w:rPr>
                <w:rFonts w:ascii="Arial" w:eastAsia="Arial" w:hAnsi="Arial" w:cs="Arial"/>
                <w:i/>
                <w:color w:val="000000"/>
                <w:sz w:val="18"/>
                <w:szCs w:val="18"/>
              </w:rPr>
              <w:t>nexistência de desvios de finalidade, fraudes ou ações judiciais relacionadas ao Fundo. Assegura conformidade e probidade na execução.</w:t>
            </w:r>
          </w:p>
          <w:p w14:paraId="39AB98F9" w14:textId="77777777" w:rsidR="001C7E6F" w:rsidRDefault="001C7E6F" w:rsidP="00BD3046">
            <w:pPr>
              <w:spacing w:after="0" w:line="240" w:lineRule="auto"/>
              <w:jc w:val="both"/>
              <w:rPr>
                <w:rFonts w:ascii="Arial" w:eastAsia="Arial" w:hAnsi="Arial" w:cs="Arial"/>
                <w:color w:val="000000"/>
                <w:sz w:val="18"/>
                <w:szCs w:val="18"/>
              </w:rPr>
            </w:pPr>
          </w:p>
          <w:p w14:paraId="0718490D" w14:textId="77777777" w:rsidR="001C7E6F" w:rsidRDefault="001C7E6F" w:rsidP="00BD3046">
            <w:pPr>
              <w:spacing w:after="0" w:line="240" w:lineRule="auto"/>
              <w:jc w:val="both"/>
              <w:rPr>
                <w:rFonts w:ascii="Arial" w:eastAsia="Arial" w:hAnsi="Arial" w:cs="Arial"/>
                <w:color w:val="000000"/>
                <w:sz w:val="18"/>
                <w:szCs w:val="18"/>
              </w:rPr>
            </w:pPr>
            <w:r w:rsidRPr="0064516B">
              <w:rPr>
                <w:rFonts w:ascii="Arial" w:eastAsia="Arial" w:hAnsi="Arial" w:cs="Arial"/>
                <w:color w:val="000000"/>
                <w:sz w:val="18"/>
                <w:szCs w:val="18"/>
              </w:rPr>
              <w:t>Não existe uma certificação de inexistência formal de desvios de finalidade, fraudes ou ações judiciais relacionadas ao FECP</w:t>
            </w:r>
            <w:r>
              <w:rPr>
                <w:rFonts w:ascii="Arial" w:eastAsia="Arial" w:hAnsi="Arial" w:cs="Arial"/>
                <w:color w:val="000000"/>
                <w:sz w:val="18"/>
                <w:szCs w:val="18"/>
              </w:rPr>
              <w:t>-RJ</w:t>
            </w:r>
            <w:r w:rsidRPr="0064516B">
              <w:rPr>
                <w:rFonts w:ascii="Arial" w:eastAsia="Arial" w:hAnsi="Arial" w:cs="Arial"/>
                <w:color w:val="000000"/>
                <w:sz w:val="18"/>
                <w:szCs w:val="18"/>
              </w:rPr>
              <w:t>. Pelo contrário, os documentos de controle evidenciam a existência de desvios no passado recente, a aplicação de penalidades e falhas crônicas de controle interno que elevam o risco de fraude e comprometem a probidade e conformidade na execução.</w:t>
            </w:r>
          </w:p>
          <w:p w14:paraId="49B71ADD" w14:textId="77777777" w:rsidR="001C7E6F" w:rsidRDefault="001C7E6F" w:rsidP="00BD3046">
            <w:pPr>
              <w:spacing w:after="0" w:line="240" w:lineRule="auto"/>
              <w:jc w:val="both"/>
              <w:rPr>
                <w:rFonts w:ascii="Arial" w:eastAsia="Arial" w:hAnsi="Arial" w:cs="Arial"/>
                <w:color w:val="000000"/>
                <w:sz w:val="18"/>
                <w:szCs w:val="18"/>
              </w:rPr>
            </w:pPr>
          </w:p>
          <w:p w14:paraId="108E7165" w14:textId="77777777" w:rsidR="001C7E6F" w:rsidRDefault="001C7E6F" w:rsidP="00BD3046">
            <w:pPr>
              <w:spacing w:after="0" w:line="240" w:lineRule="auto"/>
              <w:jc w:val="both"/>
              <w:rPr>
                <w:rFonts w:ascii="Arial" w:eastAsia="Arial" w:hAnsi="Arial" w:cs="Arial"/>
                <w:color w:val="000000"/>
                <w:sz w:val="18"/>
                <w:szCs w:val="18"/>
              </w:rPr>
            </w:pPr>
            <w:r w:rsidRPr="0064516B">
              <w:rPr>
                <w:rFonts w:ascii="Arial" w:eastAsia="Arial" w:hAnsi="Arial" w:cs="Arial"/>
                <w:color w:val="000000"/>
                <w:sz w:val="18"/>
                <w:szCs w:val="18"/>
              </w:rPr>
              <w:t>O TCE-RJ determinou a REJEIÇÃO das razões de defesa e a APLICAÇÃO DE MULTA a gestores, como a Subsecretária de Finanças</w:t>
            </w:r>
            <w:r>
              <w:rPr>
                <w:rFonts w:ascii="Arial" w:eastAsia="Arial" w:hAnsi="Arial" w:cs="Arial"/>
                <w:color w:val="000000"/>
                <w:sz w:val="18"/>
                <w:szCs w:val="18"/>
              </w:rPr>
              <w:t>,</w:t>
            </w:r>
            <w:r w:rsidRPr="0064516B">
              <w:rPr>
                <w:rFonts w:ascii="Arial" w:eastAsia="Arial" w:hAnsi="Arial" w:cs="Arial"/>
                <w:color w:val="000000"/>
                <w:sz w:val="18"/>
                <w:szCs w:val="18"/>
              </w:rPr>
              <w:t xml:space="preserve"> no período de 2015 a 2018, em face de grave infração à norma legal. Foi determinada a COBRANÇA JUDICIAL da multa, no caso de não manifestação</w:t>
            </w:r>
            <w:r>
              <w:rPr>
                <w:rFonts w:ascii="Arial" w:eastAsia="Arial" w:hAnsi="Arial" w:cs="Arial"/>
                <w:color w:val="000000"/>
                <w:sz w:val="18"/>
                <w:szCs w:val="18"/>
              </w:rPr>
              <w:t xml:space="preserve"> (Processo TCE-RJ </w:t>
            </w:r>
            <w:r w:rsidRPr="0064516B">
              <w:rPr>
                <w:rFonts w:ascii="Arial" w:eastAsia="Arial" w:hAnsi="Arial" w:cs="Arial"/>
                <w:color w:val="000000"/>
                <w:sz w:val="18"/>
                <w:szCs w:val="18"/>
              </w:rPr>
              <w:t>104</w:t>
            </w:r>
            <w:r>
              <w:rPr>
                <w:rFonts w:ascii="Arial" w:eastAsia="Arial" w:hAnsi="Arial" w:cs="Arial"/>
                <w:color w:val="000000"/>
                <w:sz w:val="18"/>
                <w:szCs w:val="18"/>
              </w:rPr>
              <w:t>.</w:t>
            </w:r>
            <w:r w:rsidRPr="0064516B">
              <w:rPr>
                <w:rFonts w:ascii="Arial" w:eastAsia="Arial" w:hAnsi="Arial" w:cs="Arial"/>
                <w:color w:val="000000"/>
                <w:sz w:val="18"/>
                <w:szCs w:val="18"/>
              </w:rPr>
              <w:t>773</w:t>
            </w:r>
            <w:r>
              <w:rPr>
                <w:rFonts w:ascii="Arial" w:eastAsia="Arial" w:hAnsi="Arial" w:cs="Arial"/>
                <w:color w:val="000000"/>
                <w:sz w:val="18"/>
                <w:szCs w:val="18"/>
              </w:rPr>
              <w:t>/</w:t>
            </w:r>
            <w:r w:rsidRPr="0064516B">
              <w:rPr>
                <w:rFonts w:ascii="Arial" w:eastAsia="Arial" w:hAnsi="Arial" w:cs="Arial"/>
                <w:color w:val="000000"/>
                <w:sz w:val="18"/>
                <w:szCs w:val="18"/>
              </w:rPr>
              <w:t>2019</w:t>
            </w:r>
            <w:r>
              <w:rPr>
                <w:rFonts w:ascii="Arial" w:eastAsia="Arial" w:hAnsi="Arial" w:cs="Arial"/>
                <w:color w:val="000000"/>
                <w:sz w:val="18"/>
                <w:szCs w:val="18"/>
              </w:rPr>
              <w:t>).</w:t>
            </w:r>
          </w:p>
          <w:p w14:paraId="43A0F2C1" w14:textId="77777777" w:rsidR="001C7E6F" w:rsidRDefault="001C7E6F" w:rsidP="00BD3046">
            <w:pPr>
              <w:spacing w:after="0" w:line="240" w:lineRule="auto"/>
              <w:jc w:val="both"/>
              <w:rPr>
                <w:rFonts w:ascii="Arial" w:eastAsia="Arial" w:hAnsi="Arial" w:cs="Arial"/>
                <w:color w:val="000000"/>
                <w:sz w:val="18"/>
                <w:szCs w:val="18"/>
              </w:rPr>
            </w:pPr>
          </w:p>
          <w:p w14:paraId="108D9F65" w14:textId="77777777" w:rsidR="001C7E6F" w:rsidRDefault="001C7E6F" w:rsidP="00BD3046">
            <w:pPr>
              <w:spacing w:after="0" w:line="240" w:lineRule="auto"/>
              <w:jc w:val="both"/>
              <w:rPr>
                <w:rFonts w:ascii="Arial" w:eastAsia="Arial" w:hAnsi="Arial" w:cs="Arial"/>
                <w:color w:val="000000"/>
                <w:sz w:val="18"/>
                <w:szCs w:val="18"/>
              </w:rPr>
            </w:pPr>
            <w:r w:rsidRPr="0064516B">
              <w:rPr>
                <w:rFonts w:ascii="Arial" w:eastAsia="Arial" w:hAnsi="Arial" w:cs="Arial"/>
                <w:color w:val="000000"/>
                <w:sz w:val="18"/>
                <w:szCs w:val="18"/>
              </w:rPr>
              <w:lastRenderedPageBreak/>
              <w:t>As auditorias constataram problemas graves que enfraquecem a probidade na rastre</w:t>
            </w:r>
            <w:r>
              <w:rPr>
                <w:rFonts w:ascii="Arial" w:eastAsia="Arial" w:hAnsi="Arial" w:cs="Arial"/>
                <w:color w:val="000000"/>
                <w:sz w:val="18"/>
                <w:szCs w:val="18"/>
              </w:rPr>
              <w:t>abilidade dos ativos, incluindo: i. i</w:t>
            </w:r>
            <w:r w:rsidRPr="0064516B">
              <w:rPr>
                <w:rFonts w:ascii="Arial" w:eastAsia="Arial" w:hAnsi="Arial" w:cs="Arial"/>
                <w:color w:val="000000"/>
                <w:sz w:val="18"/>
                <w:szCs w:val="18"/>
              </w:rPr>
              <w:t>nexistência de documentação suporte</w:t>
            </w:r>
            <w:r>
              <w:rPr>
                <w:rFonts w:ascii="Arial" w:eastAsia="Arial" w:hAnsi="Arial" w:cs="Arial"/>
                <w:color w:val="000000"/>
                <w:sz w:val="18"/>
                <w:szCs w:val="18"/>
              </w:rPr>
              <w:t xml:space="preserve"> para saldos contábeis elevados, </w:t>
            </w:r>
            <w:r>
              <w:rPr>
                <w:rFonts w:ascii="Arial" w:eastAsia="Arial" w:hAnsi="Arial" w:cs="Arial"/>
                <w:color w:val="000000"/>
                <w:sz w:val="18"/>
                <w:szCs w:val="18"/>
              </w:rPr>
              <w:br/>
              <w:t>ii. c</w:t>
            </w:r>
            <w:r w:rsidRPr="0064516B">
              <w:rPr>
                <w:rFonts w:ascii="Arial" w:eastAsia="Arial" w:hAnsi="Arial" w:cs="Arial"/>
                <w:color w:val="000000"/>
                <w:sz w:val="18"/>
                <w:szCs w:val="18"/>
              </w:rPr>
              <w:t xml:space="preserve">réditos a </w:t>
            </w:r>
            <w:r>
              <w:rPr>
                <w:rFonts w:ascii="Arial" w:eastAsia="Arial" w:hAnsi="Arial" w:cs="Arial"/>
                <w:color w:val="000000"/>
                <w:sz w:val="18"/>
                <w:szCs w:val="18"/>
              </w:rPr>
              <w:t>r</w:t>
            </w:r>
            <w:r w:rsidRPr="0064516B">
              <w:rPr>
                <w:rFonts w:ascii="Arial" w:eastAsia="Arial" w:hAnsi="Arial" w:cs="Arial"/>
                <w:color w:val="000000"/>
                <w:sz w:val="18"/>
                <w:szCs w:val="18"/>
              </w:rPr>
              <w:t>eceber de exercícios anteriores (2015 a 2018) que representam ativos fictícios e não pos</w:t>
            </w:r>
            <w:r>
              <w:rPr>
                <w:rFonts w:ascii="Arial" w:eastAsia="Arial" w:hAnsi="Arial" w:cs="Arial"/>
                <w:color w:val="000000"/>
                <w:sz w:val="18"/>
                <w:szCs w:val="18"/>
              </w:rPr>
              <w:t>suem valor econômico real; iii. i</w:t>
            </w:r>
            <w:r w:rsidRPr="0064516B">
              <w:rPr>
                <w:rFonts w:ascii="Arial" w:eastAsia="Arial" w:hAnsi="Arial" w:cs="Arial"/>
                <w:color w:val="000000"/>
                <w:sz w:val="18"/>
                <w:szCs w:val="18"/>
              </w:rPr>
              <w:t>nconsistências entre saldos contábeis registrados</w:t>
            </w:r>
            <w:r>
              <w:rPr>
                <w:rFonts w:ascii="Arial" w:eastAsia="Arial" w:hAnsi="Arial" w:cs="Arial"/>
                <w:color w:val="000000"/>
                <w:sz w:val="18"/>
                <w:szCs w:val="18"/>
              </w:rPr>
              <w:t xml:space="preserve"> no SiafeRio e saldos bancários; e iv. b</w:t>
            </w:r>
            <w:r w:rsidRPr="0064516B">
              <w:rPr>
                <w:rFonts w:ascii="Arial" w:eastAsia="Arial" w:hAnsi="Arial" w:cs="Arial"/>
                <w:color w:val="000000"/>
                <w:sz w:val="18"/>
                <w:szCs w:val="18"/>
              </w:rPr>
              <w:t>loqueios judiciais e sequestros bancários que continuam sendo contabilizados indevidamente como caixa e equivalentes de caixa disponíveis.</w:t>
            </w:r>
          </w:p>
          <w:p w14:paraId="2428B1E5" w14:textId="77777777" w:rsidR="001C7E6F" w:rsidRDefault="001C7E6F" w:rsidP="00BD3046">
            <w:pPr>
              <w:spacing w:after="0" w:line="240" w:lineRule="auto"/>
              <w:jc w:val="both"/>
              <w:rPr>
                <w:rFonts w:ascii="Arial" w:eastAsia="Arial" w:hAnsi="Arial" w:cs="Arial"/>
                <w:color w:val="000000"/>
                <w:sz w:val="18"/>
                <w:szCs w:val="18"/>
              </w:rPr>
            </w:pPr>
          </w:p>
          <w:p w14:paraId="483D6D9D"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Ainda h</w:t>
            </w:r>
            <w:r w:rsidRPr="0064516B">
              <w:rPr>
                <w:rFonts w:ascii="Arial" w:eastAsia="Arial" w:hAnsi="Arial" w:cs="Arial"/>
                <w:color w:val="000000"/>
                <w:sz w:val="18"/>
                <w:szCs w:val="18"/>
              </w:rPr>
              <w:t>á evidências diretas de envolvimento do Fundo e de recursos vincul</w:t>
            </w:r>
            <w:r>
              <w:rPr>
                <w:rFonts w:ascii="Arial" w:eastAsia="Arial" w:hAnsi="Arial" w:cs="Arial"/>
                <w:color w:val="000000"/>
                <w:sz w:val="18"/>
                <w:szCs w:val="18"/>
              </w:rPr>
              <w:t>ados em controvérsias judiciais, como o</w:t>
            </w:r>
            <w:r w:rsidRPr="0064516B">
              <w:rPr>
                <w:rFonts w:ascii="Arial" w:eastAsia="Arial" w:hAnsi="Arial" w:cs="Arial"/>
                <w:color w:val="000000"/>
                <w:sz w:val="18"/>
                <w:szCs w:val="18"/>
              </w:rPr>
              <w:t xml:space="preserve"> remanejamento indevido de recursos do FECP</w:t>
            </w:r>
            <w:r>
              <w:rPr>
                <w:rFonts w:ascii="Arial" w:eastAsia="Arial" w:hAnsi="Arial" w:cs="Arial"/>
                <w:color w:val="000000"/>
                <w:sz w:val="18"/>
                <w:szCs w:val="18"/>
              </w:rPr>
              <w:t>-RJ</w:t>
            </w:r>
            <w:r w:rsidRPr="0064516B">
              <w:rPr>
                <w:rFonts w:ascii="Arial" w:eastAsia="Arial" w:hAnsi="Arial" w:cs="Arial"/>
                <w:color w:val="000000"/>
                <w:sz w:val="18"/>
                <w:szCs w:val="18"/>
              </w:rPr>
              <w:t xml:space="preserve"> (Fonte 122) para cobrir outras fontes foi resultado de frequentes interferências no caixa estadual por força de medidas judiciais (bloqueios e arrestos). </w:t>
            </w:r>
          </w:p>
          <w:p w14:paraId="77A30E8D" w14:textId="77777777" w:rsidR="001C7E6F" w:rsidRDefault="001C7E6F" w:rsidP="00BD3046">
            <w:pPr>
              <w:spacing w:after="0" w:line="240" w:lineRule="auto"/>
              <w:jc w:val="both"/>
              <w:rPr>
                <w:rFonts w:ascii="Arial" w:eastAsia="Arial" w:hAnsi="Arial" w:cs="Arial"/>
                <w:color w:val="000000"/>
                <w:sz w:val="18"/>
                <w:szCs w:val="18"/>
              </w:rPr>
            </w:pPr>
          </w:p>
        </w:tc>
      </w:tr>
      <w:tr w:rsidR="001C7E6F" w14:paraId="456E8563" w14:textId="77777777" w:rsidTr="00BD3046">
        <w:trPr>
          <w:trHeight w:val="20"/>
        </w:trPr>
        <w:tc>
          <w:tcPr>
            <w:tcW w:w="0" w:type="auto"/>
            <w:shd w:val="clear" w:color="auto" w:fill="auto"/>
            <w:vAlign w:val="center"/>
          </w:tcPr>
          <w:p w14:paraId="494F47B9"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3.8 Avaliação de resultados</w:t>
            </w:r>
          </w:p>
        </w:tc>
        <w:tc>
          <w:tcPr>
            <w:tcW w:w="0" w:type="auto"/>
            <w:shd w:val="clear" w:color="auto" w:fill="auto"/>
            <w:vAlign w:val="center"/>
          </w:tcPr>
          <w:p w14:paraId="017F54AF" w14:textId="77777777" w:rsidR="001C7E6F" w:rsidRPr="0067442F" w:rsidRDefault="001C7E6F" w:rsidP="00BD3046">
            <w:pPr>
              <w:spacing w:after="0" w:line="240" w:lineRule="auto"/>
              <w:rPr>
                <w:rFonts w:ascii="Arial" w:eastAsia="Arial" w:hAnsi="Arial" w:cs="Arial"/>
                <w:i/>
                <w:color w:val="000000"/>
                <w:sz w:val="18"/>
                <w:szCs w:val="18"/>
              </w:rPr>
            </w:pPr>
            <w:r w:rsidRPr="0067442F">
              <w:rPr>
                <w:rFonts w:ascii="Arial" w:eastAsia="Arial" w:hAnsi="Arial" w:cs="Arial"/>
                <w:i/>
                <w:color w:val="000000"/>
                <w:sz w:val="18"/>
                <w:szCs w:val="18"/>
              </w:rPr>
              <w:t>Realização de avaliação anual dos recursos, análises de custo-benefício e custo-efetividade.</w:t>
            </w:r>
          </w:p>
          <w:p w14:paraId="0CE07433" w14:textId="77777777" w:rsidR="001C7E6F" w:rsidRDefault="001C7E6F" w:rsidP="00BD3046">
            <w:pPr>
              <w:spacing w:after="0" w:line="240" w:lineRule="auto"/>
              <w:rPr>
                <w:rFonts w:ascii="Arial" w:eastAsia="Arial" w:hAnsi="Arial" w:cs="Arial"/>
                <w:color w:val="000000"/>
                <w:sz w:val="18"/>
                <w:szCs w:val="18"/>
              </w:rPr>
            </w:pPr>
          </w:p>
          <w:p w14:paraId="19D68BF7" w14:textId="77777777" w:rsidR="001C7E6F" w:rsidRDefault="001C7E6F" w:rsidP="00BD3046">
            <w:pPr>
              <w:spacing w:after="0" w:line="240" w:lineRule="auto"/>
              <w:rPr>
                <w:rFonts w:ascii="Arial" w:eastAsia="Arial" w:hAnsi="Arial" w:cs="Arial"/>
                <w:color w:val="000000"/>
                <w:sz w:val="18"/>
                <w:szCs w:val="18"/>
              </w:rPr>
            </w:pPr>
            <w:r w:rsidRPr="00301F95">
              <w:rPr>
                <w:rFonts w:ascii="Arial" w:eastAsia="Arial" w:hAnsi="Arial" w:cs="Arial"/>
                <w:color w:val="000000"/>
                <w:sz w:val="18"/>
                <w:szCs w:val="18"/>
              </w:rPr>
              <w:t>O Estado utiliza metodologias que fornecem bases técnicas para análises econômicas complexas que transcendem a mera execução financeira:</w:t>
            </w:r>
          </w:p>
          <w:p w14:paraId="56C453FD" w14:textId="77777777" w:rsidR="001C7E6F" w:rsidRPr="00301F95" w:rsidRDefault="001C7E6F" w:rsidP="00BD3046">
            <w:pPr>
              <w:spacing w:after="0" w:line="240" w:lineRule="auto"/>
              <w:rPr>
                <w:rFonts w:ascii="Arial" w:eastAsia="Arial" w:hAnsi="Arial" w:cs="Arial"/>
                <w:color w:val="000000"/>
                <w:sz w:val="18"/>
                <w:szCs w:val="18"/>
              </w:rPr>
            </w:pPr>
          </w:p>
          <w:p w14:paraId="44D6FD85" w14:textId="77777777" w:rsidR="001C7E6F" w:rsidRPr="00301F95" w:rsidRDefault="001C7E6F" w:rsidP="0032733E">
            <w:pPr>
              <w:pStyle w:val="PargrafodaLista"/>
              <w:numPr>
                <w:ilvl w:val="0"/>
                <w:numId w:val="27"/>
              </w:numPr>
              <w:spacing w:after="0" w:line="240" w:lineRule="auto"/>
              <w:ind w:left="461" w:hanging="283"/>
              <w:rPr>
                <w:rFonts w:eastAsia="Arial"/>
                <w:color w:val="000000"/>
                <w:sz w:val="18"/>
                <w:szCs w:val="18"/>
              </w:rPr>
            </w:pPr>
            <w:r w:rsidRPr="00301F95">
              <w:rPr>
                <w:rFonts w:eastAsia="Arial"/>
                <w:color w:val="000000"/>
                <w:sz w:val="18"/>
                <w:szCs w:val="18"/>
              </w:rPr>
              <w:t>Matriz Insumo-Produto (MIP): A MIP é utilizada pela Subsecretaria de Planejamento Estratégico (SUBPLE) para avaliar os impactos econômicos de investimentos. Por meio da MIP, pode-se avaliar:</w:t>
            </w:r>
          </w:p>
          <w:p w14:paraId="06C8A8FE" w14:textId="77777777" w:rsidR="001C7E6F" w:rsidRPr="00301F95" w:rsidRDefault="001C7E6F" w:rsidP="0032733E">
            <w:pPr>
              <w:pStyle w:val="PargrafodaLista"/>
              <w:numPr>
                <w:ilvl w:val="0"/>
                <w:numId w:val="27"/>
              </w:numPr>
              <w:spacing w:after="0" w:line="240" w:lineRule="auto"/>
              <w:ind w:left="461" w:hanging="283"/>
              <w:rPr>
                <w:rFonts w:eastAsia="Arial"/>
                <w:color w:val="000000"/>
                <w:sz w:val="18"/>
                <w:szCs w:val="18"/>
              </w:rPr>
            </w:pPr>
            <w:r w:rsidRPr="00301F95">
              <w:rPr>
                <w:rFonts w:eastAsia="Arial"/>
                <w:color w:val="000000"/>
                <w:sz w:val="18"/>
                <w:szCs w:val="18"/>
              </w:rPr>
              <w:t>Impactos Indiretos: As compras em determinado setor possuem impactos indiretos sobre a demanda por insumos produtivos de outros setores.</w:t>
            </w:r>
          </w:p>
          <w:p w14:paraId="5B07CB4C" w14:textId="77777777" w:rsidR="001C7E6F" w:rsidRPr="00301F95" w:rsidRDefault="001C7E6F" w:rsidP="0032733E">
            <w:pPr>
              <w:pStyle w:val="PargrafodaLista"/>
              <w:numPr>
                <w:ilvl w:val="0"/>
                <w:numId w:val="27"/>
              </w:numPr>
              <w:spacing w:after="0" w:line="240" w:lineRule="auto"/>
              <w:ind w:left="461" w:hanging="283"/>
              <w:rPr>
                <w:rFonts w:eastAsia="Arial"/>
                <w:color w:val="000000"/>
                <w:sz w:val="18"/>
                <w:szCs w:val="18"/>
              </w:rPr>
            </w:pPr>
            <w:r w:rsidRPr="00301F95">
              <w:rPr>
                <w:rFonts w:eastAsia="Arial"/>
                <w:color w:val="000000"/>
                <w:sz w:val="18"/>
                <w:szCs w:val="18"/>
              </w:rPr>
              <w:t>Remunerações de Fatores: A matriz informa sobre a composição de seus custos e dos custos de sua cadeia produtiva, o que permite calcular as remunerações finais dos fatores de produção para cada R$ 1,00 de produção vendida.</w:t>
            </w:r>
          </w:p>
          <w:p w14:paraId="550F1732" w14:textId="77777777" w:rsidR="001C7E6F" w:rsidRPr="00301F95" w:rsidRDefault="001C7E6F" w:rsidP="0032733E">
            <w:pPr>
              <w:pStyle w:val="PargrafodaLista"/>
              <w:numPr>
                <w:ilvl w:val="0"/>
                <w:numId w:val="27"/>
              </w:numPr>
              <w:spacing w:after="0" w:line="240" w:lineRule="auto"/>
              <w:ind w:left="461" w:hanging="283"/>
              <w:rPr>
                <w:rFonts w:eastAsia="Arial"/>
                <w:color w:val="000000"/>
                <w:sz w:val="18"/>
                <w:szCs w:val="18"/>
              </w:rPr>
            </w:pPr>
            <w:r w:rsidRPr="00301F95">
              <w:rPr>
                <w:rFonts w:eastAsia="Arial"/>
                <w:color w:val="000000"/>
                <w:sz w:val="18"/>
                <w:szCs w:val="18"/>
              </w:rPr>
              <w:t>Externalidades: A MIP pode ser expandida para analisar o nível de consumo setorial de energia elétrica e de água e o nível de emissão de gases poluentes, adicionando informações sobre emissões.</w:t>
            </w:r>
          </w:p>
          <w:p w14:paraId="3EF9CB48" w14:textId="77777777" w:rsidR="001C7E6F" w:rsidRPr="00301F95" w:rsidRDefault="001C7E6F" w:rsidP="0032733E">
            <w:pPr>
              <w:pStyle w:val="PargrafodaLista"/>
              <w:numPr>
                <w:ilvl w:val="0"/>
                <w:numId w:val="27"/>
              </w:numPr>
              <w:spacing w:after="0" w:line="240" w:lineRule="auto"/>
              <w:ind w:left="461" w:hanging="283"/>
              <w:rPr>
                <w:rFonts w:eastAsia="Arial"/>
                <w:color w:val="000000"/>
                <w:sz w:val="18"/>
                <w:szCs w:val="18"/>
              </w:rPr>
            </w:pPr>
            <w:r w:rsidRPr="00301F95">
              <w:rPr>
                <w:rFonts w:eastAsia="Arial"/>
                <w:color w:val="000000"/>
                <w:sz w:val="18"/>
                <w:szCs w:val="18"/>
              </w:rPr>
              <w:t>Impacto no Consumo Final: A análise da MIP pode ser estendida para avaliar como as remunerações pagas aos trabalhadores induzem o consumo final das famílias por bens e serviços.</w:t>
            </w:r>
          </w:p>
          <w:p w14:paraId="0FF85523" w14:textId="77777777" w:rsidR="001C7E6F" w:rsidRPr="00301F95" w:rsidRDefault="001C7E6F" w:rsidP="00BD3046">
            <w:pPr>
              <w:spacing w:after="0" w:line="240" w:lineRule="auto"/>
              <w:rPr>
                <w:rFonts w:ascii="Arial" w:eastAsia="Arial" w:hAnsi="Arial" w:cs="Arial"/>
                <w:color w:val="000000"/>
                <w:sz w:val="18"/>
                <w:szCs w:val="18"/>
              </w:rPr>
            </w:pPr>
          </w:p>
          <w:p w14:paraId="44E6DA3C" w14:textId="77777777" w:rsidR="001C7E6F" w:rsidRDefault="001C7E6F" w:rsidP="00BD3046">
            <w:pPr>
              <w:spacing w:after="0" w:line="240" w:lineRule="auto"/>
              <w:rPr>
                <w:rFonts w:ascii="Arial" w:eastAsia="Arial" w:hAnsi="Arial" w:cs="Arial"/>
                <w:color w:val="000000"/>
                <w:sz w:val="18"/>
                <w:szCs w:val="18"/>
              </w:rPr>
            </w:pPr>
            <w:r w:rsidRPr="00301F95">
              <w:rPr>
                <w:rFonts w:ascii="Arial" w:eastAsia="Arial" w:hAnsi="Arial" w:cs="Arial"/>
                <w:color w:val="000000"/>
                <w:sz w:val="18"/>
                <w:szCs w:val="18"/>
              </w:rPr>
              <w:t xml:space="preserve">Essas análises de impacto indireto e setorial (MIP) funcionam como instrumentos de avaliação da eficiência e do retorno socioeconômico de investimentos em diferentes setores, oferecendo um </w:t>
            </w:r>
            <w:r w:rsidRPr="00301F95">
              <w:rPr>
                <w:rFonts w:ascii="Arial" w:eastAsia="Arial" w:hAnsi="Arial" w:cs="Arial"/>
                <w:i/>
                <w:color w:val="000000"/>
                <w:sz w:val="18"/>
                <w:szCs w:val="18"/>
              </w:rPr>
              <w:t>proxy</w:t>
            </w:r>
            <w:r w:rsidRPr="00301F95">
              <w:rPr>
                <w:rFonts w:ascii="Arial" w:eastAsia="Arial" w:hAnsi="Arial" w:cs="Arial"/>
                <w:color w:val="000000"/>
                <w:sz w:val="18"/>
                <w:szCs w:val="18"/>
              </w:rPr>
              <w:t xml:space="preserve"> para o cálculo de custo-benefício e custo-efetivi</w:t>
            </w:r>
            <w:r>
              <w:rPr>
                <w:rFonts w:ascii="Arial" w:eastAsia="Arial" w:hAnsi="Arial" w:cs="Arial"/>
                <w:color w:val="000000"/>
                <w:sz w:val="18"/>
                <w:szCs w:val="18"/>
              </w:rPr>
              <w:t>dade em um nível macroeconômico.</w:t>
            </w:r>
          </w:p>
          <w:p w14:paraId="674F0450" w14:textId="77777777" w:rsidR="001C7E6F" w:rsidRDefault="001C7E6F" w:rsidP="00BD3046">
            <w:pPr>
              <w:spacing w:after="0" w:line="240" w:lineRule="auto"/>
              <w:rPr>
                <w:rFonts w:ascii="Arial" w:eastAsia="Arial" w:hAnsi="Arial" w:cs="Arial"/>
                <w:color w:val="000000"/>
                <w:sz w:val="18"/>
                <w:szCs w:val="18"/>
              </w:rPr>
            </w:pPr>
          </w:p>
          <w:p w14:paraId="5D656D11" w14:textId="77777777" w:rsidR="001C7E6F" w:rsidRDefault="001C7E6F" w:rsidP="00BD3046">
            <w:pPr>
              <w:spacing w:after="0" w:line="240" w:lineRule="auto"/>
              <w:rPr>
                <w:rFonts w:ascii="Arial" w:eastAsia="Arial" w:hAnsi="Arial" w:cs="Arial"/>
                <w:color w:val="000000"/>
                <w:sz w:val="18"/>
                <w:szCs w:val="18"/>
              </w:rPr>
            </w:pPr>
            <w:r w:rsidRPr="00301F95">
              <w:rPr>
                <w:rFonts w:ascii="Arial" w:eastAsia="Arial" w:hAnsi="Arial" w:cs="Arial"/>
                <w:color w:val="000000"/>
                <w:sz w:val="18"/>
                <w:szCs w:val="18"/>
              </w:rPr>
              <w:t>O Estado também desenvolveu uma metodologia para estimar o Resultado Fiscal Estrutural (RFE), que tem por finalidade auxiliar os gestores públicos no direcionamento da política fiscal.</w:t>
            </w:r>
            <w:r>
              <w:rPr>
                <w:rFonts w:ascii="Arial" w:eastAsia="Arial" w:hAnsi="Arial" w:cs="Arial"/>
                <w:color w:val="000000"/>
                <w:sz w:val="18"/>
                <w:szCs w:val="18"/>
              </w:rPr>
              <w:t xml:space="preserve"> </w:t>
            </w:r>
            <w:r w:rsidRPr="00301F95">
              <w:rPr>
                <w:rFonts w:ascii="Arial" w:eastAsia="Arial" w:hAnsi="Arial" w:cs="Arial"/>
                <w:color w:val="000000"/>
                <w:sz w:val="18"/>
                <w:szCs w:val="18"/>
              </w:rPr>
              <w:t xml:space="preserve">O RFE remove a influência de eventos não recorrentes e ajusta o resultado primário pelo efeito do ciclo econômico e do preço de ativos. Ao eliminar a volatilidade, oferece uma medida mais estável e estrutural da capacidade fiscal do Estado, fundamental para a sustentabilidade da política fiscal e para a tomada de decisões de investimento de longo prazo. </w:t>
            </w:r>
            <w:r>
              <w:rPr>
                <w:rFonts w:ascii="Arial" w:eastAsia="Arial" w:hAnsi="Arial" w:cs="Arial"/>
                <w:color w:val="000000"/>
                <w:sz w:val="18"/>
                <w:szCs w:val="18"/>
              </w:rPr>
              <w:t>De acordo com a SUBPLE, a</w:t>
            </w:r>
            <w:r w:rsidRPr="00301F95">
              <w:rPr>
                <w:rFonts w:ascii="Arial" w:eastAsia="Arial" w:hAnsi="Arial" w:cs="Arial"/>
                <w:color w:val="000000"/>
                <w:sz w:val="18"/>
                <w:szCs w:val="18"/>
              </w:rPr>
              <w:t xml:space="preserve"> metodologia e os resultados devem ser atualizados com frequência mínima de um ano</w:t>
            </w:r>
            <w:r>
              <w:rPr>
                <w:rFonts w:ascii="Arial" w:eastAsia="Arial" w:hAnsi="Arial" w:cs="Arial"/>
                <w:color w:val="000000"/>
                <w:sz w:val="18"/>
                <w:szCs w:val="18"/>
              </w:rPr>
              <w:t>.</w:t>
            </w:r>
          </w:p>
          <w:p w14:paraId="1716169F" w14:textId="77777777" w:rsidR="001C7E6F" w:rsidRDefault="001C7E6F" w:rsidP="00BD3046">
            <w:pPr>
              <w:spacing w:after="0" w:line="240" w:lineRule="auto"/>
              <w:rPr>
                <w:rFonts w:ascii="Arial" w:eastAsia="Arial" w:hAnsi="Arial" w:cs="Arial"/>
                <w:color w:val="000000"/>
                <w:sz w:val="18"/>
                <w:szCs w:val="18"/>
              </w:rPr>
            </w:pPr>
          </w:p>
        </w:tc>
      </w:tr>
      <w:tr w:rsidR="001C7E6F" w14:paraId="49E569E5" w14:textId="77777777" w:rsidTr="00BD3046">
        <w:trPr>
          <w:trHeight w:val="20"/>
        </w:trPr>
        <w:tc>
          <w:tcPr>
            <w:tcW w:w="0" w:type="auto"/>
            <w:shd w:val="clear" w:color="auto" w:fill="auto"/>
            <w:vAlign w:val="center"/>
          </w:tcPr>
          <w:p w14:paraId="3C000693"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3.9 Impactos sociais</w:t>
            </w:r>
          </w:p>
        </w:tc>
        <w:tc>
          <w:tcPr>
            <w:tcW w:w="0" w:type="auto"/>
            <w:shd w:val="clear" w:color="auto" w:fill="auto"/>
            <w:vAlign w:val="center"/>
          </w:tcPr>
          <w:p w14:paraId="6809068C" w14:textId="77777777" w:rsidR="001C7E6F" w:rsidRPr="00D118D6" w:rsidRDefault="001C7E6F" w:rsidP="00BD3046">
            <w:pPr>
              <w:spacing w:after="0" w:line="240" w:lineRule="auto"/>
              <w:rPr>
                <w:rFonts w:ascii="Arial" w:eastAsia="Arial" w:hAnsi="Arial" w:cs="Arial"/>
                <w:i/>
                <w:color w:val="000000"/>
                <w:sz w:val="18"/>
                <w:szCs w:val="18"/>
              </w:rPr>
            </w:pPr>
            <w:r w:rsidRPr="00D118D6">
              <w:rPr>
                <w:rFonts w:ascii="Arial" w:eastAsia="Arial" w:hAnsi="Arial" w:cs="Arial"/>
                <w:i/>
                <w:color w:val="000000"/>
                <w:sz w:val="18"/>
                <w:szCs w:val="18"/>
              </w:rPr>
              <w:t>Evidenciação dos efeitos do financiamento de ações de combate à pobreza na população-alvo (equidade e bem-estar). Correlação com a melhoria aparente de indicadores sociais (taxa de pobreza, renda per capita, cobertura de serviços, entre outros possíveis).</w:t>
            </w:r>
          </w:p>
          <w:p w14:paraId="3D4D1E33" w14:textId="77777777" w:rsidR="001C7E6F" w:rsidRDefault="001C7E6F" w:rsidP="00BD3046">
            <w:pPr>
              <w:spacing w:after="0" w:line="240" w:lineRule="auto"/>
              <w:rPr>
                <w:rFonts w:ascii="Arial" w:eastAsia="Arial" w:hAnsi="Arial" w:cs="Arial"/>
                <w:color w:val="000000"/>
                <w:sz w:val="18"/>
                <w:szCs w:val="18"/>
              </w:rPr>
            </w:pPr>
          </w:p>
          <w:p w14:paraId="528C4F3C" w14:textId="77777777" w:rsidR="001C7E6F" w:rsidRDefault="001C7E6F" w:rsidP="00BD3046">
            <w:pPr>
              <w:spacing w:after="0" w:line="240" w:lineRule="auto"/>
              <w:rPr>
                <w:rFonts w:ascii="Arial" w:eastAsia="Arial" w:hAnsi="Arial" w:cs="Arial"/>
                <w:color w:val="000000"/>
                <w:sz w:val="18"/>
                <w:szCs w:val="18"/>
              </w:rPr>
            </w:pPr>
            <w:r w:rsidRPr="00301F95">
              <w:rPr>
                <w:rFonts w:ascii="Arial" w:eastAsia="Arial" w:hAnsi="Arial" w:cs="Arial"/>
                <w:color w:val="000000"/>
                <w:sz w:val="18"/>
                <w:szCs w:val="18"/>
              </w:rPr>
              <w:t>O financiamento de ações de combate à pobreza pelo FECP</w:t>
            </w:r>
            <w:r>
              <w:rPr>
                <w:rFonts w:ascii="Arial" w:eastAsia="Arial" w:hAnsi="Arial" w:cs="Arial"/>
                <w:color w:val="000000"/>
                <w:sz w:val="18"/>
                <w:szCs w:val="18"/>
              </w:rPr>
              <w:t>-RJ</w:t>
            </w:r>
            <w:r w:rsidRPr="00301F95">
              <w:rPr>
                <w:rFonts w:ascii="Arial" w:eastAsia="Arial" w:hAnsi="Arial" w:cs="Arial"/>
                <w:color w:val="000000"/>
                <w:sz w:val="18"/>
                <w:szCs w:val="18"/>
              </w:rPr>
              <w:t xml:space="preserve"> possui um sistema de evidência que </w:t>
            </w:r>
            <w:r>
              <w:rPr>
                <w:rFonts w:ascii="Arial" w:eastAsia="Arial" w:hAnsi="Arial" w:cs="Arial"/>
                <w:color w:val="000000"/>
                <w:sz w:val="18"/>
                <w:szCs w:val="18"/>
              </w:rPr>
              <w:t xml:space="preserve">busca </w:t>
            </w:r>
            <w:r w:rsidRPr="00301F95">
              <w:rPr>
                <w:rFonts w:ascii="Arial" w:eastAsia="Arial" w:hAnsi="Arial" w:cs="Arial"/>
                <w:color w:val="000000"/>
                <w:sz w:val="18"/>
                <w:szCs w:val="18"/>
              </w:rPr>
              <w:t>demonstrar o impacto na equidade e no bem-estar da população-alvo, embora a correlação com a melhoria sustentada dos indicadores sociais enfrente desafios estruturais.</w:t>
            </w:r>
          </w:p>
          <w:p w14:paraId="6BC8A04A" w14:textId="77777777" w:rsidR="001C7E6F" w:rsidRPr="00301F95" w:rsidRDefault="001C7E6F" w:rsidP="00BD3046">
            <w:pPr>
              <w:spacing w:after="0" w:line="240" w:lineRule="auto"/>
              <w:rPr>
                <w:rFonts w:ascii="Arial" w:eastAsia="Arial" w:hAnsi="Arial" w:cs="Arial"/>
                <w:color w:val="000000"/>
                <w:sz w:val="18"/>
                <w:szCs w:val="18"/>
              </w:rPr>
            </w:pPr>
          </w:p>
          <w:p w14:paraId="0ABA1B84"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Para tanto, o</w:t>
            </w:r>
            <w:r w:rsidRPr="00301F95">
              <w:rPr>
                <w:rFonts w:ascii="Arial" w:eastAsia="Arial" w:hAnsi="Arial" w:cs="Arial"/>
                <w:color w:val="000000"/>
                <w:sz w:val="18"/>
                <w:szCs w:val="18"/>
              </w:rPr>
              <w:t xml:space="preserve"> Estado do Rio de Janeiro elabora anualmente o "Estudo de Impacto Gerado pela Aplicação dos Recursos do FECP na Qualidade de Vida da População Fluminense"</w:t>
            </w:r>
            <w:r>
              <w:rPr>
                <w:rFonts w:ascii="Arial" w:eastAsia="Arial" w:hAnsi="Arial" w:cs="Arial"/>
                <w:color w:val="000000"/>
                <w:sz w:val="18"/>
                <w:szCs w:val="18"/>
              </w:rPr>
              <w:t xml:space="preserve"> que compõe as contas de governo enviadas ao TCE-RJ</w:t>
            </w:r>
            <w:r w:rsidRPr="00301F95">
              <w:rPr>
                <w:rFonts w:ascii="Arial" w:eastAsia="Arial" w:hAnsi="Arial" w:cs="Arial"/>
                <w:color w:val="000000"/>
                <w:sz w:val="18"/>
                <w:szCs w:val="18"/>
              </w:rPr>
              <w:t>. O objetivo é demonstrar os impactos, entendidos como bens e serviços entregues à população fluminense</w:t>
            </w:r>
            <w:r>
              <w:rPr>
                <w:rFonts w:ascii="Arial" w:eastAsia="Arial" w:hAnsi="Arial" w:cs="Arial"/>
                <w:color w:val="000000"/>
                <w:sz w:val="18"/>
                <w:szCs w:val="18"/>
              </w:rPr>
              <w:t xml:space="preserve">, e verificar a efetividade das ações. </w:t>
            </w:r>
          </w:p>
          <w:p w14:paraId="20BE4855" w14:textId="77777777" w:rsidR="001C7E6F" w:rsidRDefault="001C7E6F" w:rsidP="00BD3046">
            <w:pPr>
              <w:spacing w:after="0" w:line="240" w:lineRule="auto"/>
              <w:rPr>
                <w:rFonts w:ascii="Arial" w:eastAsia="Arial" w:hAnsi="Arial" w:cs="Arial"/>
                <w:color w:val="000000"/>
                <w:sz w:val="18"/>
                <w:szCs w:val="18"/>
              </w:rPr>
            </w:pPr>
          </w:p>
          <w:p w14:paraId="3EE9B341" w14:textId="77777777" w:rsidR="001C7E6F" w:rsidRPr="00301F95" w:rsidRDefault="001C7E6F" w:rsidP="00BD3046">
            <w:pPr>
              <w:spacing w:after="0" w:line="240" w:lineRule="auto"/>
              <w:rPr>
                <w:rFonts w:ascii="Arial" w:eastAsia="Arial" w:hAnsi="Arial" w:cs="Arial"/>
                <w:color w:val="000000"/>
                <w:sz w:val="18"/>
                <w:szCs w:val="18"/>
              </w:rPr>
            </w:pPr>
            <w:r w:rsidRPr="00301F95">
              <w:rPr>
                <w:rFonts w:ascii="Arial" w:eastAsia="Arial" w:hAnsi="Arial" w:cs="Arial"/>
                <w:color w:val="000000"/>
                <w:sz w:val="18"/>
                <w:szCs w:val="18"/>
              </w:rPr>
              <w:t>A legislação do FECP</w:t>
            </w:r>
            <w:r>
              <w:rPr>
                <w:rFonts w:ascii="Arial" w:eastAsia="Arial" w:hAnsi="Arial" w:cs="Arial"/>
                <w:color w:val="000000"/>
                <w:sz w:val="18"/>
                <w:szCs w:val="18"/>
              </w:rPr>
              <w:t>-RJ</w:t>
            </w:r>
            <w:r w:rsidRPr="00301F95">
              <w:rPr>
                <w:rFonts w:ascii="Arial" w:eastAsia="Arial" w:hAnsi="Arial" w:cs="Arial"/>
                <w:color w:val="000000"/>
                <w:sz w:val="18"/>
                <w:szCs w:val="18"/>
              </w:rPr>
              <w:t xml:space="preserve"> exige que os recursos sejam aplicados em iniciativas que "beneficiem prioritariamente pessoas e grupos em situação de vulnerabilidade social". A </w:t>
            </w:r>
            <w:r w:rsidRPr="00301F95">
              <w:rPr>
                <w:rFonts w:ascii="Arial" w:eastAsia="Arial" w:hAnsi="Arial" w:cs="Arial"/>
                <w:color w:val="000000"/>
                <w:sz w:val="18"/>
                <w:szCs w:val="18"/>
              </w:rPr>
              <w:lastRenderedPageBreak/>
              <w:t>aderência à equidade é demonstrada pela distribuição em nove Áreas de Resultado, focadas em grupos vulneráveis:</w:t>
            </w:r>
          </w:p>
          <w:p w14:paraId="268E9E4E" w14:textId="77777777" w:rsidR="001C7E6F" w:rsidRPr="00301F95" w:rsidRDefault="001C7E6F" w:rsidP="0032733E">
            <w:pPr>
              <w:pStyle w:val="PargrafodaLista"/>
              <w:numPr>
                <w:ilvl w:val="0"/>
                <w:numId w:val="28"/>
              </w:numPr>
              <w:spacing w:after="0" w:line="240" w:lineRule="auto"/>
              <w:ind w:left="461" w:hanging="283"/>
              <w:rPr>
                <w:rFonts w:eastAsia="Arial"/>
                <w:color w:val="000000"/>
                <w:sz w:val="18"/>
                <w:szCs w:val="18"/>
              </w:rPr>
            </w:pPr>
            <w:r w:rsidRPr="00301F95">
              <w:rPr>
                <w:rFonts w:eastAsia="Arial"/>
                <w:color w:val="000000"/>
                <w:sz w:val="18"/>
                <w:szCs w:val="18"/>
              </w:rPr>
              <w:t>Iniciativas como a concessão de Vale Social, Atendimento à População em Situação de Vulnerabilidade e ações de Acesso à Moradia para População em Situação de Rua - Moradia em Primeiro Lugar, são exemplos de gastos diretos na população-alvo.</w:t>
            </w:r>
          </w:p>
          <w:p w14:paraId="485BDA12" w14:textId="77777777" w:rsidR="001C7E6F" w:rsidRDefault="001C7E6F" w:rsidP="0032733E">
            <w:pPr>
              <w:pStyle w:val="PargrafodaLista"/>
              <w:numPr>
                <w:ilvl w:val="0"/>
                <w:numId w:val="28"/>
              </w:numPr>
              <w:spacing w:after="0" w:line="240" w:lineRule="auto"/>
              <w:ind w:left="461" w:hanging="283"/>
              <w:rPr>
                <w:rFonts w:eastAsia="Arial"/>
                <w:color w:val="000000"/>
                <w:sz w:val="18"/>
                <w:szCs w:val="18"/>
              </w:rPr>
            </w:pPr>
            <w:r w:rsidRPr="00301F95">
              <w:rPr>
                <w:rFonts w:eastAsia="Arial"/>
                <w:color w:val="000000"/>
                <w:sz w:val="18"/>
                <w:szCs w:val="18"/>
              </w:rPr>
              <w:t>A transferência de 5% da receita para o Fundo Estadual de Habitação de Interesse Social visa garantir a promoção da habitação segura e o atendimento da população de mais baixa renda. Ações específicas incluem o pagamento de Aluguel Social a famílias vitimadas por catástrofes e a Regularização Fundiária de Interesse Social.</w:t>
            </w:r>
          </w:p>
          <w:p w14:paraId="06C9C62D" w14:textId="77777777" w:rsidR="001C7E6F" w:rsidRDefault="001C7E6F" w:rsidP="0032733E">
            <w:pPr>
              <w:pStyle w:val="PargrafodaLista"/>
              <w:numPr>
                <w:ilvl w:val="0"/>
                <w:numId w:val="28"/>
              </w:numPr>
              <w:spacing w:after="0" w:line="240" w:lineRule="auto"/>
              <w:ind w:left="461" w:hanging="283"/>
              <w:rPr>
                <w:rFonts w:eastAsia="Arial"/>
                <w:color w:val="000000"/>
                <w:sz w:val="18"/>
                <w:szCs w:val="18"/>
              </w:rPr>
            </w:pPr>
            <w:r w:rsidRPr="00301F95">
              <w:rPr>
                <w:rFonts w:eastAsia="Arial"/>
                <w:color w:val="000000"/>
                <w:sz w:val="18"/>
                <w:szCs w:val="18"/>
              </w:rPr>
              <w:t>Saúde e Educação: O financiamento de programas de Atenção à Saúde, Educação Básica, Segurança Alimentar (como Restaurantes do Povo) e o apoio ao Ensino Superior (incluindo incentivos para a permanência da população mais vulnerável) visam elevar o nível de subsistência e a qualidade de vida dos fluminenses.</w:t>
            </w:r>
          </w:p>
          <w:p w14:paraId="05C45377" w14:textId="77777777" w:rsidR="001C7E6F" w:rsidRPr="00301F95" w:rsidRDefault="001C7E6F" w:rsidP="00BD3046">
            <w:pPr>
              <w:pStyle w:val="PargrafodaLista"/>
              <w:spacing w:after="0" w:line="240" w:lineRule="auto"/>
              <w:ind w:left="461" w:firstLine="0"/>
              <w:rPr>
                <w:rFonts w:eastAsia="Arial"/>
                <w:color w:val="000000"/>
                <w:sz w:val="18"/>
                <w:szCs w:val="18"/>
              </w:rPr>
            </w:pPr>
          </w:p>
          <w:p w14:paraId="57C2A8A9" w14:textId="77777777" w:rsidR="001C7E6F" w:rsidRPr="00301F95" w:rsidRDefault="001C7E6F" w:rsidP="00BD3046">
            <w:pPr>
              <w:spacing w:after="0" w:line="240" w:lineRule="auto"/>
              <w:jc w:val="both"/>
              <w:rPr>
                <w:rFonts w:ascii="Arial" w:eastAsia="Arial" w:hAnsi="Arial" w:cs="Arial"/>
                <w:color w:val="000000"/>
                <w:sz w:val="18"/>
                <w:szCs w:val="18"/>
              </w:rPr>
            </w:pPr>
            <w:r w:rsidRPr="00301F95">
              <w:rPr>
                <w:rFonts w:ascii="Arial" w:eastAsia="Arial" w:hAnsi="Arial" w:cs="Arial"/>
                <w:color w:val="000000"/>
                <w:sz w:val="18"/>
                <w:szCs w:val="18"/>
              </w:rPr>
              <w:t xml:space="preserve">O estudo de impacto apresenta um conjunto de indicadores socioeconômicos que </w:t>
            </w:r>
            <w:r>
              <w:rPr>
                <w:rFonts w:ascii="Arial" w:eastAsia="Arial" w:hAnsi="Arial" w:cs="Arial"/>
                <w:color w:val="000000"/>
                <w:sz w:val="18"/>
                <w:szCs w:val="18"/>
              </w:rPr>
              <w:t xml:space="preserve">fundamentam </w:t>
            </w:r>
            <w:r w:rsidRPr="00301F95">
              <w:rPr>
                <w:rFonts w:ascii="Arial" w:eastAsia="Arial" w:hAnsi="Arial" w:cs="Arial"/>
                <w:color w:val="000000"/>
                <w:sz w:val="18"/>
                <w:szCs w:val="18"/>
              </w:rPr>
              <w:t>o diagnóstico, monitoramento e acompa</w:t>
            </w:r>
            <w:r>
              <w:rPr>
                <w:rFonts w:ascii="Arial" w:eastAsia="Arial" w:hAnsi="Arial" w:cs="Arial"/>
                <w:color w:val="000000"/>
                <w:sz w:val="18"/>
                <w:szCs w:val="18"/>
              </w:rPr>
              <w:t>nhamento das políticas públicas, sendo eles:</w:t>
            </w:r>
          </w:p>
          <w:p w14:paraId="61CD5095" w14:textId="77777777" w:rsidR="001C7E6F" w:rsidRPr="00E60BDC" w:rsidRDefault="001C7E6F" w:rsidP="0032733E">
            <w:pPr>
              <w:pStyle w:val="PargrafodaLista"/>
              <w:numPr>
                <w:ilvl w:val="0"/>
                <w:numId w:val="29"/>
              </w:numPr>
              <w:spacing w:after="0" w:line="240" w:lineRule="auto"/>
              <w:ind w:left="461" w:hanging="283"/>
              <w:rPr>
                <w:rFonts w:eastAsia="Arial"/>
                <w:color w:val="000000"/>
                <w:sz w:val="18"/>
                <w:szCs w:val="18"/>
              </w:rPr>
            </w:pPr>
            <w:r w:rsidRPr="00E60BDC">
              <w:rPr>
                <w:rFonts w:eastAsia="Arial"/>
                <w:color w:val="000000"/>
                <w:sz w:val="18"/>
                <w:szCs w:val="18"/>
              </w:rPr>
              <w:t>Pobreza e Renda Per Capita: Proporção de pessoas em situação de pobreza e pobreza extrema. A linha de pobreza extrema é definida por renda per capita declarada de até R$ 105,00 (em 2022), e a situação de pobreza entre R$ 105,00 e R$ 210,00.</w:t>
            </w:r>
          </w:p>
          <w:p w14:paraId="1C994144" w14:textId="77777777" w:rsidR="001C7E6F" w:rsidRPr="00E60BDC" w:rsidRDefault="001C7E6F" w:rsidP="0032733E">
            <w:pPr>
              <w:pStyle w:val="PargrafodaLista"/>
              <w:numPr>
                <w:ilvl w:val="0"/>
                <w:numId w:val="29"/>
              </w:numPr>
              <w:spacing w:after="0" w:line="240" w:lineRule="auto"/>
              <w:ind w:left="461" w:hanging="283"/>
              <w:rPr>
                <w:rFonts w:eastAsia="Arial"/>
                <w:color w:val="000000"/>
                <w:sz w:val="18"/>
                <w:szCs w:val="18"/>
              </w:rPr>
            </w:pPr>
            <w:r w:rsidRPr="00E60BDC">
              <w:rPr>
                <w:rFonts w:eastAsia="Arial"/>
                <w:color w:val="000000"/>
                <w:sz w:val="18"/>
                <w:szCs w:val="18"/>
              </w:rPr>
              <w:t>Indicadores como o Índice de Gini e a razão entre a renda domiciliar per capita dos mais ricos e mais pobres são acompanhados.</w:t>
            </w:r>
          </w:p>
          <w:p w14:paraId="3E699F13" w14:textId="77777777" w:rsidR="001C7E6F" w:rsidRPr="00E60BDC" w:rsidRDefault="001C7E6F" w:rsidP="0032733E">
            <w:pPr>
              <w:pStyle w:val="PargrafodaLista"/>
              <w:numPr>
                <w:ilvl w:val="0"/>
                <w:numId w:val="29"/>
              </w:numPr>
              <w:spacing w:after="0" w:line="240" w:lineRule="auto"/>
              <w:ind w:left="461" w:hanging="283"/>
              <w:rPr>
                <w:rFonts w:eastAsia="Arial"/>
                <w:color w:val="000000"/>
                <w:sz w:val="18"/>
                <w:szCs w:val="18"/>
              </w:rPr>
            </w:pPr>
            <w:r w:rsidRPr="00E60BDC">
              <w:rPr>
                <w:rFonts w:eastAsia="Arial"/>
                <w:color w:val="000000"/>
                <w:sz w:val="18"/>
                <w:szCs w:val="18"/>
              </w:rPr>
              <w:t>Indicadores de outros efeitos na qualidade de vida, como a proporção de pessoas com restrição à proteção social, à educação, a condições dignas de moradia e a serviços de saneamento básico.</w:t>
            </w:r>
          </w:p>
          <w:p w14:paraId="75087FC7" w14:textId="77777777" w:rsidR="001C7E6F" w:rsidRDefault="001C7E6F" w:rsidP="00BD3046">
            <w:pPr>
              <w:spacing w:after="0" w:line="240" w:lineRule="auto"/>
              <w:jc w:val="both"/>
              <w:rPr>
                <w:rFonts w:ascii="Arial" w:eastAsia="Arial" w:hAnsi="Arial" w:cs="Arial"/>
                <w:color w:val="000000"/>
                <w:sz w:val="18"/>
                <w:szCs w:val="18"/>
              </w:rPr>
            </w:pPr>
          </w:p>
          <w:p w14:paraId="621AFA5D" w14:textId="77777777" w:rsidR="001C7E6F" w:rsidRPr="00301F95" w:rsidRDefault="001C7E6F" w:rsidP="00BD3046">
            <w:pPr>
              <w:spacing w:after="0" w:line="240" w:lineRule="auto"/>
              <w:jc w:val="both"/>
              <w:rPr>
                <w:rFonts w:ascii="Arial" w:eastAsia="Arial" w:hAnsi="Arial" w:cs="Arial"/>
                <w:color w:val="000000"/>
                <w:sz w:val="18"/>
                <w:szCs w:val="18"/>
              </w:rPr>
            </w:pPr>
            <w:r w:rsidRPr="00301F95">
              <w:rPr>
                <w:rFonts w:ascii="Arial" w:eastAsia="Arial" w:hAnsi="Arial" w:cs="Arial"/>
                <w:color w:val="000000"/>
                <w:sz w:val="18"/>
                <w:szCs w:val="18"/>
              </w:rPr>
              <w:t>A análise da evolução histórica dos indicadores (2016 a 2023) estabelece as seguintes conclusões:</w:t>
            </w:r>
          </w:p>
          <w:p w14:paraId="4003B267" w14:textId="77777777" w:rsidR="001C7E6F" w:rsidRPr="00E60BDC" w:rsidRDefault="001C7E6F" w:rsidP="0032733E">
            <w:pPr>
              <w:pStyle w:val="PargrafodaLista"/>
              <w:numPr>
                <w:ilvl w:val="0"/>
                <w:numId w:val="30"/>
              </w:numPr>
              <w:spacing w:after="0" w:line="240" w:lineRule="auto"/>
              <w:ind w:left="461" w:hanging="283"/>
              <w:rPr>
                <w:rFonts w:eastAsia="Arial"/>
                <w:color w:val="000000"/>
                <w:sz w:val="18"/>
                <w:szCs w:val="18"/>
              </w:rPr>
            </w:pPr>
            <w:r w:rsidRPr="00E60BDC">
              <w:rPr>
                <w:rFonts w:eastAsia="Arial"/>
                <w:color w:val="000000"/>
                <w:sz w:val="18"/>
                <w:szCs w:val="18"/>
              </w:rPr>
              <w:t>Falha na Redução Estrutural da Pobreza: A análise do índice de pobreza extrema mostra um aumento de 3,4% em 2016 para o pico de 7,3% em 2021. O TCE-RJ e os relatórios internos concluem que "as políticas públicas implementadas para o combate à pobreza e às desigualdades não têm sido capazes, ao longo da última década, de reduzir o empobrecimento da população fluminense".</w:t>
            </w:r>
          </w:p>
          <w:p w14:paraId="68DFF37B" w14:textId="77777777" w:rsidR="001C7E6F" w:rsidRPr="00E60BDC" w:rsidRDefault="001C7E6F" w:rsidP="0032733E">
            <w:pPr>
              <w:pStyle w:val="PargrafodaLista"/>
              <w:numPr>
                <w:ilvl w:val="0"/>
                <w:numId w:val="30"/>
              </w:numPr>
              <w:spacing w:after="0" w:line="240" w:lineRule="auto"/>
              <w:ind w:left="461" w:hanging="283"/>
              <w:rPr>
                <w:rFonts w:eastAsia="Arial"/>
                <w:color w:val="000000"/>
                <w:sz w:val="18"/>
                <w:szCs w:val="18"/>
              </w:rPr>
            </w:pPr>
            <w:r w:rsidRPr="00E60BDC">
              <w:rPr>
                <w:rFonts w:eastAsia="Arial"/>
                <w:color w:val="000000"/>
                <w:sz w:val="18"/>
                <w:szCs w:val="18"/>
              </w:rPr>
              <w:t>Queda Recente (2022/2023): Houve uma queda na proporção de pessoas em pobreza extrema, que recuou de 7,3% em 2021 para 4,4% em 2022. A proporção de pessoas em situação de pobreza também caiu de 23,6% em 2021 para 20,5% em 2022.</w:t>
            </w:r>
          </w:p>
          <w:p w14:paraId="728C9C42" w14:textId="77777777" w:rsidR="001C7E6F" w:rsidRPr="00E60BDC" w:rsidRDefault="001C7E6F" w:rsidP="0032733E">
            <w:pPr>
              <w:pStyle w:val="PargrafodaLista"/>
              <w:numPr>
                <w:ilvl w:val="0"/>
                <w:numId w:val="30"/>
              </w:numPr>
              <w:spacing w:after="0" w:line="240" w:lineRule="auto"/>
              <w:ind w:left="461" w:hanging="283"/>
              <w:rPr>
                <w:rFonts w:eastAsia="Arial"/>
                <w:color w:val="000000"/>
                <w:sz w:val="18"/>
                <w:szCs w:val="18"/>
              </w:rPr>
            </w:pPr>
            <w:r w:rsidRPr="00E60BDC">
              <w:rPr>
                <w:rFonts w:eastAsia="Arial"/>
                <w:color w:val="000000"/>
                <w:sz w:val="18"/>
                <w:szCs w:val="18"/>
              </w:rPr>
              <w:t>Melhoria na Desigualdade: O Índice de Gini apresentou uma "sutil queda" nos exercícios de 2022 e 2023, retornando ao patamar anterior a 2018. O Relator do TCE-RJ avaliou que isso "sinaliza, a despeito [da falha em reduzir o empobrecimento], ter havido, em princípio, maior efetividade nas ações empreendidas no último ano para a redução na desigualdade de renda".</w:t>
            </w:r>
          </w:p>
          <w:p w14:paraId="1753835E" w14:textId="77777777" w:rsidR="001C7E6F" w:rsidRDefault="001C7E6F" w:rsidP="0032733E">
            <w:pPr>
              <w:pStyle w:val="PargrafodaLista"/>
              <w:numPr>
                <w:ilvl w:val="0"/>
                <w:numId w:val="30"/>
              </w:numPr>
              <w:spacing w:after="0" w:line="240" w:lineRule="auto"/>
              <w:ind w:left="461" w:hanging="283"/>
              <w:rPr>
                <w:rFonts w:eastAsia="Arial"/>
                <w:color w:val="000000"/>
                <w:sz w:val="18"/>
                <w:szCs w:val="18"/>
              </w:rPr>
            </w:pPr>
            <w:r w:rsidRPr="00E60BDC">
              <w:rPr>
                <w:rFonts w:eastAsia="Arial"/>
                <w:color w:val="000000"/>
                <w:sz w:val="18"/>
                <w:szCs w:val="18"/>
              </w:rPr>
              <w:t>Relação Causal Indireta: O Estado adota instrumentos de análise, como a Matriz Insumo-Produto (MIP), para associar níveis de gasto a "efeitos sobre a atividade econômica" e a "geração de renda e empregos". O planejamento estratégico prevê que os investimentos públicos devem ser associados à melhoria do emprego e renda, com vistas à superação estrutural das raízes econômicas da crise fiscal. No entanto, reconhece-se que "crescimento econômico não implica de forma direta em desenvolvimento socioeconômico", reforçando a necessidade de políticas sociais direcionadas.</w:t>
            </w:r>
          </w:p>
          <w:p w14:paraId="79E37C7F" w14:textId="77777777" w:rsidR="001C7E6F" w:rsidRPr="00E60BDC" w:rsidRDefault="001C7E6F" w:rsidP="00BD3046">
            <w:pPr>
              <w:pStyle w:val="PargrafodaLista"/>
              <w:spacing w:after="0" w:line="240" w:lineRule="auto"/>
              <w:ind w:left="461" w:firstLine="0"/>
              <w:rPr>
                <w:rFonts w:eastAsia="Arial"/>
                <w:color w:val="000000"/>
                <w:sz w:val="18"/>
                <w:szCs w:val="18"/>
              </w:rPr>
            </w:pPr>
          </w:p>
          <w:p w14:paraId="272BFBB1"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Ou seja</w:t>
            </w:r>
            <w:r w:rsidRPr="00301F95">
              <w:rPr>
                <w:rFonts w:ascii="Arial" w:eastAsia="Arial" w:hAnsi="Arial" w:cs="Arial"/>
                <w:color w:val="000000"/>
                <w:sz w:val="18"/>
                <w:szCs w:val="18"/>
              </w:rPr>
              <w:t>, embora o Estado monitore os indicadores de pobreza e demonstre</w:t>
            </w:r>
            <w:r>
              <w:rPr>
                <w:rFonts w:ascii="Arial" w:eastAsia="Arial" w:hAnsi="Arial" w:cs="Arial"/>
                <w:color w:val="000000"/>
                <w:sz w:val="18"/>
                <w:szCs w:val="18"/>
              </w:rPr>
              <w:t xml:space="preserve"> uma melhora aparente e recente</w:t>
            </w:r>
            <w:r w:rsidRPr="00301F95">
              <w:rPr>
                <w:rFonts w:ascii="Arial" w:eastAsia="Arial" w:hAnsi="Arial" w:cs="Arial"/>
                <w:color w:val="000000"/>
                <w:sz w:val="18"/>
                <w:szCs w:val="18"/>
              </w:rPr>
              <w:t>, os dados indicam que o FECP</w:t>
            </w:r>
            <w:r>
              <w:rPr>
                <w:rFonts w:ascii="Arial" w:eastAsia="Arial" w:hAnsi="Arial" w:cs="Arial"/>
                <w:color w:val="000000"/>
                <w:sz w:val="18"/>
                <w:szCs w:val="18"/>
              </w:rPr>
              <w:t>-RJ</w:t>
            </w:r>
            <w:r w:rsidRPr="00301F95">
              <w:rPr>
                <w:rFonts w:ascii="Arial" w:eastAsia="Arial" w:hAnsi="Arial" w:cs="Arial"/>
                <w:color w:val="000000"/>
                <w:sz w:val="18"/>
                <w:szCs w:val="18"/>
              </w:rPr>
              <w:t xml:space="preserve"> não conseguiu reverter a tendência de empobrecimento da população fluminense ao longo da última década, reforçando a importância de investir na efetividade das ações do Fundo para combater a pobreza.</w:t>
            </w:r>
          </w:p>
          <w:p w14:paraId="5D6369F9" w14:textId="77777777" w:rsidR="001C7E6F" w:rsidRDefault="001C7E6F" w:rsidP="00BD3046">
            <w:pPr>
              <w:spacing w:after="0" w:line="240" w:lineRule="auto"/>
              <w:rPr>
                <w:rFonts w:ascii="Arial" w:eastAsia="Arial" w:hAnsi="Arial" w:cs="Arial"/>
                <w:color w:val="000000"/>
                <w:sz w:val="18"/>
                <w:szCs w:val="18"/>
              </w:rPr>
            </w:pPr>
          </w:p>
        </w:tc>
      </w:tr>
      <w:tr w:rsidR="001C7E6F" w14:paraId="4E831B19" w14:textId="77777777" w:rsidTr="00BD3046">
        <w:trPr>
          <w:trHeight w:val="20"/>
        </w:trPr>
        <w:tc>
          <w:tcPr>
            <w:tcW w:w="0" w:type="auto"/>
            <w:shd w:val="clear" w:color="auto" w:fill="auto"/>
            <w:vAlign w:val="center"/>
          </w:tcPr>
          <w:p w14:paraId="011C5A60"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3.10 Transparência</w:t>
            </w:r>
          </w:p>
        </w:tc>
        <w:tc>
          <w:tcPr>
            <w:tcW w:w="0" w:type="auto"/>
            <w:shd w:val="clear" w:color="auto" w:fill="auto"/>
            <w:vAlign w:val="center"/>
          </w:tcPr>
          <w:p w14:paraId="37C3C2BB" w14:textId="77777777" w:rsidR="001C7E6F" w:rsidRPr="00D118D6" w:rsidRDefault="001C7E6F" w:rsidP="00BD3046">
            <w:pPr>
              <w:spacing w:after="0" w:line="240" w:lineRule="auto"/>
              <w:rPr>
                <w:rFonts w:ascii="Arial" w:eastAsia="Arial" w:hAnsi="Arial" w:cs="Arial"/>
                <w:i/>
                <w:color w:val="000000"/>
                <w:sz w:val="18"/>
                <w:szCs w:val="18"/>
              </w:rPr>
            </w:pPr>
            <w:r w:rsidRPr="00D118D6">
              <w:rPr>
                <w:rFonts w:ascii="Arial" w:eastAsia="Arial" w:hAnsi="Arial" w:cs="Arial"/>
                <w:i/>
                <w:color w:val="000000"/>
                <w:sz w:val="18"/>
                <w:szCs w:val="18"/>
              </w:rPr>
              <w:t>Disponibilidade pública dos dados de execução orçamentária, legislação, PA, PAF, metas e relatórios. Rastreabilidade em tempo hábil.</w:t>
            </w:r>
          </w:p>
          <w:p w14:paraId="6C126011" w14:textId="77777777" w:rsidR="001C7E6F" w:rsidRDefault="001C7E6F" w:rsidP="00BD3046">
            <w:pPr>
              <w:spacing w:after="0" w:line="240" w:lineRule="auto"/>
              <w:rPr>
                <w:rFonts w:ascii="Arial" w:eastAsia="Arial" w:hAnsi="Arial" w:cs="Arial"/>
                <w:color w:val="000000"/>
                <w:sz w:val="18"/>
                <w:szCs w:val="18"/>
              </w:rPr>
            </w:pPr>
          </w:p>
          <w:p w14:paraId="17FC5334" w14:textId="77777777" w:rsidR="001C7E6F" w:rsidRDefault="001C7E6F" w:rsidP="00BD3046">
            <w:pPr>
              <w:spacing w:after="0" w:line="240" w:lineRule="auto"/>
              <w:jc w:val="both"/>
              <w:rPr>
                <w:rFonts w:ascii="Arial" w:eastAsia="Arial" w:hAnsi="Arial" w:cs="Arial"/>
                <w:color w:val="000000"/>
                <w:sz w:val="18"/>
                <w:szCs w:val="18"/>
              </w:rPr>
            </w:pPr>
            <w:r w:rsidRPr="00D118D6">
              <w:rPr>
                <w:rFonts w:ascii="Arial" w:eastAsia="Arial" w:hAnsi="Arial" w:cs="Arial"/>
                <w:color w:val="000000"/>
                <w:sz w:val="18"/>
                <w:szCs w:val="18"/>
              </w:rPr>
              <w:t>O planejamento (PPA, LDO</w:t>
            </w:r>
            <w:r>
              <w:rPr>
                <w:rFonts w:ascii="Arial" w:eastAsia="Arial" w:hAnsi="Arial" w:cs="Arial"/>
                <w:color w:val="000000"/>
                <w:sz w:val="18"/>
                <w:szCs w:val="18"/>
              </w:rPr>
              <w:t xml:space="preserve"> e</w:t>
            </w:r>
            <w:r w:rsidRPr="00D118D6">
              <w:rPr>
                <w:rFonts w:ascii="Arial" w:eastAsia="Arial" w:hAnsi="Arial" w:cs="Arial"/>
                <w:color w:val="000000"/>
                <w:sz w:val="18"/>
                <w:szCs w:val="18"/>
              </w:rPr>
              <w:t xml:space="preserve"> LOA) e as atividades de governo são disponibilizadas ao público, conforme diretrizes de transparência</w:t>
            </w:r>
            <w:r>
              <w:rPr>
                <w:rFonts w:ascii="Arial" w:eastAsia="Arial" w:hAnsi="Arial" w:cs="Arial"/>
                <w:color w:val="000000"/>
                <w:sz w:val="18"/>
                <w:szCs w:val="18"/>
              </w:rPr>
              <w:t>.</w:t>
            </w:r>
          </w:p>
          <w:p w14:paraId="4610C270" w14:textId="77777777" w:rsidR="001C7E6F" w:rsidRDefault="001C7E6F" w:rsidP="00BD3046">
            <w:pPr>
              <w:spacing w:after="0" w:line="240" w:lineRule="auto"/>
              <w:jc w:val="both"/>
              <w:rPr>
                <w:rFonts w:ascii="Arial" w:eastAsia="Arial" w:hAnsi="Arial" w:cs="Arial"/>
                <w:color w:val="000000"/>
                <w:sz w:val="18"/>
                <w:szCs w:val="18"/>
              </w:rPr>
            </w:pPr>
          </w:p>
          <w:p w14:paraId="0C0026A5" w14:textId="77777777" w:rsidR="001C7E6F" w:rsidRDefault="001C7E6F" w:rsidP="00BD3046">
            <w:pPr>
              <w:spacing w:after="0" w:line="240" w:lineRule="auto"/>
              <w:jc w:val="both"/>
              <w:rPr>
                <w:rFonts w:ascii="Arial" w:eastAsia="Arial" w:hAnsi="Arial" w:cs="Arial"/>
                <w:color w:val="000000"/>
                <w:sz w:val="18"/>
                <w:szCs w:val="18"/>
              </w:rPr>
            </w:pPr>
            <w:r w:rsidRPr="00D118D6">
              <w:rPr>
                <w:rFonts w:ascii="Arial" w:eastAsia="Arial" w:hAnsi="Arial" w:cs="Arial"/>
                <w:color w:val="000000"/>
                <w:sz w:val="18"/>
                <w:szCs w:val="18"/>
              </w:rPr>
              <w:t xml:space="preserve">O PPA 2024–2027 é o instrumento legal que estabelece as diretrizes, objetivos e metas para as despesas. A lei do PPA exige que o Poder Executivo publique anualmente as </w:t>
            </w:r>
            <w:r w:rsidRPr="00D118D6">
              <w:rPr>
                <w:rFonts w:ascii="Arial" w:eastAsia="Arial" w:hAnsi="Arial" w:cs="Arial"/>
                <w:color w:val="000000"/>
                <w:sz w:val="18"/>
                <w:szCs w:val="18"/>
              </w:rPr>
              <w:lastRenderedPageBreak/>
              <w:t>metas de resultados de todos os programas e dos indicadores de produtos do PPA para o respectivo exercício</w:t>
            </w:r>
            <w:r>
              <w:rPr>
                <w:rFonts w:ascii="Arial" w:eastAsia="Arial" w:hAnsi="Arial" w:cs="Arial"/>
                <w:color w:val="000000"/>
                <w:sz w:val="18"/>
                <w:szCs w:val="18"/>
              </w:rPr>
              <w:t xml:space="preserve">. </w:t>
            </w:r>
            <w:r w:rsidRPr="00D118D6">
              <w:rPr>
                <w:rFonts w:ascii="Arial" w:eastAsia="Arial" w:hAnsi="Arial" w:cs="Arial"/>
                <w:color w:val="000000"/>
                <w:sz w:val="18"/>
                <w:szCs w:val="18"/>
              </w:rPr>
              <w:t>A rastreabilidade dos dados financeiros e de desempenho é buscada por meio de sistemas e relatórios periódicos</w:t>
            </w:r>
            <w:r>
              <w:rPr>
                <w:rFonts w:ascii="Arial" w:eastAsia="Arial" w:hAnsi="Arial" w:cs="Arial"/>
                <w:color w:val="000000"/>
                <w:sz w:val="18"/>
                <w:szCs w:val="18"/>
              </w:rPr>
              <w:t>.</w:t>
            </w:r>
          </w:p>
          <w:p w14:paraId="7CD74741" w14:textId="77777777" w:rsidR="001C7E6F" w:rsidRDefault="001C7E6F" w:rsidP="00BD3046">
            <w:pPr>
              <w:spacing w:after="0" w:line="240" w:lineRule="auto"/>
              <w:jc w:val="both"/>
              <w:rPr>
                <w:rFonts w:ascii="Arial" w:eastAsia="Arial" w:hAnsi="Arial" w:cs="Arial"/>
                <w:color w:val="000000"/>
                <w:sz w:val="18"/>
                <w:szCs w:val="18"/>
              </w:rPr>
            </w:pPr>
          </w:p>
          <w:p w14:paraId="69D5751B" w14:textId="77777777" w:rsidR="001C7E6F" w:rsidRDefault="001C7E6F" w:rsidP="00BD3046">
            <w:pPr>
              <w:spacing w:after="0" w:line="240" w:lineRule="auto"/>
              <w:jc w:val="both"/>
              <w:rPr>
                <w:rFonts w:ascii="Arial" w:eastAsia="Arial" w:hAnsi="Arial" w:cs="Arial"/>
                <w:color w:val="000000"/>
                <w:sz w:val="18"/>
                <w:szCs w:val="18"/>
              </w:rPr>
            </w:pPr>
            <w:r w:rsidRPr="00E60BDC">
              <w:rPr>
                <w:rFonts w:ascii="Arial" w:eastAsia="Arial" w:hAnsi="Arial" w:cs="Arial"/>
                <w:color w:val="000000"/>
                <w:sz w:val="18"/>
                <w:szCs w:val="18"/>
              </w:rPr>
              <w:t>Apesar da previsão legal de transparência em tempo real</w:t>
            </w:r>
            <w:r>
              <w:rPr>
                <w:rFonts w:ascii="Arial" w:eastAsia="Arial" w:hAnsi="Arial" w:cs="Arial"/>
                <w:color w:val="000000"/>
                <w:sz w:val="18"/>
                <w:szCs w:val="18"/>
              </w:rPr>
              <w:t xml:space="preserve"> (art. 48-A da LRF)</w:t>
            </w:r>
            <w:r w:rsidRPr="00E60BDC">
              <w:rPr>
                <w:rFonts w:ascii="Arial" w:eastAsia="Arial" w:hAnsi="Arial" w:cs="Arial"/>
                <w:color w:val="000000"/>
                <w:sz w:val="18"/>
                <w:szCs w:val="18"/>
              </w:rPr>
              <w:t>, os documentos de controle interno e externo apontam que a rastreabilidade em tempo hábil está comprometida devido a problemas estruturais do sistema contábil.</w:t>
            </w:r>
            <w:r>
              <w:rPr>
                <w:rFonts w:ascii="Arial" w:eastAsia="Arial" w:hAnsi="Arial" w:cs="Arial"/>
                <w:color w:val="000000"/>
                <w:sz w:val="18"/>
                <w:szCs w:val="18"/>
              </w:rPr>
              <w:t xml:space="preserve"> </w:t>
            </w:r>
            <w:r w:rsidRPr="00E60BDC">
              <w:rPr>
                <w:rFonts w:ascii="Arial" w:eastAsia="Arial" w:hAnsi="Arial" w:cs="Arial"/>
                <w:color w:val="000000"/>
                <w:sz w:val="18"/>
                <w:szCs w:val="18"/>
              </w:rPr>
              <w:t xml:space="preserve">Houve falhas sistêmicas no Sistema Integrado de Gestão Orçamentária, Financeira e Contábil do Rio de Janeiro, que é o sistema usado para registro </w:t>
            </w:r>
            <w:r>
              <w:rPr>
                <w:rFonts w:ascii="Arial" w:eastAsia="Arial" w:hAnsi="Arial" w:cs="Arial"/>
                <w:color w:val="000000"/>
                <w:sz w:val="18"/>
                <w:szCs w:val="18"/>
              </w:rPr>
              <w:t>das informações</w:t>
            </w:r>
            <w:r w:rsidRPr="00E60BDC">
              <w:rPr>
                <w:rFonts w:ascii="Arial" w:eastAsia="Arial" w:hAnsi="Arial" w:cs="Arial"/>
                <w:color w:val="000000"/>
                <w:sz w:val="18"/>
                <w:szCs w:val="18"/>
              </w:rPr>
              <w:t>. O TCE-RJ recomendou que o Siafe-Rio seja dotado de condições para implantar integralmente um eficiente controle de Fonte/Destinação de Recursos (necessário para rastrear os recursos vinculados do FECP</w:t>
            </w:r>
            <w:r>
              <w:rPr>
                <w:rFonts w:ascii="Arial" w:eastAsia="Arial" w:hAnsi="Arial" w:cs="Arial"/>
                <w:color w:val="000000"/>
                <w:sz w:val="18"/>
                <w:szCs w:val="18"/>
              </w:rPr>
              <w:t>-RJ</w:t>
            </w:r>
            <w:r w:rsidRPr="00E60BDC">
              <w:rPr>
                <w:rFonts w:ascii="Arial" w:eastAsia="Arial" w:hAnsi="Arial" w:cs="Arial"/>
                <w:color w:val="000000"/>
                <w:sz w:val="18"/>
                <w:szCs w:val="18"/>
              </w:rPr>
              <w:t>), a fim de melhorar a qualidade da informação disponibilizada e, con</w:t>
            </w:r>
            <w:r>
              <w:rPr>
                <w:rFonts w:ascii="Arial" w:eastAsia="Arial" w:hAnsi="Arial" w:cs="Arial"/>
                <w:color w:val="000000"/>
                <w:sz w:val="18"/>
                <w:szCs w:val="18"/>
              </w:rPr>
              <w:t>sequentemente, a transparência.</w:t>
            </w:r>
          </w:p>
          <w:p w14:paraId="3CFA8D9C" w14:textId="77777777" w:rsidR="001C7E6F" w:rsidRDefault="001C7E6F" w:rsidP="00BD3046">
            <w:pPr>
              <w:spacing w:after="0" w:line="240" w:lineRule="auto"/>
              <w:rPr>
                <w:rFonts w:ascii="Arial" w:eastAsia="Arial" w:hAnsi="Arial" w:cs="Arial"/>
                <w:color w:val="000000"/>
                <w:sz w:val="18"/>
                <w:szCs w:val="18"/>
              </w:rPr>
            </w:pPr>
          </w:p>
          <w:p w14:paraId="73177CB9" w14:textId="77777777" w:rsidR="001C7E6F" w:rsidRDefault="001C7E6F" w:rsidP="00BD3046">
            <w:pPr>
              <w:spacing w:after="0" w:line="240" w:lineRule="auto"/>
              <w:jc w:val="both"/>
              <w:rPr>
                <w:rFonts w:ascii="Arial" w:eastAsia="Arial" w:hAnsi="Arial" w:cs="Arial"/>
                <w:color w:val="000000"/>
                <w:sz w:val="18"/>
                <w:szCs w:val="18"/>
              </w:rPr>
            </w:pPr>
            <w:r w:rsidRPr="00E60BDC">
              <w:rPr>
                <w:rFonts w:ascii="Arial" w:eastAsia="Arial" w:hAnsi="Arial" w:cs="Arial"/>
                <w:color w:val="000000"/>
                <w:sz w:val="18"/>
                <w:szCs w:val="18"/>
              </w:rPr>
              <w:t>A ausência de um controle contábil eficiente das fontes de recursos levou a problemas de evidenciação e transparência. O Estado foi alertado por não seguir a codificação padronizada nas publicações fiscais nem nas informações disponibilizadas via SiafeRio, dificultando a verificação da destinaç</w:t>
            </w:r>
            <w:r>
              <w:rPr>
                <w:rFonts w:ascii="Arial" w:eastAsia="Arial" w:hAnsi="Arial" w:cs="Arial"/>
                <w:color w:val="000000"/>
                <w:sz w:val="18"/>
                <w:szCs w:val="18"/>
              </w:rPr>
              <w:t>ão legal das receitas públicas.</w:t>
            </w:r>
          </w:p>
          <w:p w14:paraId="6718CA5A" w14:textId="77777777" w:rsidR="001C7E6F" w:rsidRDefault="001C7E6F" w:rsidP="00BD3046">
            <w:pPr>
              <w:spacing w:after="0" w:line="240" w:lineRule="auto"/>
              <w:jc w:val="both"/>
              <w:rPr>
                <w:rFonts w:ascii="Arial" w:eastAsia="Arial" w:hAnsi="Arial" w:cs="Arial"/>
                <w:color w:val="000000"/>
                <w:sz w:val="18"/>
                <w:szCs w:val="18"/>
              </w:rPr>
            </w:pPr>
          </w:p>
          <w:p w14:paraId="3D17D65B"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A </w:t>
            </w:r>
            <w:r w:rsidRPr="00E60BDC">
              <w:rPr>
                <w:rFonts w:ascii="Arial" w:eastAsia="Arial" w:hAnsi="Arial" w:cs="Arial"/>
                <w:color w:val="000000"/>
                <w:sz w:val="18"/>
                <w:szCs w:val="18"/>
              </w:rPr>
              <w:t xml:space="preserve">tempestividade do monitoramento do PPA </w:t>
            </w:r>
            <w:r>
              <w:rPr>
                <w:rFonts w:ascii="Arial" w:eastAsia="Arial" w:hAnsi="Arial" w:cs="Arial"/>
                <w:color w:val="000000"/>
                <w:sz w:val="18"/>
                <w:szCs w:val="18"/>
              </w:rPr>
              <w:t xml:space="preserve">também </w:t>
            </w:r>
            <w:r w:rsidRPr="00E60BDC">
              <w:rPr>
                <w:rFonts w:ascii="Arial" w:eastAsia="Arial" w:hAnsi="Arial" w:cs="Arial"/>
                <w:color w:val="000000"/>
                <w:sz w:val="18"/>
                <w:szCs w:val="18"/>
              </w:rPr>
              <w:t xml:space="preserve">foi comprometida em 2024. Excepcionalmente, o Relatório de Monitoramento do PPA para 2024 </w:t>
            </w:r>
            <w:r>
              <w:rPr>
                <w:rFonts w:ascii="Arial" w:eastAsia="Arial" w:hAnsi="Arial" w:cs="Arial"/>
                <w:color w:val="000000"/>
                <w:sz w:val="18"/>
                <w:szCs w:val="18"/>
              </w:rPr>
              <w:t>foi</w:t>
            </w:r>
            <w:r w:rsidRPr="00E60BDC">
              <w:rPr>
                <w:rFonts w:ascii="Arial" w:eastAsia="Arial" w:hAnsi="Arial" w:cs="Arial"/>
                <w:color w:val="000000"/>
                <w:sz w:val="18"/>
                <w:szCs w:val="18"/>
              </w:rPr>
              <w:t xml:space="preserve"> anual, em vez de quadrimestral, devido ao prazo necessário para a completa implantação do novo SIAFE-Rio e sua integração com o SIPLAG. Isso demonstra que os sistemas não estão operando de forma </w:t>
            </w:r>
            <w:r>
              <w:rPr>
                <w:rFonts w:ascii="Arial" w:eastAsia="Arial" w:hAnsi="Arial" w:cs="Arial"/>
                <w:color w:val="000000"/>
                <w:sz w:val="18"/>
                <w:szCs w:val="18"/>
              </w:rPr>
              <w:t>integrada</w:t>
            </w:r>
            <w:r w:rsidRPr="00E60BDC">
              <w:rPr>
                <w:rFonts w:ascii="Arial" w:eastAsia="Arial" w:hAnsi="Arial" w:cs="Arial"/>
                <w:color w:val="000000"/>
                <w:sz w:val="18"/>
                <w:szCs w:val="18"/>
              </w:rPr>
              <w:t>.</w:t>
            </w:r>
          </w:p>
          <w:p w14:paraId="56873DF8" w14:textId="77777777" w:rsidR="001C7E6F" w:rsidRDefault="001C7E6F" w:rsidP="00BD3046">
            <w:pPr>
              <w:spacing w:after="0" w:line="240" w:lineRule="auto"/>
              <w:jc w:val="both"/>
              <w:rPr>
                <w:rFonts w:ascii="Arial" w:eastAsia="Arial" w:hAnsi="Arial" w:cs="Arial"/>
                <w:color w:val="000000"/>
                <w:sz w:val="18"/>
                <w:szCs w:val="18"/>
              </w:rPr>
            </w:pPr>
          </w:p>
          <w:p w14:paraId="1D6135ED" w14:textId="77777777" w:rsidR="001C7E6F" w:rsidRDefault="001C7E6F" w:rsidP="00BD3046">
            <w:pPr>
              <w:spacing w:after="0" w:line="240" w:lineRule="auto"/>
              <w:jc w:val="both"/>
              <w:rPr>
                <w:rFonts w:ascii="Arial" w:eastAsia="Arial" w:hAnsi="Arial" w:cs="Arial"/>
                <w:color w:val="000000"/>
                <w:sz w:val="18"/>
                <w:szCs w:val="18"/>
              </w:rPr>
            </w:pPr>
            <w:r w:rsidRPr="00E60BDC">
              <w:rPr>
                <w:rFonts w:ascii="Arial" w:eastAsia="Arial" w:hAnsi="Arial" w:cs="Arial"/>
                <w:color w:val="000000"/>
                <w:sz w:val="18"/>
                <w:szCs w:val="18"/>
              </w:rPr>
              <w:t>Foram identificadas falhas de controle que comprometem a fidedignidade dos demonstrativos contábeis, como a ausência de documentação suporte para saldos contábeis e a falta de conciliação de contas</w:t>
            </w:r>
            <w:r>
              <w:rPr>
                <w:rFonts w:ascii="Arial" w:eastAsia="Arial" w:hAnsi="Arial" w:cs="Arial"/>
                <w:color w:val="000000"/>
                <w:sz w:val="18"/>
                <w:szCs w:val="18"/>
              </w:rPr>
              <w:t>.</w:t>
            </w:r>
          </w:p>
          <w:p w14:paraId="355E8EFA" w14:textId="77777777" w:rsidR="001C7E6F" w:rsidRDefault="001C7E6F" w:rsidP="00BD3046">
            <w:pPr>
              <w:spacing w:after="0" w:line="240" w:lineRule="auto"/>
              <w:jc w:val="both"/>
              <w:rPr>
                <w:rFonts w:ascii="Arial" w:eastAsia="Arial" w:hAnsi="Arial" w:cs="Arial"/>
                <w:color w:val="000000"/>
                <w:sz w:val="18"/>
                <w:szCs w:val="18"/>
              </w:rPr>
            </w:pPr>
          </w:p>
          <w:p w14:paraId="079FEA69" w14:textId="77777777" w:rsidR="001C7E6F" w:rsidRDefault="001C7E6F" w:rsidP="00BD3046">
            <w:pPr>
              <w:spacing w:after="0" w:line="240" w:lineRule="auto"/>
              <w:jc w:val="both"/>
              <w:rPr>
                <w:rFonts w:ascii="Arial" w:eastAsia="Arial" w:hAnsi="Arial" w:cs="Arial"/>
                <w:color w:val="000000"/>
                <w:sz w:val="18"/>
                <w:szCs w:val="18"/>
              </w:rPr>
            </w:pPr>
            <w:r w:rsidRPr="00E60BDC">
              <w:rPr>
                <w:rFonts w:ascii="Arial" w:eastAsia="Arial" w:hAnsi="Arial" w:cs="Arial"/>
                <w:color w:val="000000"/>
                <w:sz w:val="18"/>
                <w:szCs w:val="18"/>
              </w:rPr>
              <w:t>Determinações recorrentes foram feitas à SEFAZ para implantar procedimentos que permitam o registro das disponibilidades financeiras por fonte de recursos, por meio de contas de natureza patrimonial, de forma a permitir que os saldos relacionados a fontes com destinação específica (recursos vinculados) sejam identificados na sua origem. A conformidade e rastreabilidade dos registros ainda está em implementação</w:t>
            </w:r>
            <w:r>
              <w:rPr>
                <w:rFonts w:ascii="Arial" w:eastAsia="Arial" w:hAnsi="Arial" w:cs="Arial"/>
                <w:color w:val="000000"/>
                <w:sz w:val="18"/>
                <w:szCs w:val="18"/>
              </w:rPr>
              <w:t>.</w:t>
            </w:r>
          </w:p>
          <w:p w14:paraId="1CF06C9A" w14:textId="77777777" w:rsidR="001C7E6F" w:rsidRDefault="001C7E6F" w:rsidP="00BD3046">
            <w:pPr>
              <w:spacing w:after="0" w:line="240" w:lineRule="auto"/>
              <w:rPr>
                <w:rFonts w:ascii="Arial" w:eastAsia="Arial" w:hAnsi="Arial" w:cs="Arial"/>
                <w:color w:val="000000"/>
                <w:sz w:val="18"/>
                <w:szCs w:val="18"/>
              </w:rPr>
            </w:pPr>
          </w:p>
        </w:tc>
      </w:tr>
      <w:tr w:rsidR="001C7E6F" w14:paraId="308AB376" w14:textId="77777777" w:rsidTr="00BD3046">
        <w:trPr>
          <w:trHeight w:val="20"/>
        </w:trPr>
        <w:tc>
          <w:tcPr>
            <w:tcW w:w="0" w:type="auto"/>
            <w:shd w:val="clear" w:color="auto" w:fill="auto"/>
            <w:vAlign w:val="center"/>
          </w:tcPr>
          <w:p w14:paraId="16B36F0B"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3.11 Participação social na execução</w:t>
            </w:r>
          </w:p>
        </w:tc>
        <w:tc>
          <w:tcPr>
            <w:tcW w:w="0" w:type="auto"/>
            <w:shd w:val="clear" w:color="auto" w:fill="auto"/>
            <w:vAlign w:val="center"/>
          </w:tcPr>
          <w:p w14:paraId="7CB7AE1E" w14:textId="77777777" w:rsidR="001C7E6F" w:rsidRPr="0067442F" w:rsidRDefault="001C7E6F" w:rsidP="00BD3046">
            <w:pPr>
              <w:spacing w:after="0" w:line="240" w:lineRule="auto"/>
              <w:rPr>
                <w:rFonts w:ascii="Arial" w:eastAsia="Arial" w:hAnsi="Arial" w:cs="Arial"/>
                <w:i/>
                <w:color w:val="000000"/>
                <w:sz w:val="18"/>
                <w:szCs w:val="18"/>
              </w:rPr>
            </w:pPr>
            <w:r w:rsidRPr="0067442F">
              <w:rPr>
                <w:rFonts w:ascii="Arial" w:eastAsia="Arial" w:hAnsi="Arial" w:cs="Arial"/>
                <w:i/>
                <w:color w:val="000000"/>
                <w:sz w:val="18"/>
                <w:szCs w:val="18"/>
              </w:rPr>
              <w:t xml:space="preserve">Participação in itinere ou ex post. Verifica se a sociedade acompanha e cobra a entrega do que foi planejado, monitorando empenho, liquidação, pagamento, reprogramações, contingenciamentos e prestações de contas. Mede-se a transparência e tempestividade dos dados e a capacidade de acionamento corretivo (ouvidoria e canais de denúncias). A sociedade verifica “como” foi realizado o gasto e “o quê” foi entregue como resultado. </w:t>
            </w:r>
          </w:p>
          <w:p w14:paraId="2D9FACC9" w14:textId="77777777" w:rsidR="001C7E6F" w:rsidRDefault="001C7E6F" w:rsidP="00BD3046">
            <w:pPr>
              <w:spacing w:after="0" w:line="240" w:lineRule="auto"/>
              <w:rPr>
                <w:rFonts w:ascii="Arial" w:eastAsia="Arial" w:hAnsi="Arial" w:cs="Arial"/>
                <w:color w:val="000000"/>
                <w:sz w:val="18"/>
                <w:szCs w:val="18"/>
              </w:rPr>
            </w:pPr>
          </w:p>
          <w:p w14:paraId="61B46678"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O Estado do Rio de Janeiro </w:t>
            </w:r>
            <w:r w:rsidRPr="0067442F">
              <w:rPr>
                <w:rFonts w:ascii="Arial" w:eastAsia="Arial" w:hAnsi="Arial" w:cs="Arial"/>
                <w:color w:val="000000"/>
                <w:sz w:val="18"/>
                <w:szCs w:val="18"/>
              </w:rPr>
              <w:t>possui mecanismos formais para a participação social na execução (</w:t>
            </w:r>
            <w:r w:rsidRPr="0067442F">
              <w:rPr>
                <w:rFonts w:ascii="Arial" w:eastAsia="Arial" w:hAnsi="Arial" w:cs="Arial"/>
                <w:i/>
                <w:color w:val="000000"/>
                <w:sz w:val="18"/>
                <w:szCs w:val="18"/>
              </w:rPr>
              <w:t>in itinere</w:t>
            </w:r>
            <w:r w:rsidRPr="0067442F">
              <w:rPr>
                <w:rFonts w:ascii="Arial" w:eastAsia="Arial" w:hAnsi="Arial" w:cs="Arial"/>
                <w:color w:val="000000"/>
                <w:sz w:val="18"/>
                <w:szCs w:val="18"/>
              </w:rPr>
              <w:t xml:space="preserve"> ou </w:t>
            </w:r>
            <w:r w:rsidRPr="0067442F">
              <w:rPr>
                <w:rFonts w:ascii="Arial" w:eastAsia="Arial" w:hAnsi="Arial" w:cs="Arial"/>
                <w:i/>
                <w:color w:val="000000"/>
                <w:sz w:val="18"/>
                <w:szCs w:val="18"/>
              </w:rPr>
              <w:t>ex post</w:t>
            </w:r>
            <w:r w:rsidRPr="0067442F">
              <w:rPr>
                <w:rFonts w:ascii="Arial" w:eastAsia="Arial" w:hAnsi="Arial" w:cs="Arial"/>
                <w:color w:val="000000"/>
                <w:sz w:val="18"/>
                <w:szCs w:val="18"/>
              </w:rPr>
              <w:t>) dos gastos públicos, com estruturas destinadas ao monitoramento, à transparência e ao acionamento corretivo. No entanto, o controle externo identificou falhas que limitam a capacidade da sociedade (especialmente em Conselhos) de verificar efetivamente "o quê foi entregue como resultado", em vez de apenas "como" o dinheiro foi gasto.</w:t>
            </w:r>
            <w:r>
              <w:rPr>
                <w:rFonts w:ascii="Arial" w:eastAsia="Arial" w:hAnsi="Arial" w:cs="Arial"/>
                <w:color w:val="000000"/>
                <w:sz w:val="18"/>
                <w:szCs w:val="18"/>
              </w:rPr>
              <w:t xml:space="preserve"> </w:t>
            </w:r>
            <w:r w:rsidRPr="0067442F">
              <w:rPr>
                <w:rFonts w:ascii="Arial" w:eastAsia="Arial" w:hAnsi="Arial" w:cs="Arial"/>
                <w:color w:val="000000"/>
                <w:sz w:val="18"/>
                <w:szCs w:val="18"/>
              </w:rPr>
              <w:t>A sociedade tem acesso a dados financeiros por meio de portais de transparência, mas a rastreabilidade em tempo hábil enfrenta desafios</w:t>
            </w:r>
            <w:r>
              <w:rPr>
                <w:rFonts w:ascii="Arial" w:eastAsia="Arial" w:hAnsi="Arial" w:cs="Arial"/>
                <w:color w:val="000000"/>
                <w:sz w:val="18"/>
                <w:szCs w:val="18"/>
              </w:rPr>
              <w:t xml:space="preserve"> inerentes ao processo contábil.</w:t>
            </w:r>
          </w:p>
          <w:p w14:paraId="60CC066C" w14:textId="77777777" w:rsidR="001C7E6F" w:rsidRDefault="001C7E6F" w:rsidP="00BD3046">
            <w:pPr>
              <w:spacing w:after="0" w:line="240" w:lineRule="auto"/>
              <w:jc w:val="both"/>
              <w:rPr>
                <w:rFonts w:ascii="Arial" w:eastAsia="Arial" w:hAnsi="Arial" w:cs="Arial"/>
                <w:color w:val="000000"/>
                <w:sz w:val="18"/>
                <w:szCs w:val="18"/>
              </w:rPr>
            </w:pPr>
          </w:p>
          <w:p w14:paraId="0E1F4E9B" w14:textId="77777777" w:rsidR="001C7E6F" w:rsidRDefault="001C7E6F" w:rsidP="00BD3046">
            <w:p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O Estado possui canal específico sobre o FECP-RJ, mas não foram encontradas evidências de atuação do Conselho Gestor do Fundo. </w:t>
            </w:r>
            <w:r w:rsidRPr="00C46465">
              <w:rPr>
                <w:rFonts w:ascii="Arial" w:eastAsia="Arial" w:hAnsi="Arial" w:cs="Arial"/>
                <w:color w:val="000000"/>
                <w:sz w:val="18"/>
                <w:szCs w:val="18"/>
              </w:rPr>
              <w:t xml:space="preserve">Embora o mandato legal seja claro, auditorias do </w:t>
            </w:r>
            <w:r>
              <w:rPr>
                <w:rFonts w:ascii="Arial" w:eastAsia="Arial" w:hAnsi="Arial" w:cs="Arial"/>
                <w:color w:val="000000"/>
                <w:sz w:val="18"/>
                <w:szCs w:val="18"/>
              </w:rPr>
              <w:t>TCE-RJ</w:t>
            </w:r>
            <w:r w:rsidRPr="00C46465">
              <w:rPr>
                <w:rFonts w:ascii="Arial" w:eastAsia="Arial" w:hAnsi="Arial" w:cs="Arial"/>
                <w:color w:val="000000"/>
                <w:sz w:val="18"/>
                <w:szCs w:val="18"/>
              </w:rPr>
              <w:t xml:space="preserve"> atestam que a atuação na gestão financeira, que deveria ser supervisionada pelo Con</w:t>
            </w:r>
            <w:r>
              <w:rPr>
                <w:rFonts w:ascii="Arial" w:eastAsia="Arial" w:hAnsi="Arial" w:cs="Arial"/>
                <w:color w:val="000000"/>
                <w:sz w:val="18"/>
                <w:szCs w:val="18"/>
              </w:rPr>
              <w:t>selho, foi historicamente falha. Assim, apesar de o</w:t>
            </w:r>
            <w:r w:rsidRPr="00C46465">
              <w:rPr>
                <w:rFonts w:ascii="Arial" w:eastAsia="Arial" w:hAnsi="Arial" w:cs="Arial"/>
                <w:color w:val="000000"/>
                <w:sz w:val="18"/>
                <w:szCs w:val="18"/>
              </w:rPr>
              <w:t xml:space="preserve"> Secretário de Estado de Fazenda </w:t>
            </w:r>
            <w:r>
              <w:rPr>
                <w:rFonts w:ascii="Arial" w:eastAsia="Arial" w:hAnsi="Arial" w:cs="Arial"/>
                <w:color w:val="000000"/>
                <w:sz w:val="18"/>
                <w:szCs w:val="18"/>
              </w:rPr>
              <w:t>ser</w:t>
            </w:r>
            <w:r w:rsidRPr="00C46465">
              <w:rPr>
                <w:rFonts w:ascii="Arial" w:eastAsia="Arial" w:hAnsi="Arial" w:cs="Arial"/>
                <w:color w:val="000000"/>
                <w:sz w:val="18"/>
                <w:szCs w:val="18"/>
              </w:rPr>
              <w:t xml:space="preserve"> legalmente o gestor financeiro do FECP, conforme </w:t>
            </w:r>
            <w:r>
              <w:rPr>
                <w:rFonts w:ascii="Arial" w:eastAsia="Arial" w:hAnsi="Arial" w:cs="Arial"/>
                <w:color w:val="000000"/>
                <w:sz w:val="18"/>
                <w:szCs w:val="18"/>
              </w:rPr>
              <w:t xml:space="preserve">previa </w:t>
            </w:r>
            <w:r w:rsidRPr="00C46465">
              <w:rPr>
                <w:rFonts w:ascii="Arial" w:eastAsia="Arial" w:hAnsi="Arial" w:cs="Arial"/>
                <w:color w:val="000000"/>
                <w:sz w:val="18"/>
                <w:szCs w:val="18"/>
              </w:rPr>
              <w:t>o Decreto Estadual nº 33.123/03</w:t>
            </w:r>
            <w:r>
              <w:rPr>
                <w:rFonts w:ascii="Arial" w:eastAsia="Arial" w:hAnsi="Arial" w:cs="Arial"/>
                <w:color w:val="000000"/>
                <w:sz w:val="18"/>
                <w:szCs w:val="18"/>
              </w:rPr>
              <w:t>, e</w:t>
            </w:r>
            <w:r w:rsidRPr="00C46465">
              <w:rPr>
                <w:rFonts w:ascii="Arial" w:eastAsia="Arial" w:hAnsi="Arial" w:cs="Arial"/>
                <w:color w:val="000000"/>
                <w:sz w:val="18"/>
                <w:szCs w:val="18"/>
              </w:rPr>
              <w:t xml:space="preserve">m auditoria relativa ao exercício de 2018, o </w:t>
            </w:r>
            <w:r>
              <w:rPr>
                <w:rFonts w:ascii="Arial" w:eastAsia="Arial" w:hAnsi="Arial" w:cs="Arial"/>
                <w:color w:val="000000"/>
                <w:sz w:val="18"/>
                <w:szCs w:val="18"/>
              </w:rPr>
              <w:t>órgão</w:t>
            </w:r>
            <w:r w:rsidRPr="00C46465">
              <w:rPr>
                <w:rFonts w:ascii="Arial" w:eastAsia="Arial" w:hAnsi="Arial" w:cs="Arial"/>
                <w:color w:val="000000"/>
                <w:sz w:val="18"/>
                <w:szCs w:val="18"/>
              </w:rPr>
              <w:t xml:space="preserve"> apurou que houve antecipação de recursos do </w:t>
            </w:r>
            <w:r>
              <w:rPr>
                <w:rFonts w:ascii="Arial" w:eastAsia="Arial" w:hAnsi="Arial" w:cs="Arial"/>
                <w:color w:val="000000"/>
                <w:sz w:val="18"/>
                <w:szCs w:val="18"/>
              </w:rPr>
              <w:t>Fundo</w:t>
            </w:r>
            <w:r w:rsidRPr="00C46465">
              <w:rPr>
                <w:rFonts w:ascii="Arial" w:eastAsia="Arial" w:hAnsi="Arial" w:cs="Arial"/>
                <w:color w:val="000000"/>
                <w:sz w:val="18"/>
                <w:szCs w:val="18"/>
              </w:rPr>
              <w:t xml:space="preserve"> para execução de despesas sem disponibilidade financeira de outras fontes de recursos, violando o § único do Art. 8º da LRF. </w:t>
            </w:r>
            <w:r>
              <w:rPr>
                <w:rFonts w:ascii="Arial" w:eastAsia="Arial" w:hAnsi="Arial" w:cs="Arial"/>
                <w:color w:val="000000"/>
                <w:sz w:val="18"/>
                <w:szCs w:val="18"/>
              </w:rPr>
              <w:t>A</w:t>
            </w:r>
            <w:r w:rsidRPr="00C46465">
              <w:rPr>
                <w:rFonts w:ascii="Arial" w:eastAsia="Arial" w:hAnsi="Arial" w:cs="Arial"/>
                <w:color w:val="000000"/>
                <w:sz w:val="18"/>
                <w:szCs w:val="18"/>
              </w:rPr>
              <w:t xml:space="preserve"> prática de transferência de R$ 4,81 bilhões do FECP</w:t>
            </w:r>
            <w:r>
              <w:rPr>
                <w:rFonts w:ascii="Arial" w:eastAsia="Arial" w:hAnsi="Arial" w:cs="Arial"/>
                <w:color w:val="000000"/>
                <w:sz w:val="18"/>
                <w:szCs w:val="18"/>
              </w:rPr>
              <w:t>-RJ</w:t>
            </w:r>
            <w:r w:rsidRPr="00C46465">
              <w:rPr>
                <w:rFonts w:ascii="Arial" w:eastAsia="Arial" w:hAnsi="Arial" w:cs="Arial"/>
                <w:color w:val="000000"/>
                <w:sz w:val="18"/>
                <w:szCs w:val="18"/>
              </w:rPr>
              <w:t xml:space="preserve"> para cobertura de outras fontes de recursos ocorreu por meio de lançamento específico (Nota Patrimonial 2018NP37942).</w:t>
            </w:r>
            <w:r>
              <w:rPr>
                <w:rFonts w:ascii="Arial" w:eastAsia="Arial" w:hAnsi="Arial" w:cs="Arial"/>
                <w:color w:val="000000"/>
                <w:sz w:val="18"/>
                <w:szCs w:val="18"/>
              </w:rPr>
              <w:t xml:space="preserve"> </w:t>
            </w:r>
            <w:r w:rsidRPr="00C46465">
              <w:rPr>
                <w:rFonts w:ascii="Arial" w:eastAsia="Arial" w:hAnsi="Arial" w:cs="Arial"/>
                <w:color w:val="000000"/>
                <w:sz w:val="18"/>
                <w:szCs w:val="18"/>
              </w:rPr>
              <w:t xml:space="preserve">O ex-Secretário de Estado de Fazenda e a ex-Subsecretária de Finanças foram responsabilizados (com rejeição de defesa) por serem responsáveis pela escolha de antecipar recursos do </w:t>
            </w:r>
            <w:r>
              <w:rPr>
                <w:rFonts w:ascii="Arial" w:eastAsia="Arial" w:hAnsi="Arial" w:cs="Arial"/>
                <w:color w:val="000000"/>
                <w:sz w:val="18"/>
                <w:szCs w:val="18"/>
              </w:rPr>
              <w:t>Fundo</w:t>
            </w:r>
            <w:r w:rsidRPr="00C46465">
              <w:rPr>
                <w:rFonts w:ascii="Arial" w:eastAsia="Arial" w:hAnsi="Arial" w:cs="Arial"/>
                <w:color w:val="000000"/>
                <w:sz w:val="18"/>
                <w:szCs w:val="18"/>
              </w:rPr>
              <w:t xml:space="preserve">, violando o mandamento </w:t>
            </w:r>
            <w:r>
              <w:rPr>
                <w:rFonts w:ascii="Arial" w:eastAsia="Arial" w:hAnsi="Arial" w:cs="Arial"/>
                <w:color w:val="000000"/>
                <w:sz w:val="18"/>
                <w:szCs w:val="18"/>
              </w:rPr>
              <w:t>legal</w:t>
            </w:r>
            <w:r w:rsidRPr="00C46465">
              <w:rPr>
                <w:rFonts w:ascii="Arial" w:eastAsia="Arial" w:hAnsi="Arial" w:cs="Arial"/>
                <w:color w:val="000000"/>
                <w:sz w:val="18"/>
                <w:szCs w:val="18"/>
              </w:rPr>
              <w:t xml:space="preserve">. </w:t>
            </w:r>
            <w:r>
              <w:rPr>
                <w:rFonts w:ascii="Arial" w:eastAsia="Arial" w:hAnsi="Arial" w:cs="Arial"/>
                <w:color w:val="000000"/>
                <w:sz w:val="18"/>
                <w:szCs w:val="18"/>
              </w:rPr>
              <w:t xml:space="preserve">Tal circunstância </w:t>
            </w:r>
            <w:r w:rsidRPr="00C46465">
              <w:rPr>
                <w:rFonts w:ascii="Arial" w:eastAsia="Arial" w:hAnsi="Arial" w:cs="Arial"/>
                <w:color w:val="000000"/>
                <w:sz w:val="18"/>
                <w:szCs w:val="18"/>
              </w:rPr>
              <w:t xml:space="preserve">evidencia falha grave na gestão financeira que o Conselho Gestor </w:t>
            </w:r>
            <w:r>
              <w:rPr>
                <w:rFonts w:ascii="Arial" w:eastAsia="Arial" w:hAnsi="Arial" w:cs="Arial"/>
                <w:color w:val="000000"/>
                <w:sz w:val="18"/>
                <w:szCs w:val="18"/>
              </w:rPr>
              <w:t>do Fundo teria</w:t>
            </w:r>
            <w:r w:rsidRPr="00C46465">
              <w:rPr>
                <w:rFonts w:ascii="Arial" w:eastAsia="Arial" w:hAnsi="Arial" w:cs="Arial"/>
                <w:color w:val="000000"/>
                <w:sz w:val="18"/>
                <w:szCs w:val="18"/>
              </w:rPr>
              <w:t xml:space="preserve"> atribuição de acompanhar e fiscalizar.</w:t>
            </w:r>
          </w:p>
          <w:p w14:paraId="62173CF7" w14:textId="77777777" w:rsidR="001C7E6F" w:rsidRDefault="001C7E6F" w:rsidP="00BD3046">
            <w:pPr>
              <w:spacing w:after="0" w:line="240" w:lineRule="auto"/>
              <w:rPr>
                <w:rFonts w:ascii="Arial" w:eastAsia="Arial" w:hAnsi="Arial" w:cs="Arial"/>
                <w:color w:val="000000"/>
                <w:sz w:val="18"/>
                <w:szCs w:val="18"/>
              </w:rPr>
            </w:pPr>
          </w:p>
        </w:tc>
      </w:tr>
      <w:tr w:rsidR="001C7E6F" w14:paraId="75BD99E9" w14:textId="77777777" w:rsidTr="00BD3046">
        <w:trPr>
          <w:trHeight w:val="20"/>
        </w:trPr>
        <w:tc>
          <w:tcPr>
            <w:tcW w:w="0" w:type="auto"/>
            <w:shd w:val="clear" w:color="auto" w:fill="auto"/>
            <w:vAlign w:val="center"/>
          </w:tcPr>
          <w:p w14:paraId="541386A4"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3.12 Capacidade institucional</w:t>
            </w:r>
          </w:p>
        </w:tc>
        <w:tc>
          <w:tcPr>
            <w:tcW w:w="0" w:type="auto"/>
            <w:shd w:val="clear" w:color="auto" w:fill="auto"/>
            <w:vAlign w:val="center"/>
          </w:tcPr>
          <w:p w14:paraId="0C211414" w14:textId="77777777" w:rsidR="001C7E6F" w:rsidRPr="00331E78" w:rsidRDefault="001C7E6F" w:rsidP="00BD3046">
            <w:pPr>
              <w:spacing w:after="0" w:line="240" w:lineRule="auto"/>
              <w:rPr>
                <w:rFonts w:ascii="Arial" w:eastAsia="Arial" w:hAnsi="Arial" w:cs="Arial"/>
                <w:i/>
                <w:color w:val="000000"/>
                <w:sz w:val="18"/>
                <w:szCs w:val="18"/>
              </w:rPr>
            </w:pPr>
            <w:r w:rsidRPr="00331E78">
              <w:rPr>
                <w:rFonts w:ascii="Arial" w:eastAsia="Arial" w:hAnsi="Arial" w:cs="Arial"/>
                <w:i/>
                <w:color w:val="000000"/>
                <w:sz w:val="18"/>
                <w:szCs w:val="18"/>
              </w:rPr>
              <w:t xml:space="preserve">Governança (equipe, processos e sistemas) suficiente para executar os recursos do Fundo. Inclui os sistemas de justiça, de controle interno e de controle externo. </w:t>
            </w:r>
          </w:p>
          <w:p w14:paraId="6C0BF637" w14:textId="77777777" w:rsidR="001C7E6F" w:rsidRDefault="001C7E6F" w:rsidP="00BD3046">
            <w:pPr>
              <w:spacing w:after="0" w:line="240" w:lineRule="auto"/>
              <w:rPr>
                <w:rFonts w:ascii="Arial" w:eastAsia="Arial" w:hAnsi="Arial" w:cs="Arial"/>
                <w:color w:val="000000"/>
                <w:sz w:val="18"/>
                <w:szCs w:val="18"/>
              </w:rPr>
            </w:pPr>
          </w:p>
          <w:p w14:paraId="21F1899A" w14:textId="77777777" w:rsidR="001C7E6F" w:rsidRDefault="001C7E6F" w:rsidP="00BD3046">
            <w:pPr>
              <w:spacing w:after="0" w:line="240" w:lineRule="auto"/>
              <w:rPr>
                <w:rFonts w:ascii="Arial" w:eastAsia="Arial" w:hAnsi="Arial" w:cs="Arial"/>
                <w:color w:val="000000"/>
                <w:sz w:val="18"/>
                <w:szCs w:val="18"/>
              </w:rPr>
            </w:pPr>
            <w:r w:rsidRPr="00E0663D">
              <w:rPr>
                <w:rFonts w:ascii="Arial" w:eastAsia="Arial" w:hAnsi="Arial" w:cs="Arial"/>
                <w:color w:val="000000"/>
                <w:sz w:val="18"/>
                <w:szCs w:val="18"/>
              </w:rPr>
              <w:t xml:space="preserve">A governança para a execução dos recursos do </w:t>
            </w:r>
            <w:r>
              <w:rPr>
                <w:rFonts w:ascii="Arial" w:eastAsia="Arial" w:hAnsi="Arial" w:cs="Arial"/>
                <w:color w:val="000000"/>
                <w:sz w:val="18"/>
                <w:szCs w:val="18"/>
              </w:rPr>
              <w:t>FECP-RJ</w:t>
            </w:r>
            <w:r w:rsidRPr="00E0663D">
              <w:rPr>
                <w:rFonts w:ascii="Arial" w:eastAsia="Arial" w:hAnsi="Arial" w:cs="Arial"/>
                <w:color w:val="000000"/>
                <w:sz w:val="18"/>
                <w:szCs w:val="18"/>
              </w:rPr>
              <w:t xml:space="preserve"> é estabelecida por um sistema complexo e multifacetado, envolvendo órgãos de planejamento e gestão, além de sistemas de controle interno, externo e de justiça. Embora a estrutura seja </w:t>
            </w:r>
            <w:r>
              <w:rPr>
                <w:rFonts w:ascii="Arial" w:eastAsia="Arial" w:hAnsi="Arial" w:cs="Arial"/>
                <w:color w:val="000000"/>
                <w:sz w:val="18"/>
                <w:szCs w:val="18"/>
              </w:rPr>
              <w:t>definida</w:t>
            </w:r>
            <w:r w:rsidRPr="00E0663D">
              <w:rPr>
                <w:rFonts w:ascii="Arial" w:eastAsia="Arial" w:hAnsi="Arial" w:cs="Arial"/>
                <w:color w:val="000000"/>
                <w:sz w:val="18"/>
                <w:szCs w:val="18"/>
              </w:rPr>
              <w:t xml:space="preserve">, os relatórios de controle </w:t>
            </w:r>
            <w:r>
              <w:rPr>
                <w:rFonts w:ascii="Arial" w:eastAsia="Arial" w:hAnsi="Arial" w:cs="Arial"/>
                <w:color w:val="000000"/>
                <w:sz w:val="18"/>
                <w:szCs w:val="18"/>
              </w:rPr>
              <w:t xml:space="preserve">(interno e </w:t>
            </w:r>
            <w:r w:rsidRPr="00E0663D">
              <w:rPr>
                <w:rFonts w:ascii="Arial" w:eastAsia="Arial" w:hAnsi="Arial" w:cs="Arial"/>
                <w:color w:val="000000"/>
                <w:sz w:val="18"/>
                <w:szCs w:val="18"/>
              </w:rPr>
              <w:t>externo</w:t>
            </w:r>
            <w:r>
              <w:rPr>
                <w:rFonts w:ascii="Arial" w:eastAsia="Arial" w:hAnsi="Arial" w:cs="Arial"/>
                <w:color w:val="000000"/>
                <w:sz w:val="18"/>
                <w:szCs w:val="18"/>
              </w:rPr>
              <w:t>)</w:t>
            </w:r>
            <w:r w:rsidRPr="00E0663D">
              <w:rPr>
                <w:rFonts w:ascii="Arial" w:eastAsia="Arial" w:hAnsi="Arial" w:cs="Arial"/>
                <w:color w:val="000000"/>
                <w:sz w:val="18"/>
                <w:szCs w:val="18"/>
              </w:rPr>
              <w:t xml:space="preserve"> indicam que a sua suficiência é desafiada pela implementação e fidedignidade dos sistemas de informação.</w:t>
            </w:r>
          </w:p>
          <w:p w14:paraId="4A38A8E5" w14:textId="77777777" w:rsidR="001C7E6F" w:rsidRDefault="001C7E6F" w:rsidP="00BD3046">
            <w:pPr>
              <w:spacing w:after="0" w:line="240" w:lineRule="auto"/>
              <w:rPr>
                <w:rFonts w:ascii="Arial" w:eastAsia="Arial" w:hAnsi="Arial" w:cs="Arial"/>
                <w:color w:val="000000"/>
                <w:sz w:val="18"/>
                <w:szCs w:val="18"/>
              </w:rPr>
            </w:pPr>
          </w:p>
          <w:p w14:paraId="7AB42BC2" w14:textId="77777777" w:rsidR="001C7E6F" w:rsidRDefault="001C7E6F" w:rsidP="00BD3046">
            <w:pPr>
              <w:spacing w:after="0" w:line="240" w:lineRule="auto"/>
              <w:rPr>
                <w:rFonts w:ascii="Arial" w:eastAsia="Arial" w:hAnsi="Arial" w:cs="Arial"/>
                <w:color w:val="000000"/>
                <w:sz w:val="18"/>
                <w:szCs w:val="18"/>
              </w:rPr>
            </w:pPr>
            <w:r w:rsidRPr="00E0663D">
              <w:rPr>
                <w:rFonts w:ascii="Arial" w:eastAsia="Arial" w:hAnsi="Arial" w:cs="Arial"/>
                <w:color w:val="000000"/>
                <w:sz w:val="18"/>
                <w:szCs w:val="18"/>
              </w:rPr>
              <w:t>A execução dos recursos do FECP</w:t>
            </w:r>
            <w:r>
              <w:rPr>
                <w:rFonts w:ascii="Arial" w:eastAsia="Arial" w:hAnsi="Arial" w:cs="Arial"/>
                <w:color w:val="000000"/>
                <w:sz w:val="18"/>
                <w:szCs w:val="18"/>
              </w:rPr>
              <w:t>-RJ</w:t>
            </w:r>
            <w:r w:rsidRPr="00E0663D">
              <w:rPr>
                <w:rFonts w:ascii="Arial" w:eastAsia="Arial" w:hAnsi="Arial" w:cs="Arial"/>
                <w:color w:val="000000"/>
                <w:sz w:val="18"/>
                <w:szCs w:val="18"/>
              </w:rPr>
              <w:t xml:space="preserve"> é conduzida de forma descentralizada pelas secretarias setoriais, mas orientada e supervisionada por órgãos centrais</w:t>
            </w:r>
            <w:r>
              <w:rPr>
                <w:rFonts w:ascii="Arial" w:eastAsia="Arial" w:hAnsi="Arial" w:cs="Arial"/>
                <w:color w:val="000000"/>
                <w:sz w:val="18"/>
                <w:szCs w:val="18"/>
              </w:rPr>
              <w:t>.</w:t>
            </w:r>
          </w:p>
          <w:p w14:paraId="6CFFB81F" w14:textId="77777777" w:rsidR="001C7E6F" w:rsidRDefault="001C7E6F" w:rsidP="00BD3046">
            <w:pPr>
              <w:spacing w:after="0" w:line="240" w:lineRule="auto"/>
              <w:rPr>
                <w:rFonts w:ascii="Arial" w:eastAsia="Arial" w:hAnsi="Arial" w:cs="Arial"/>
                <w:color w:val="000000"/>
                <w:sz w:val="18"/>
                <w:szCs w:val="18"/>
              </w:rPr>
            </w:pPr>
          </w:p>
          <w:p w14:paraId="294766D6" w14:textId="77777777" w:rsidR="001C7E6F" w:rsidRPr="00E0663D" w:rsidRDefault="001C7E6F" w:rsidP="0032733E">
            <w:pPr>
              <w:pStyle w:val="PargrafodaLista"/>
              <w:numPr>
                <w:ilvl w:val="0"/>
                <w:numId w:val="31"/>
              </w:numPr>
              <w:spacing w:after="0" w:line="240" w:lineRule="auto"/>
              <w:ind w:left="461"/>
              <w:rPr>
                <w:rFonts w:eastAsia="Arial"/>
                <w:color w:val="000000"/>
                <w:sz w:val="18"/>
                <w:szCs w:val="18"/>
              </w:rPr>
            </w:pPr>
            <w:r w:rsidRPr="00E0663D">
              <w:rPr>
                <w:rFonts w:eastAsia="Arial"/>
                <w:color w:val="000000"/>
                <w:sz w:val="18"/>
                <w:szCs w:val="18"/>
              </w:rPr>
              <w:t>Órgãos Centrais (Planejamento e Finanças)</w:t>
            </w:r>
          </w:p>
          <w:p w14:paraId="3340F709" w14:textId="77777777" w:rsidR="001C7E6F" w:rsidRDefault="001C7E6F" w:rsidP="0032733E">
            <w:pPr>
              <w:pStyle w:val="PargrafodaLista"/>
              <w:numPr>
                <w:ilvl w:val="0"/>
                <w:numId w:val="32"/>
              </w:numPr>
              <w:spacing w:after="0" w:line="240" w:lineRule="auto"/>
              <w:ind w:left="461" w:hanging="283"/>
              <w:rPr>
                <w:rFonts w:eastAsia="Arial"/>
                <w:color w:val="000000"/>
                <w:sz w:val="18"/>
                <w:szCs w:val="18"/>
              </w:rPr>
            </w:pPr>
            <w:r w:rsidRPr="00E0663D">
              <w:rPr>
                <w:rFonts w:eastAsia="Arial"/>
                <w:color w:val="000000"/>
                <w:sz w:val="18"/>
                <w:szCs w:val="18"/>
              </w:rPr>
              <w:t>Secretaria de Estado de Planejamento e Gestão (SEPLAG): Atua como o órgão central de planejamento e gestão em matéria de orçamento, fundos e logística. Sua função é coordenar o processo de planejamento governamental de curto, médio e longo prazo, e acompanhar e controlar os planos, programas e projetos. A Subsecretaria de Planejamento Estratégico (SUBPLE) busca oferecer instrumentos baseados na técnica para elevar o nível de racionalidade nos processos de decisão. A SEPLAG é responsável por normatizar e regulamentar a execução orçamentária.</w:t>
            </w:r>
          </w:p>
          <w:p w14:paraId="5E51DF32" w14:textId="77777777" w:rsidR="001C7E6F" w:rsidRDefault="001C7E6F" w:rsidP="0032733E">
            <w:pPr>
              <w:pStyle w:val="PargrafodaLista"/>
              <w:numPr>
                <w:ilvl w:val="0"/>
                <w:numId w:val="32"/>
              </w:numPr>
              <w:spacing w:after="0" w:line="240" w:lineRule="auto"/>
              <w:ind w:left="461" w:hanging="283"/>
              <w:rPr>
                <w:rFonts w:eastAsia="Arial"/>
                <w:color w:val="000000"/>
                <w:sz w:val="18"/>
                <w:szCs w:val="18"/>
              </w:rPr>
            </w:pPr>
            <w:r w:rsidRPr="00E0663D">
              <w:rPr>
                <w:rFonts w:eastAsia="Arial"/>
                <w:color w:val="000000"/>
                <w:sz w:val="18"/>
                <w:szCs w:val="18"/>
              </w:rPr>
              <w:t>Secretaria de Estado de Fazenda (SEFAZ): É o órgão central da administração fiscal, tributária, financeira, econômica e contábil. Sua função inclui instituir, manter e aprimorar os sistemas de normas e procedimentos contábeis para o adequado registro da gestão orçamentária, financeira e patrimonial.</w:t>
            </w:r>
          </w:p>
          <w:p w14:paraId="05EC7395" w14:textId="77777777" w:rsidR="001C7E6F" w:rsidRPr="00E0663D" w:rsidRDefault="001C7E6F" w:rsidP="00BD3046">
            <w:pPr>
              <w:pStyle w:val="PargrafodaLista"/>
              <w:spacing w:after="0" w:line="240" w:lineRule="auto"/>
              <w:ind w:left="461" w:firstLine="0"/>
              <w:rPr>
                <w:rFonts w:eastAsia="Arial"/>
                <w:color w:val="000000"/>
                <w:sz w:val="18"/>
                <w:szCs w:val="18"/>
              </w:rPr>
            </w:pPr>
          </w:p>
          <w:p w14:paraId="5B1ADC9D" w14:textId="77777777" w:rsidR="001C7E6F" w:rsidRPr="00E0663D" w:rsidRDefault="001C7E6F" w:rsidP="0032733E">
            <w:pPr>
              <w:pStyle w:val="PargrafodaLista"/>
              <w:numPr>
                <w:ilvl w:val="0"/>
                <w:numId w:val="31"/>
              </w:numPr>
              <w:spacing w:after="0" w:line="240" w:lineRule="auto"/>
              <w:ind w:left="461"/>
              <w:rPr>
                <w:rFonts w:eastAsia="Arial"/>
                <w:color w:val="000000"/>
                <w:sz w:val="18"/>
                <w:szCs w:val="18"/>
              </w:rPr>
            </w:pPr>
            <w:r w:rsidRPr="00E0663D">
              <w:rPr>
                <w:rFonts w:eastAsia="Arial"/>
                <w:color w:val="000000"/>
                <w:sz w:val="18"/>
                <w:szCs w:val="18"/>
              </w:rPr>
              <w:t>Conselho Gestor do FECP (CGF)</w:t>
            </w:r>
          </w:p>
          <w:p w14:paraId="308E69CC" w14:textId="77777777" w:rsidR="001C7E6F" w:rsidRPr="00E0663D" w:rsidRDefault="001C7E6F" w:rsidP="0032733E">
            <w:pPr>
              <w:pStyle w:val="PargrafodaLista"/>
              <w:numPr>
                <w:ilvl w:val="0"/>
                <w:numId w:val="33"/>
              </w:numPr>
              <w:spacing w:after="0" w:line="240" w:lineRule="auto"/>
              <w:ind w:left="461" w:hanging="283"/>
              <w:rPr>
                <w:rFonts w:eastAsia="Arial"/>
                <w:color w:val="000000"/>
                <w:sz w:val="18"/>
                <w:szCs w:val="18"/>
              </w:rPr>
            </w:pPr>
            <w:r w:rsidRPr="00E0663D">
              <w:rPr>
                <w:rFonts w:eastAsia="Arial"/>
                <w:color w:val="000000"/>
                <w:sz w:val="18"/>
                <w:szCs w:val="18"/>
              </w:rPr>
              <w:t>O CGF é a instância de deliberação estratégica do Fundo, observando as áreas de resultado e as diretrizes do Plano Estratégico de Desenvolvimento Econômico e Social (PEDES).</w:t>
            </w:r>
          </w:p>
          <w:p w14:paraId="627D8D20" w14:textId="77777777" w:rsidR="001C7E6F" w:rsidRPr="00E0663D" w:rsidRDefault="001C7E6F" w:rsidP="0032733E">
            <w:pPr>
              <w:pStyle w:val="PargrafodaLista"/>
              <w:numPr>
                <w:ilvl w:val="0"/>
                <w:numId w:val="33"/>
              </w:numPr>
              <w:spacing w:after="0" w:line="240" w:lineRule="auto"/>
              <w:ind w:left="461" w:hanging="283"/>
              <w:rPr>
                <w:rFonts w:eastAsia="Arial"/>
                <w:color w:val="000000"/>
                <w:sz w:val="18"/>
                <w:szCs w:val="18"/>
              </w:rPr>
            </w:pPr>
            <w:r w:rsidRPr="00E0663D">
              <w:rPr>
                <w:rFonts w:eastAsia="Arial"/>
                <w:color w:val="000000"/>
                <w:sz w:val="18"/>
                <w:szCs w:val="18"/>
              </w:rPr>
              <w:t>O Conselho Gestor deve contar com equipe técnica e estrutura adequadas para apoiar suas atividades, a serem detalhadas em Regimento Interno. As funções exercidas pelos membros do CGF são consideradas de relevante interesse público e não são remuneradas. Não há evidências do seu funcionamento e da implementação do Regimento Interno, permanecendo o CGF inativo, apesar de instituído em lei.</w:t>
            </w:r>
          </w:p>
          <w:p w14:paraId="059BF28C" w14:textId="77777777" w:rsidR="001C7E6F" w:rsidRPr="00E0663D" w:rsidRDefault="001C7E6F" w:rsidP="0032733E">
            <w:pPr>
              <w:pStyle w:val="PargrafodaLista"/>
              <w:numPr>
                <w:ilvl w:val="0"/>
                <w:numId w:val="33"/>
              </w:numPr>
              <w:spacing w:after="0" w:line="240" w:lineRule="auto"/>
              <w:ind w:left="461" w:hanging="283"/>
              <w:rPr>
                <w:rFonts w:eastAsia="Arial"/>
                <w:color w:val="000000"/>
                <w:sz w:val="18"/>
                <w:szCs w:val="18"/>
              </w:rPr>
            </w:pPr>
            <w:r w:rsidRPr="00E0663D">
              <w:rPr>
                <w:rFonts w:eastAsia="Arial"/>
                <w:color w:val="000000"/>
                <w:sz w:val="18"/>
                <w:szCs w:val="18"/>
              </w:rPr>
              <w:t>A competência para editar o Regimento Interno do CGF está delegada ao Secretário de Estado de Planejamento e Gestão.</w:t>
            </w:r>
          </w:p>
          <w:p w14:paraId="4AB4AA3E" w14:textId="77777777" w:rsidR="001C7E6F" w:rsidRDefault="001C7E6F" w:rsidP="00BD3046">
            <w:pPr>
              <w:spacing w:after="0" w:line="240" w:lineRule="auto"/>
              <w:rPr>
                <w:rFonts w:ascii="Arial" w:eastAsia="Arial" w:hAnsi="Arial" w:cs="Arial"/>
                <w:color w:val="000000"/>
                <w:sz w:val="18"/>
                <w:szCs w:val="18"/>
              </w:rPr>
            </w:pPr>
          </w:p>
          <w:p w14:paraId="0FF3EE02" w14:textId="77777777" w:rsidR="001C7E6F" w:rsidRPr="00E0663D" w:rsidRDefault="001C7E6F" w:rsidP="0032733E">
            <w:pPr>
              <w:pStyle w:val="PargrafodaLista"/>
              <w:numPr>
                <w:ilvl w:val="0"/>
                <w:numId w:val="31"/>
              </w:numPr>
              <w:spacing w:after="0" w:line="240" w:lineRule="auto"/>
              <w:ind w:left="461"/>
              <w:rPr>
                <w:rFonts w:eastAsia="Arial"/>
                <w:color w:val="000000"/>
                <w:sz w:val="18"/>
                <w:szCs w:val="18"/>
              </w:rPr>
            </w:pPr>
            <w:r w:rsidRPr="00E0663D">
              <w:rPr>
                <w:rFonts w:eastAsia="Arial"/>
                <w:color w:val="000000"/>
                <w:sz w:val="18"/>
                <w:szCs w:val="18"/>
              </w:rPr>
              <w:t xml:space="preserve">Processos e Sistemas de Execução </w:t>
            </w:r>
            <w:r>
              <w:rPr>
                <w:rFonts w:eastAsia="Arial"/>
                <w:color w:val="000000"/>
                <w:sz w:val="18"/>
                <w:szCs w:val="18"/>
              </w:rPr>
              <w:t>–</w:t>
            </w:r>
            <w:r w:rsidRPr="00E0663D">
              <w:rPr>
                <w:rFonts w:eastAsia="Arial"/>
                <w:color w:val="000000"/>
                <w:sz w:val="18"/>
                <w:szCs w:val="18"/>
              </w:rPr>
              <w:t xml:space="preserve"> </w:t>
            </w:r>
            <w:r>
              <w:rPr>
                <w:rFonts w:eastAsia="Arial"/>
                <w:color w:val="000000"/>
                <w:sz w:val="18"/>
                <w:szCs w:val="18"/>
              </w:rPr>
              <w:t xml:space="preserve">A </w:t>
            </w:r>
            <w:r w:rsidRPr="00E0663D">
              <w:rPr>
                <w:rFonts w:eastAsia="Arial"/>
                <w:color w:val="000000"/>
                <w:sz w:val="18"/>
                <w:szCs w:val="18"/>
              </w:rPr>
              <w:t>governança do FECP depende de processos e sistemas que integram o planejamento à execução orçamentária do Estado:</w:t>
            </w:r>
          </w:p>
          <w:p w14:paraId="1BFE8245" w14:textId="77777777" w:rsidR="001C7E6F" w:rsidRPr="00975438" w:rsidRDefault="001C7E6F" w:rsidP="0032733E">
            <w:pPr>
              <w:pStyle w:val="PargrafodaLista"/>
              <w:numPr>
                <w:ilvl w:val="0"/>
                <w:numId w:val="34"/>
              </w:numPr>
              <w:spacing w:after="0" w:line="240" w:lineRule="auto"/>
              <w:ind w:left="461" w:hanging="283"/>
              <w:rPr>
                <w:rFonts w:eastAsia="Arial"/>
                <w:color w:val="000000"/>
                <w:sz w:val="18"/>
                <w:szCs w:val="18"/>
              </w:rPr>
            </w:pPr>
            <w:r w:rsidRPr="00975438">
              <w:rPr>
                <w:rFonts w:eastAsia="Arial"/>
                <w:color w:val="000000"/>
                <w:sz w:val="18"/>
                <w:szCs w:val="18"/>
              </w:rPr>
              <w:t xml:space="preserve">O Fundo opera dentro do arcabouço do PPA, da LDO e da LOA. </w:t>
            </w:r>
          </w:p>
          <w:p w14:paraId="0DD845BF" w14:textId="77777777" w:rsidR="001C7E6F" w:rsidRDefault="001C7E6F" w:rsidP="0032733E">
            <w:pPr>
              <w:pStyle w:val="PargrafodaLista"/>
              <w:numPr>
                <w:ilvl w:val="0"/>
                <w:numId w:val="34"/>
              </w:numPr>
              <w:spacing w:after="0" w:line="240" w:lineRule="auto"/>
              <w:ind w:left="461" w:hanging="283"/>
              <w:rPr>
                <w:rFonts w:eastAsia="Arial"/>
                <w:color w:val="000000"/>
                <w:sz w:val="18"/>
                <w:szCs w:val="18"/>
              </w:rPr>
            </w:pPr>
            <w:r w:rsidRPr="00975438">
              <w:rPr>
                <w:rFonts w:eastAsia="Arial"/>
                <w:color w:val="000000"/>
                <w:sz w:val="18"/>
                <w:szCs w:val="18"/>
              </w:rPr>
              <w:t>Sistemas Integrados (SIAFE-Rio e SIPLAG): O Sistema Integrado de Gestão Orçamentária, Financeira e Contábil (SIAFE-Rio) é o principal instrumento para registro, acompanhamento e controle da execução orçamentária, financeira e patrimonial. O SIAFE-Rio e o Sistema de Inteligência em Planejamento e Gestão (SIPLAG) são utilizados para gerar os relatórios de execução. O detalhamento da dotação inicial da LOA é realizado diretamente no SIAFE-Rio pelas unidades orçamentárias.</w:t>
            </w:r>
          </w:p>
          <w:p w14:paraId="3CF85819" w14:textId="77777777" w:rsidR="001C7E6F" w:rsidRPr="00975438" w:rsidRDefault="001C7E6F" w:rsidP="00BD3046">
            <w:pPr>
              <w:spacing w:after="0" w:line="240" w:lineRule="auto"/>
              <w:rPr>
                <w:rFonts w:eastAsia="Arial"/>
                <w:color w:val="000000"/>
                <w:sz w:val="18"/>
                <w:szCs w:val="18"/>
              </w:rPr>
            </w:pPr>
          </w:p>
          <w:p w14:paraId="1E589B43" w14:textId="77777777" w:rsidR="001C7E6F" w:rsidRPr="00975438" w:rsidRDefault="001C7E6F" w:rsidP="0032733E">
            <w:pPr>
              <w:pStyle w:val="PargrafodaLista"/>
              <w:numPr>
                <w:ilvl w:val="0"/>
                <w:numId w:val="31"/>
              </w:numPr>
              <w:spacing w:after="0" w:line="240" w:lineRule="auto"/>
              <w:rPr>
                <w:rFonts w:eastAsia="Arial"/>
                <w:color w:val="000000"/>
                <w:sz w:val="18"/>
                <w:szCs w:val="18"/>
              </w:rPr>
            </w:pPr>
            <w:r w:rsidRPr="00975438">
              <w:rPr>
                <w:rFonts w:eastAsia="Arial"/>
                <w:color w:val="000000"/>
                <w:sz w:val="18"/>
                <w:szCs w:val="18"/>
              </w:rPr>
              <w:t>Sistema de Controle Interno</w:t>
            </w:r>
          </w:p>
          <w:p w14:paraId="48492D8F" w14:textId="77777777" w:rsidR="001C7E6F" w:rsidRPr="00975438" w:rsidRDefault="001C7E6F" w:rsidP="0032733E">
            <w:pPr>
              <w:pStyle w:val="PargrafodaLista"/>
              <w:numPr>
                <w:ilvl w:val="0"/>
                <w:numId w:val="35"/>
              </w:numPr>
              <w:spacing w:after="0" w:line="240" w:lineRule="auto"/>
              <w:ind w:left="461" w:hanging="283"/>
              <w:rPr>
                <w:rFonts w:eastAsia="Arial"/>
                <w:color w:val="000000"/>
                <w:sz w:val="18"/>
                <w:szCs w:val="18"/>
              </w:rPr>
            </w:pPr>
            <w:r w:rsidRPr="00975438">
              <w:rPr>
                <w:rFonts w:eastAsia="Arial"/>
                <w:color w:val="000000"/>
                <w:sz w:val="18"/>
                <w:szCs w:val="18"/>
              </w:rPr>
              <w:t>Controladoria Geral do Estado (CGE-RJ): Órgão central do Sistema de Controle Interno do Poder Executivo. Suas principais atribuições são avaliar os controles internos e gerenciar os riscos corporativos, bem como examinar a legalidade e avaliar a eficácia, eficiência e efetividade da gestão.</w:t>
            </w:r>
          </w:p>
          <w:p w14:paraId="3A65A715" w14:textId="77777777" w:rsidR="001C7E6F" w:rsidRPr="00975438" w:rsidRDefault="001C7E6F" w:rsidP="0032733E">
            <w:pPr>
              <w:pStyle w:val="PargrafodaLista"/>
              <w:numPr>
                <w:ilvl w:val="0"/>
                <w:numId w:val="35"/>
              </w:numPr>
              <w:spacing w:after="0" w:line="240" w:lineRule="auto"/>
              <w:ind w:left="461" w:hanging="283"/>
              <w:rPr>
                <w:rFonts w:eastAsia="Arial"/>
                <w:color w:val="000000"/>
                <w:sz w:val="18"/>
                <w:szCs w:val="18"/>
              </w:rPr>
            </w:pPr>
            <w:r w:rsidRPr="00975438">
              <w:rPr>
                <w:rFonts w:eastAsia="Arial"/>
                <w:color w:val="000000"/>
                <w:sz w:val="18"/>
                <w:szCs w:val="18"/>
              </w:rPr>
              <w:t>A CGE é organizada em macrofunções como a Auditoria Geral do Estado (AGE), Ouvidoria e Transparência Geral do Estado (OGE) e Corregedoria Geral do Estado (CRE), atuando na prevenção, detecção e remediação de atos de corrupção e fraudes.</w:t>
            </w:r>
          </w:p>
          <w:p w14:paraId="68C7AC30" w14:textId="77777777" w:rsidR="001C7E6F" w:rsidRPr="00975438" w:rsidRDefault="001C7E6F" w:rsidP="0032733E">
            <w:pPr>
              <w:pStyle w:val="PargrafodaLista"/>
              <w:numPr>
                <w:ilvl w:val="0"/>
                <w:numId w:val="35"/>
              </w:numPr>
              <w:spacing w:after="0" w:line="240" w:lineRule="auto"/>
              <w:ind w:left="461" w:hanging="283"/>
              <w:rPr>
                <w:rFonts w:eastAsia="Arial"/>
                <w:color w:val="000000"/>
                <w:sz w:val="18"/>
                <w:szCs w:val="18"/>
              </w:rPr>
            </w:pPr>
            <w:r w:rsidRPr="00975438">
              <w:rPr>
                <w:rFonts w:eastAsia="Arial"/>
                <w:color w:val="000000"/>
                <w:sz w:val="18"/>
                <w:szCs w:val="18"/>
              </w:rPr>
              <w:t>O FECP pode destinar recursos para o Fundo de Aprimoramento do Controle Interno (FACI-RJ), visando criar, implementar e monitorar um conjunto estruturado de medidas institucionais voltadas para prevenção, detecção, punição e remediação de fraudes, atos de corrupção e desvios de conduta na aplicação dos recursos do FECP.</w:t>
            </w:r>
          </w:p>
          <w:p w14:paraId="4F25AC4A" w14:textId="77777777" w:rsidR="001C7E6F" w:rsidRPr="00975438" w:rsidRDefault="001C7E6F" w:rsidP="0032733E">
            <w:pPr>
              <w:pStyle w:val="PargrafodaLista"/>
              <w:numPr>
                <w:ilvl w:val="0"/>
                <w:numId w:val="35"/>
              </w:numPr>
              <w:spacing w:after="0" w:line="240" w:lineRule="auto"/>
              <w:ind w:left="461" w:hanging="283"/>
              <w:rPr>
                <w:rFonts w:eastAsia="Arial"/>
                <w:color w:val="000000"/>
                <w:sz w:val="18"/>
                <w:szCs w:val="18"/>
              </w:rPr>
            </w:pPr>
            <w:r w:rsidRPr="00975438">
              <w:rPr>
                <w:rFonts w:eastAsia="Arial"/>
                <w:color w:val="000000"/>
                <w:sz w:val="18"/>
                <w:szCs w:val="18"/>
              </w:rPr>
              <w:lastRenderedPageBreak/>
              <w:t>Apesar da existência do sistema, o TCE-RJ determinou à SEFAZ a implantação de um procedimento contábil para o registro das disponibilidades financeiras por fonte de recursos. A ausência desse procedimento no SiafeRio tem sido um problema crônico que dificulta o controle interno eficaz dos recursos vinculados, como o FECP-RJ.</w:t>
            </w:r>
          </w:p>
          <w:p w14:paraId="734F8093" w14:textId="77777777" w:rsidR="001C7E6F" w:rsidRPr="00E0663D" w:rsidRDefault="001C7E6F" w:rsidP="00BD3046">
            <w:pPr>
              <w:spacing w:after="0" w:line="240" w:lineRule="auto"/>
              <w:rPr>
                <w:rFonts w:ascii="Arial" w:eastAsia="Arial" w:hAnsi="Arial" w:cs="Arial"/>
                <w:color w:val="000000"/>
                <w:sz w:val="18"/>
                <w:szCs w:val="18"/>
              </w:rPr>
            </w:pPr>
          </w:p>
          <w:p w14:paraId="4C04849B" w14:textId="77777777" w:rsidR="001C7E6F" w:rsidRPr="00975438" w:rsidRDefault="001C7E6F" w:rsidP="0032733E">
            <w:pPr>
              <w:pStyle w:val="PargrafodaLista"/>
              <w:numPr>
                <w:ilvl w:val="0"/>
                <w:numId w:val="31"/>
              </w:numPr>
              <w:spacing w:after="0" w:line="240" w:lineRule="auto"/>
              <w:rPr>
                <w:rFonts w:eastAsia="Arial"/>
                <w:color w:val="000000"/>
                <w:sz w:val="18"/>
                <w:szCs w:val="18"/>
              </w:rPr>
            </w:pPr>
            <w:r w:rsidRPr="00975438">
              <w:rPr>
                <w:rFonts w:eastAsia="Arial"/>
                <w:color w:val="000000"/>
                <w:sz w:val="18"/>
                <w:szCs w:val="18"/>
              </w:rPr>
              <w:t>Sistema de Controle Externo</w:t>
            </w:r>
          </w:p>
          <w:p w14:paraId="64601C3A" w14:textId="77777777" w:rsidR="001C7E6F" w:rsidRPr="00975438" w:rsidRDefault="001C7E6F" w:rsidP="0032733E">
            <w:pPr>
              <w:pStyle w:val="PargrafodaLista"/>
              <w:numPr>
                <w:ilvl w:val="0"/>
                <w:numId w:val="36"/>
              </w:numPr>
              <w:spacing w:after="0" w:line="240" w:lineRule="auto"/>
              <w:ind w:left="461" w:hanging="283"/>
              <w:rPr>
                <w:rFonts w:eastAsia="Arial"/>
                <w:color w:val="000000"/>
                <w:sz w:val="18"/>
                <w:szCs w:val="18"/>
              </w:rPr>
            </w:pPr>
            <w:r w:rsidRPr="00975438">
              <w:rPr>
                <w:rFonts w:eastAsia="Arial"/>
                <w:color w:val="000000"/>
                <w:sz w:val="18"/>
                <w:szCs w:val="18"/>
              </w:rPr>
              <w:t xml:space="preserve">O Tribunal de Contas do Estado (TCE-RJ) tem como função principal é julgar as contas dos administradores, exercer a fiscalização contábil, financeira, operacional e patrimonial e apreciar as Contas do Governador anualmente, emitindo Parecer Prévio.Realiza auditorias governamentais com o objetivo específico de verificar os fatos relativos à destinação de recursos do FECP-RJ para apurar a aplicação em despesas diversas das definidas em lei. </w:t>
            </w:r>
          </w:p>
          <w:p w14:paraId="5627C8D1" w14:textId="77777777" w:rsidR="001C7E6F" w:rsidRPr="00975438" w:rsidRDefault="001C7E6F" w:rsidP="0032733E">
            <w:pPr>
              <w:pStyle w:val="PargrafodaLista"/>
              <w:numPr>
                <w:ilvl w:val="0"/>
                <w:numId w:val="36"/>
              </w:numPr>
              <w:spacing w:after="0" w:line="240" w:lineRule="auto"/>
              <w:ind w:left="461" w:hanging="283"/>
              <w:rPr>
                <w:rFonts w:eastAsia="Arial"/>
                <w:color w:val="000000"/>
                <w:sz w:val="18"/>
                <w:szCs w:val="18"/>
              </w:rPr>
            </w:pPr>
            <w:r w:rsidRPr="00975438">
              <w:rPr>
                <w:rFonts w:eastAsia="Arial"/>
                <w:color w:val="000000"/>
                <w:sz w:val="18"/>
                <w:szCs w:val="18"/>
              </w:rPr>
              <w:t>Poder Legislativo (ALERJ): A Assembleia Legislativa (ALERJ) é responsável pelo controle externo e pela fiscalização financeira e orçamentária do Estado, decidindo sobre o parecer prévio do TCE-RJ. O Legislativo também aprova a LOA e o PPA.</w:t>
            </w:r>
          </w:p>
          <w:p w14:paraId="4F4FDB68" w14:textId="77777777" w:rsidR="001C7E6F" w:rsidRPr="00E0663D" w:rsidRDefault="001C7E6F" w:rsidP="00BD3046">
            <w:pPr>
              <w:spacing w:after="0" w:line="240" w:lineRule="auto"/>
              <w:rPr>
                <w:rFonts w:ascii="Arial" w:eastAsia="Arial" w:hAnsi="Arial" w:cs="Arial"/>
                <w:color w:val="000000"/>
                <w:sz w:val="18"/>
                <w:szCs w:val="18"/>
              </w:rPr>
            </w:pPr>
          </w:p>
          <w:p w14:paraId="45A10AAF" w14:textId="77777777" w:rsidR="001C7E6F" w:rsidRPr="00975438" w:rsidRDefault="001C7E6F" w:rsidP="0032733E">
            <w:pPr>
              <w:pStyle w:val="PargrafodaLista"/>
              <w:numPr>
                <w:ilvl w:val="0"/>
                <w:numId w:val="31"/>
              </w:numPr>
              <w:spacing w:after="0" w:line="240" w:lineRule="auto"/>
              <w:rPr>
                <w:rFonts w:eastAsia="Arial"/>
                <w:color w:val="000000"/>
                <w:sz w:val="18"/>
                <w:szCs w:val="18"/>
              </w:rPr>
            </w:pPr>
            <w:r w:rsidRPr="00975438">
              <w:rPr>
                <w:rFonts w:eastAsia="Arial"/>
                <w:color w:val="000000"/>
                <w:sz w:val="18"/>
                <w:szCs w:val="18"/>
              </w:rPr>
              <w:t>Sistemas de Justiça (Acionamento e Defesa) - O sistema de justiça atua garantindo a legalidade dos atos e</w:t>
            </w:r>
            <w:r>
              <w:rPr>
                <w:rFonts w:eastAsia="Arial"/>
                <w:color w:val="000000"/>
                <w:sz w:val="18"/>
                <w:szCs w:val="18"/>
              </w:rPr>
              <w:t xml:space="preserve"> defendendo o interesse público:</w:t>
            </w:r>
          </w:p>
          <w:p w14:paraId="4E23B69D" w14:textId="77777777" w:rsidR="001C7E6F" w:rsidRPr="00975438" w:rsidRDefault="001C7E6F" w:rsidP="0032733E">
            <w:pPr>
              <w:pStyle w:val="PargrafodaLista"/>
              <w:numPr>
                <w:ilvl w:val="0"/>
                <w:numId w:val="37"/>
              </w:numPr>
              <w:spacing w:after="0" w:line="240" w:lineRule="auto"/>
              <w:ind w:left="461" w:hanging="283"/>
              <w:rPr>
                <w:rFonts w:eastAsia="Arial"/>
                <w:color w:val="000000"/>
                <w:sz w:val="18"/>
                <w:szCs w:val="18"/>
              </w:rPr>
            </w:pPr>
            <w:r w:rsidRPr="00975438">
              <w:rPr>
                <w:rFonts w:eastAsia="Arial"/>
                <w:color w:val="000000"/>
                <w:sz w:val="18"/>
                <w:szCs w:val="18"/>
              </w:rPr>
              <w:t>Procuradoria Geral do Estado (PGE-RJ): Tem a atribuição de Representar o Estado em Juízo e promover a cobrança judicial e extrajudicial da dívida ativa. Além disso, colabora para a salvaguarda do interesse público no controle interno da legalidade dos atos do Poder Executivo. O Programa Defesa dos Interesses do Estado (0513) foca na representação judicial e administrativa e na recuperação de créditos.</w:t>
            </w:r>
          </w:p>
          <w:p w14:paraId="4B21731C" w14:textId="77777777" w:rsidR="001C7E6F" w:rsidRPr="00975438" w:rsidRDefault="001C7E6F" w:rsidP="0032733E">
            <w:pPr>
              <w:pStyle w:val="PargrafodaLista"/>
              <w:numPr>
                <w:ilvl w:val="0"/>
                <w:numId w:val="37"/>
              </w:numPr>
              <w:spacing w:after="0" w:line="240" w:lineRule="auto"/>
              <w:ind w:left="461" w:hanging="283"/>
              <w:rPr>
                <w:rFonts w:eastAsia="Arial"/>
                <w:color w:val="000000"/>
                <w:sz w:val="18"/>
                <w:szCs w:val="18"/>
              </w:rPr>
            </w:pPr>
            <w:r w:rsidRPr="00975438">
              <w:rPr>
                <w:rFonts w:eastAsia="Arial"/>
                <w:color w:val="000000"/>
                <w:sz w:val="18"/>
                <w:szCs w:val="18"/>
              </w:rPr>
              <w:t>Poder Judiciário (TJ/RPV): Embora não execute diretamente o FECP-RJ, o Poder Judiciário participa da gestão financeira do Estado ao lidar com Condenações Judiciais Definitivas (Precatórios e RPV), sendo Unidade Orçamentária responsável por gerir recursos que assegurem o pagamento dessas despesas. O Judiciário também zela pela qualidade e eficiência da prestação dos serviços jurisdicionais.</w:t>
            </w:r>
          </w:p>
          <w:p w14:paraId="5D49DD59" w14:textId="77777777" w:rsidR="001C7E6F" w:rsidRDefault="001C7E6F" w:rsidP="00BD3046">
            <w:pPr>
              <w:spacing w:after="0" w:line="240" w:lineRule="auto"/>
              <w:rPr>
                <w:rFonts w:ascii="Arial" w:eastAsia="Arial" w:hAnsi="Arial" w:cs="Arial"/>
                <w:color w:val="000000"/>
                <w:sz w:val="18"/>
                <w:szCs w:val="18"/>
              </w:rPr>
            </w:pPr>
          </w:p>
        </w:tc>
      </w:tr>
      <w:tr w:rsidR="001C7E6F" w14:paraId="2C14EEB8" w14:textId="77777777" w:rsidTr="00BD3046">
        <w:trPr>
          <w:trHeight w:val="397"/>
        </w:trPr>
        <w:tc>
          <w:tcPr>
            <w:tcW w:w="0" w:type="auto"/>
            <w:gridSpan w:val="2"/>
            <w:shd w:val="clear" w:color="auto" w:fill="auto"/>
            <w:vAlign w:val="center"/>
          </w:tcPr>
          <w:p w14:paraId="05C68625" w14:textId="77777777" w:rsidR="001C7E6F" w:rsidRDefault="001C7E6F" w:rsidP="00BD3046">
            <w:pPr>
              <w:spacing w:after="0" w:line="240" w:lineRule="auto"/>
              <w:jc w:val="center"/>
              <w:rPr>
                <w:rFonts w:ascii="Arial" w:eastAsia="Arial" w:hAnsi="Arial" w:cs="Arial"/>
                <w:color w:val="000000"/>
                <w:sz w:val="18"/>
                <w:szCs w:val="18"/>
              </w:rPr>
            </w:pPr>
            <w:r>
              <w:rPr>
                <w:rFonts w:ascii="Arial" w:eastAsia="Arial" w:hAnsi="Arial" w:cs="Arial"/>
                <w:b/>
                <w:color w:val="000000"/>
                <w:sz w:val="18"/>
                <w:szCs w:val="18"/>
              </w:rPr>
              <w:lastRenderedPageBreak/>
              <w:t>Diagnóstico do Fundo de Combate à Pobreza</w:t>
            </w:r>
          </w:p>
        </w:tc>
      </w:tr>
      <w:tr w:rsidR="001C7E6F" w14:paraId="7514EE0B" w14:textId="77777777" w:rsidTr="00BD3046">
        <w:trPr>
          <w:trHeight w:val="20"/>
        </w:trPr>
        <w:tc>
          <w:tcPr>
            <w:tcW w:w="0" w:type="auto"/>
            <w:shd w:val="clear" w:color="auto" w:fill="auto"/>
            <w:vAlign w:val="center"/>
          </w:tcPr>
          <w:p w14:paraId="3A16C1F1"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t>Perfil dos Eixos e Dimensões do Fundo</w:t>
            </w:r>
          </w:p>
        </w:tc>
        <w:tc>
          <w:tcPr>
            <w:tcW w:w="0" w:type="auto"/>
            <w:shd w:val="clear" w:color="auto" w:fill="auto"/>
            <w:vAlign w:val="center"/>
          </w:tcPr>
          <w:p w14:paraId="161AFDC4" w14:textId="77777777" w:rsidR="001C7E6F" w:rsidRPr="005238A8" w:rsidRDefault="001C7E6F" w:rsidP="00BD3046">
            <w:pPr>
              <w:spacing w:after="0" w:line="240" w:lineRule="auto"/>
              <w:rPr>
                <w:rFonts w:ascii="Arial" w:eastAsia="Arial" w:hAnsi="Arial" w:cs="Arial"/>
                <w:i/>
                <w:color w:val="000000"/>
                <w:sz w:val="18"/>
                <w:szCs w:val="18"/>
              </w:rPr>
            </w:pPr>
            <w:r w:rsidRPr="005238A8">
              <w:rPr>
                <w:rFonts w:ascii="Arial" w:eastAsia="Arial" w:hAnsi="Arial" w:cs="Arial"/>
                <w:i/>
                <w:color w:val="000000"/>
                <w:sz w:val="18"/>
                <w:szCs w:val="18"/>
              </w:rPr>
              <w:t>Identificação d</w:t>
            </w:r>
            <w:r w:rsidRPr="005238A8">
              <w:rPr>
                <w:rFonts w:ascii="Arial" w:eastAsia="Arial" w:hAnsi="Arial" w:cs="Arial"/>
                <w:i/>
                <w:sz w:val="18"/>
                <w:szCs w:val="18"/>
              </w:rPr>
              <w:t>os</w:t>
            </w:r>
            <w:r w:rsidRPr="005238A8">
              <w:rPr>
                <w:rFonts w:ascii="Arial" w:eastAsia="Arial" w:hAnsi="Arial" w:cs="Arial"/>
                <w:i/>
                <w:color w:val="000000"/>
                <w:sz w:val="18"/>
                <w:szCs w:val="18"/>
              </w:rPr>
              <w:t xml:space="preserve"> gargalos estruturais, separa causas de sintomas e cria uma linha de base mensurável, possibilitando priorizar as ações preventivas e de contingências por criticidade e impacto. Em termos metodológicos, o perfil é a leitura granular do Fundo, identificando forças e fragilidades por eixo e dimensão.</w:t>
            </w:r>
          </w:p>
          <w:p w14:paraId="2485F90F" w14:textId="77777777" w:rsidR="001C7E6F" w:rsidRDefault="001C7E6F" w:rsidP="00BD3046">
            <w:pPr>
              <w:spacing w:after="0" w:line="240" w:lineRule="auto"/>
              <w:rPr>
                <w:rFonts w:ascii="Arial" w:eastAsia="Arial" w:hAnsi="Arial" w:cs="Arial"/>
                <w:color w:val="000000"/>
                <w:sz w:val="18"/>
                <w:szCs w:val="18"/>
              </w:rPr>
            </w:pPr>
          </w:p>
          <w:p w14:paraId="42B07869"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b/>
                <w:color w:val="000000"/>
                <w:sz w:val="18"/>
                <w:szCs w:val="18"/>
              </w:rPr>
              <w:t xml:space="preserve">1. </w:t>
            </w:r>
            <w:r w:rsidRPr="00ED5BA3">
              <w:rPr>
                <w:rFonts w:ascii="Arial" w:eastAsia="Arial" w:hAnsi="Arial" w:cs="Arial"/>
                <w:b/>
                <w:color w:val="000000"/>
                <w:sz w:val="18"/>
                <w:szCs w:val="18"/>
              </w:rPr>
              <w:t>Eixo de Responsabilidade Arrecadatória</w:t>
            </w:r>
            <w:r>
              <w:rPr>
                <w:rFonts w:ascii="Arial" w:eastAsia="Arial" w:hAnsi="Arial" w:cs="Arial"/>
                <w:color w:val="000000"/>
                <w:sz w:val="18"/>
                <w:szCs w:val="18"/>
              </w:rPr>
              <w:t xml:space="preserve"> - 92% (perfil Pleno).</w:t>
            </w:r>
          </w:p>
          <w:p w14:paraId="07082452" w14:textId="77777777" w:rsidR="001C7E6F" w:rsidRDefault="001C7E6F" w:rsidP="00BD3046">
            <w:pPr>
              <w:spacing w:after="0" w:line="240" w:lineRule="auto"/>
              <w:rPr>
                <w:rFonts w:ascii="Arial" w:eastAsia="Arial" w:hAnsi="Arial" w:cs="Arial"/>
                <w:color w:val="000000"/>
                <w:sz w:val="18"/>
                <w:szCs w:val="18"/>
              </w:rPr>
            </w:pPr>
          </w:p>
          <w:p w14:paraId="5E661EE6" w14:textId="77777777" w:rsidR="001C7E6F" w:rsidRPr="00404165" w:rsidRDefault="001C7E6F" w:rsidP="0032733E">
            <w:pPr>
              <w:pStyle w:val="PargrafodaLista"/>
              <w:numPr>
                <w:ilvl w:val="0"/>
                <w:numId w:val="17"/>
              </w:numPr>
              <w:spacing w:after="0" w:line="240" w:lineRule="auto"/>
              <w:rPr>
                <w:rFonts w:eastAsia="Arial"/>
                <w:color w:val="000000"/>
                <w:sz w:val="18"/>
                <w:szCs w:val="18"/>
              </w:rPr>
            </w:pPr>
            <w:r w:rsidRPr="00404165">
              <w:rPr>
                <w:rFonts w:eastAsia="Arial"/>
                <w:color w:val="000000"/>
                <w:sz w:val="18"/>
                <w:szCs w:val="18"/>
              </w:rPr>
              <w:t>Jurídico-Estrutural (100%, Pleno): sólido arcabouço constitucional e legal, que assegura segurança normativa e previsibilidade na arrecadação.</w:t>
            </w:r>
          </w:p>
          <w:p w14:paraId="0EBC57D7" w14:textId="77777777" w:rsidR="001C7E6F" w:rsidRPr="00404165" w:rsidRDefault="001C7E6F" w:rsidP="0032733E">
            <w:pPr>
              <w:pStyle w:val="PargrafodaLista"/>
              <w:numPr>
                <w:ilvl w:val="0"/>
                <w:numId w:val="17"/>
              </w:numPr>
              <w:spacing w:after="0" w:line="240" w:lineRule="auto"/>
              <w:rPr>
                <w:rFonts w:eastAsia="Arial"/>
                <w:color w:val="000000"/>
                <w:sz w:val="18"/>
                <w:szCs w:val="18"/>
              </w:rPr>
            </w:pPr>
            <w:r w:rsidRPr="00404165">
              <w:rPr>
                <w:rFonts w:eastAsia="Arial"/>
                <w:color w:val="000000"/>
                <w:sz w:val="18"/>
                <w:szCs w:val="18"/>
              </w:rPr>
              <w:t>Financeira e Orçamentária (67%, Avançado): embora haja consistência, a fragilidade está na ausência de detalhamento técnico da proporcionalidade das receitas, abrindo risco de substituição de despesas correntes.</w:t>
            </w:r>
          </w:p>
          <w:p w14:paraId="6A82975D" w14:textId="77777777" w:rsidR="001C7E6F" w:rsidRPr="00404165" w:rsidRDefault="001C7E6F" w:rsidP="0032733E">
            <w:pPr>
              <w:pStyle w:val="PargrafodaLista"/>
              <w:numPr>
                <w:ilvl w:val="0"/>
                <w:numId w:val="17"/>
              </w:numPr>
              <w:spacing w:after="0" w:line="240" w:lineRule="auto"/>
              <w:rPr>
                <w:rFonts w:eastAsia="Arial"/>
                <w:color w:val="000000"/>
                <w:sz w:val="18"/>
                <w:szCs w:val="18"/>
              </w:rPr>
            </w:pPr>
            <w:r w:rsidRPr="00404165">
              <w:rPr>
                <w:rFonts w:eastAsia="Arial"/>
                <w:color w:val="000000"/>
                <w:sz w:val="18"/>
                <w:szCs w:val="18"/>
              </w:rPr>
              <w:t>Político-Institucional (100%, Pleno): legitimidade consolidada no pacto federativo, com reconhecimento político-institucional da finalidade do FECP-RJ.</w:t>
            </w:r>
          </w:p>
          <w:p w14:paraId="2EF5B6D5" w14:textId="77777777" w:rsidR="001C7E6F" w:rsidRPr="00404165" w:rsidRDefault="001C7E6F" w:rsidP="0032733E">
            <w:pPr>
              <w:pStyle w:val="PargrafodaLista"/>
              <w:numPr>
                <w:ilvl w:val="0"/>
                <w:numId w:val="17"/>
              </w:numPr>
              <w:spacing w:after="0" w:line="240" w:lineRule="auto"/>
              <w:rPr>
                <w:rFonts w:eastAsia="Arial"/>
                <w:color w:val="000000"/>
                <w:sz w:val="18"/>
                <w:szCs w:val="18"/>
              </w:rPr>
            </w:pPr>
            <w:r w:rsidRPr="00404165">
              <w:rPr>
                <w:rFonts w:eastAsia="Arial"/>
                <w:color w:val="000000"/>
                <w:sz w:val="18"/>
                <w:szCs w:val="18"/>
              </w:rPr>
              <w:t>Participativa e de Transparência (100%, Pleno): práticas consistentes de divulgação da arrecadação, com controle social assegurado.</w:t>
            </w:r>
          </w:p>
          <w:p w14:paraId="2373E05F" w14:textId="77777777" w:rsidR="001C7E6F" w:rsidRPr="00404165" w:rsidRDefault="001C7E6F" w:rsidP="00BD3046">
            <w:pPr>
              <w:spacing w:after="0" w:line="240" w:lineRule="auto"/>
              <w:rPr>
                <w:rFonts w:ascii="Arial" w:eastAsia="Arial" w:hAnsi="Arial" w:cs="Arial"/>
                <w:color w:val="000000"/>
                <w:sz w:val="18"/>
                <w:szCs w:val="18"/>
              </w:rPr>
            </w:pPr>
          </w:p>
          <w:p w14:paraId="2F7371EE" w14:textId="77777777" w:rsidR="001C7E6F" w:rsidRDefault="001C7E6F" w:rsidP="00BD3046">
            <w:pPr>
              <w:spacing w:after="0" w:line="240" w:lineRule="auto"/>
              <w:jc w:val="both"/>
              <w:rPr>
                <w:rFonts w:ascii="Arial" w:eastAsia="Arial" w:hAnsi="Arial" w:cs="Arial"/>
                <w:color w:val="000000"/>
                <w:sz w:val="18"/>
                <w:szCs w:val="18"/>
              </w:rPr>
            </w:pPr>
            <w:r>
              <w:rPr>
                <w:rFonts w:ascii="Segoe UI Symbol" w:eastAsia="Arial" w:hAnsi="Segoe UI Symbol" w:cs="Segoe UI Symbol"/>
                <w:color w:val="000000"/>
                <w:sz w:val="18"/>
                <w:szCs w:val="18"/>
              </w:rPr>
              <w:t>A</w:t>
            </w:r>
            <w:r w:rsidRPr="00404165">
              <w:rPr>
                <w:rFonts w:ascii="Arial" w:eastAsia="Arial" w:hAnsi="Arial" w:cs="Arial"/>
                <w:color w:val="000000"/>
                <w:sz w:val="18"/>
                <w:szCs w:val="18"/>
              </w:rPr>
              <w:t xml:space="preserve"> fragilidade financeira e orçamentária é o principal ponto de atenção, pois a arrecadação pode ser previsível, mas não garante proteção contra flutuações ou desvios de finalidade.</w:t>
            </w:r>
          </w:p>
          <w:p w14:paraId="7AE693FE" w14:textId="77777777" w:rsidR="001C7E6F" w:rsidRDefault="001C7E6F" w:rsidP="00BD3046">
            <w:pPr>
              <w:spacing w:after="0" w:line="240" w:lineRule="auto"/>
              <w:rPr>
                <w:rFonts w:ascii="Arial" w:eastAsia="Arial" w:hAnsi="Arial" w:cs="Arial"/>
                <w:color w:val="000000"/>
                <w:sz w:val="18"/>
                <w:szCs w:val="18"/>
              </w:rPr>
            </w:pPr>
          </w:p>
          <w:p w14:paraId="7AC883FC" w14:textId="77777777" w:rsidR="001C7E6F" w:rsidRPr="00ED5BA3" w:rsidRDefault="001C7E6F" w:rsidP="00BD3046">
            <w:pPr>
              <w:spacing w:after="0" w:line="240" w:lineRule="auto"/>
              <w:rPr>
                <w:rFonts w:ascii="Arial" w:eastAsia="Arial" w:hAnsi="Arial" w:cs="Arial"/>
                <w:color w:val="000000"/>
                <w:sz w:val="18"/>
                <w:szCs w:val="18"/>
              </w:rPr>
            </w:pPr>
            <w:r>
              <w:rPr>
                <w:rFonts w:ascii="Arial" w:eastAsia="Arial" w:hAnsi="Arial" w:cs="Arial"/>
                <w:b/>
                <w:color w:val="000000"/>
                <w:sz w:val="18"/>
                <w:szCs w:val="18"/>
              </w:rPr>
              <w:t xml:space="preserve">2. </w:t>
            </w:r>
            <w:r w:rsidRPr="00ED5BA3">
              <w:rPr>
                <w:rFonts w:ascii="Arial" w:eastAsia="Arial" w:hAnsi="Arial" w:cs="Arial"/>
                <w:b/>
                <w:color w:val="000000"/>
                <w:sz w:val="18"/>
                <w:szCs w:val="18"/>
              </w:rPr>
              <w:t>Eixo de Planejamento Orçamentário</w:t>
            </w:r>
            <w:r>
              <w:rPr>
                <w:rFonts w:ascii="Arial" w:eastAsia="Arial" w:hAnsi="Arial" w:cs="Arial"/>
                <w:color w:val="000000"/>
                <w:sz w:val="18"/>
                <w:szCs w:val="18"/>
              </w:rPr>
              <w:t xml:space="preserve"> - 66% (</w:t>
            </w:r>
            <w:r w:rsidRPr="00ED5BA3">
              <w:rPr>
                <w:rFonts w:ascii="Arial" w:eastAsia="Arial" w:hAnsi="Arial" w:cs="Arial"/>
                <w:color w:val="000000"/>
                <w:sz w:val="18"/>
                <w:szCs w:val="18"/>
              </w:rPr>
              <w:t xml:space="preserve">perfil </w:t>
            </w:r>
            <w:r>
              <w:rPr>
                <w:rFonts w:ascii="Arial" w:eastAsia="Arial" w:hAnsi="Arial" w:cs="Arial"/>
                <w:color w:val="000000"/>
                <w:sz w:val="18"/>
                <w:szCs w:val="18"/>
              </w:rPr>
              <w:t xml:space="preserve">Avançado), com </w:t>
            </w:r>
            <w:r w:rsidRPr="00ED5BA3">
              <w:rPr>
                <w:rFonts w:ascii="Arial" w:eastAsia="Arial" w:hAnsi="Arial" w:cs="Arial"/>
                <w:color w:val="000000"/>
                <w:sz w:val="18"/>
                <w:szCs w:val="18"/>
              </w:rPr>
              <w:t xml:space="preserve">grande heterogeneidade entre </w:t>
            </w:r>
            <w:r>
              <w:rPr>
                <w:rFonts w:ascii="Arial" w:eastAsia="Arial" w:hAnsi="Arial" w:cs="Arial"/>
                <w:color w:val="000000"/>
                <w:sz w:val="18"/>
                <w:szCs w:val="18"/>
              </w:rPr>
              <w:t xml:space="preserve">as </w:t>
            </w:r>
            <w:r w:rsidRPr="00ED5BA3">
              <w:rPr>
                <w:rFonts w:ascii="Arial" w:eastAsia="Arial" w:hAnsi="Arial" w:cs="Arial"/>
                <w:color w:val="000000"/>
                <w:sz w:val="18"/>
                <w:szCs w:val="18"/>
              </w:rPr>
              <w:t>dimensões.</w:t>
            </w:r>
          </w:p>
          <w:p w14:paraId="797C5F8B" w14:textId="77777777" w:rsidR="001C7E6F" w:rsidRPr="00ED5BA3" w:rsidRDefault="001C7E6F" w:rsidP="00BD3046">
            <w:pPr>
              <w:spacing w:after="0" w:line="240" w:lineRule="auto"/>
              <w:rPr>
                <w:rFonts w:ascii="Arial" w:eastAsia="Arial" w:hAnsi="Arial" w:cs="Arial"/>
                <w:color w:val="000000"/>
                <w:sz w:val="18"/>
                <w:szCs w:val="18"/>
              </w:rPr>
            </w:pPr>
          </w:p>
          <w:p w14:paraId="336A4139" w14:textId="77777777" w:rsidR="001C7E6F" w:rsidRPr="00404165" w:rsidRDefault="001C7E6F" w:rsidP="0032733E">
            <w:pPr>
              <w:pStyle w:val="PargrafodaLista"/>
              <w:numPr>
                <w:ilvl w:val="0"/>
                <w:numId w:val="18"/>
              </w:numPr>
              <w:spacing w:after="0" w:line="240" w:lineRule="auto"/>
              <w:rPr>
                <w:rFonts w:eastAsia="Arial"/>
                <w:color w:val="000000"/>
                <w:sz w:val="18"/>
                <w:szCs w:val="18"/>
              </w:rPr>
            </w:pPr>
            <w:r w:rsidRPr="00404165">
              <w:rPr>
                <w:rFonts w:eastAsia="Arial"/>
                <w:color w:val="000000"/>
                <w:sz w:val="18"/>
                <w:szCs w:val="18"/>
              </w:rPr>
              <w:t>Jurídico-Estrutural (67%, Avançado): há integração parcial entre PPA, LDO e LOA, mas ainda sem plena vinculação programática das ações financiadas.</w:t>
            </w:r>
          </w:p>
          <w:p w14:paraId="0E54E693" w14:textId="77777777" w:rsidR="001C7E6F" w:rsidRPr="00404165" w:rsidRDefault="001C7E6F" w:rsidP="0032733E">
            <w:pPr>
              <w:pStyle w:val="PargrafodaLista"/>
              <w:numPr>
                <w:ilvl w:val="0"/>
                <w:numId w:val="18"/>
              </w:numPr>
              <w:spacing w:after="0" w:line="240" w:lineRule="auto"/>
              <w:rPr>
                <w:rFonts w:eastAsia="Arial"/>
                <w:color w:val="000000"/>
                <w:sz w:val="18"/>
                <w:szCs w:val="18"/>
              </w:rPr>
            </w:pPr>
            <w:r w:rsidRPr="00404165">
              <w:rPr>
                <w:rFonts w:eastAsia="Arial"/>
                <w:color w:val="000000"/>
                <w:sz w:val="18"/>
                <w:szCs w:val="18"/>
              </w:rPr>
              <w:t>Institucional e Organizacional (82%, Pleno): boa capacidade técnica e arranjos organizacionais em consolidação, mas ainda desiguais entre secretarias e órgãos gestores.</w:t>
            </w:r>
          </w:p>
          <w:p w14:paraId="6A1E5816" w14:textId="77777777" w:rsidR="001C7E6F" w:rsidRPr="00404165" w:rsidRDefault="001C7E6F" w:rsidP="0032733E">
            <w:pPr>
              <w:pStyle w:val="PargrafodaLista"/>
              <w:numPr>
                <w:ilvl w:val="0"/>
                <w:numId w:val="18"/>
              </w:numPr>
              <w:spacing w:after="0" w:line="240" w:lineRule="auto"/>
              <w:rPr>
                <w:rFonts w:eastAsia="Arial"/>
                <w:color w:val="000000"/>
                <w:sz w:val="18"/>
                <w:szCs w:val="18"/>
              </w:rPr>
            </w:pPr>
            <w:r w:rsidRPr="00404165">
              <w:rPr>
                <w:rFonts w:eastAsia="Arial"/>
                <w:color w:val="000000"/>
                <w:sz w:val="18"/>
                <w:szCs w:val="18"/>
              </w:rPr>
              <w:t>Político-Institucional (14%, Insuficiente): ausência de articulação política estruturada que garanta legitimidade e continuidade do planejamento; forte vulnerabilidade a agendas de governo.</w:t>
            </w:r>
          </w:p>
          <w:p w14:paraId="29263729" w14:textId="77777777" w:rsidR="001C7E6F" w:rsidRPr="00404165" w:rsidRDefault="001C7E6F" w:rsidP="0032733E">
            <w:pPr>
              <w:pStyle w:val="PargrafodaLista"/>
              <w:numPr>
                <w:ilvl w:val="0"/>
                <w:numId w:val="18"/>
              </w:numPr>
              <w:spacing w:after="0" w:line="240" w:lineRule="auto"/>
              <w:rPr>
                <w:rFonts w:eastAsia="Arial"/>
                <w:color w:val="000000"/>
                <w:sz w:val="18"/>
                <w:szCs w:val="18"/>
              </w:rPr>
            </w:pPr>
            <w:r w:rsidRPr="00404165">
              <w:rPr>
                <w:rFonts w:eastAsia="Arial"/>
                <w:color w:val="000000"/>
                <w:sz w:val="18"/>
                <w:szCs w:val="18"/>
              </w:rPr>
              <w:t>Financeira e Orçamentária (100%, Pleno): a dimensão apresenta alinhamento entre dotações, custos estimados e previsões de receita.</w:t>
            </w:r>
          </w:p>
          <w:p w14:paraId="3A1EDA57" w14:textId="77777777" w:rsidR="001C7E6F" w:rsidRPr="00404165" w:rsidRDefault="001C7E6F" w:rsidP="0032733E">
            <w:pPr>
              <w:pStyle w:val="PargrafodaLista"/>
              <w:numPr>
                <w:ilvl w:val="0"/>
                <w:numId w:val="18"/>
              </w:numPr>
              <w:spacing w:after="0" w:line="240" w:lineRule="auto"/>
              <w:rPr>
                <w:rFonts w:eastAsia="Arial"/>
                <w:color w:val="000000"/>
                <w:sz w:val="18"/>
                <w:szCs w:val="18"/>
              </w:rPr>
            </w:pPr>
            <w:r w:rsidRPr="00404165">
              <w:rPr>
                <w:rFonts w:eastAsia="Arial"/>
                <w:color w:val="000000"/>
                <w:sz w:val="18"/>
                <w:szCs w:val="18"/>
              </w:rPr>
              <w:lastRenderedPageBreak/>
              <w:t>Avaliativa (100%, Pleno): formalmente, há previsão de mecanismos de monitoramento, mas na prática a efetividade é reduzida pela ausência de indicadores SMART.</w:t>
            </w:r>
          </w:p>
          <w:p w14:paraId="4CAB0928" w14:textId="77777777" w:rsidR="001C7E6F" w:rsidRPr="00404165" w:rsidRDefault="001C7E6F" w:rsidP="0032733E">
            <w:pPr>
              <w:pStyle w:val="PargrafodaLista"/>
              <w:numPr>
                <w:ilvl w:val="0"/>
                <w:numId w:val="18"/>
              </w:numPr>
              <w:spacing w:after="0" w:line="240" w:lineRule="auto"/>
              <w:rPr>
                <w:rFonts w:eastAsia="Arial"/>
                <w:color w:val="000000"/>
                <w:sz w:val="18"/>
                <w:szCs w:val="18"/>
              </w:rPr>
            </w:pPr>
            <w:r w:rsidRPr="00404165">
              <w:rPr>
                <w:rFonts w:eastAsia="Arial"/>
                <w:color w:val="000000"/>
                <w:sz w:val="18"/>
                <w:szCs w:val="18"/>
              </w:rPr>
              <w:t>Histórico-Evolutiva (33%, Inicial): falta de sistematização de aprendizados passados, indicando baixa conversão da memória institucional em rotina decisória.</w:t>
            </w:r>
          </w:p>
          <w:p w14:paraId="588B1D4B" w14:textId="77777777" w:rsidR="001C7E6F" w:rsidRPr="00404165" w:rsidRDefault="001C7E6F" w:rsidP="00BD3046">
            <w:pPr>
              <w:spacing w:after="0" w:line="240" w:lineRule="auto"/>
              <w:rPr>
                <w:rFonts w:ascii="Arial" w:eastAsia="Arial" w:hAnsi="Arial" w:cs="Arial"/>
                <w:color w:val="000000"/>
                <w:sz w:val="18"/>
                <w:szCs w:val="18"/>
              </w:rPr>
            </w:pPr>
          </w:p>
          <w:p w14:paraId="6BEFB74F" w14:textId="77777777" w:rsidR="001C7E6F" w:rsidRDefault="001C7E6F" w:rsidP="00BD3046">
            <w:pPr>
              <w:spacing w:after="0" w:line="240" w:lineRule="auto"/>
              <w:jc w:val="both"/>
              <w:rPr>
                <w:rFonts w:ascii="Arial" w:eastAsia="Arial" w:hAnsi="Arial" w:cs="Arial"/>
                <w:color w:val="000000"/>
                <w:sz w:val="18"/>
                <w:szCs w:val="18"/>
              </w:rPr>
            </w:pPr>
            <w:r>
              <w:rPr>
                <w:rFonts w:ascii="Segoe UI Symbol" w:eastAsia="Arial" w:hAnsi="Segoe UI Symbol" w:cs="Segoe UI Symbol"/>
                <w:color w:val="000000"/>
                <w:sz w:val="18"/>
                <w:szCs w:val="18"/>
              </w:rPr>
              <w:t>O</w:t>
            </w:r>
            <w:r w:rsidRPr="00404165">
              <w:rPr>
                <w:rFonts w:ascii="Arial" w:eastAsia="Arial" w:hAnsi="Arial" w:cs="Arial"/>
                <w:color w:val="000000"/>
                <w:sz w:val="18"/>
                <w:szCs w:val="18"/>
              </w:rPr>
              <w:t xml:space="preserve"> déficit político-institucional (14%) e a baixa dimensão histórico-evolutiva comprometem a efetividade do planejamento, ainda que haja avanços financeiros e normativos.</w:t>
            </w:r>
          </w:p>
          <w:p w14:paraId="66585592" w14:textId="77777777" w:rsidR="001C7E6F" w:rsidRDefault="001C7E6F" w:rsidP="00BD3046">
            <w:pPr>
              <w:spacing w:after="0" w:line="240" w:lineRule="auto"/>
              <w:rPr>
                <w:rFonts w:ascii="Arial" w:eastAsia="Arial" w:hAnsi="Arial" w:cs="Arial"/>
                <w:color w:val="000000"/>
                <w:sz w:val="18"/>
                <w:szCs w:val="18"/>
              </w:rPr>
            </w:pPr>
          </w:p>
          <w:p w14:paraId="65D7B640" w14:textId="77777777" w:rsidR="001C7E6F" w:rsidRPr="005238A8" w:rsidRDefault="001C7E6F" w:rsidP="00BD3046">
            <w:pPr>
              <w:spacing w:after="0" w:line="240" w:lineRule="auto"/>
              <w:rPr>
                <w:rFonts w:ascii="Arial" w:eastAsia="Arial" w:hAnsi="Arial" w:cs="Arial"/>
                <w:b/>
                <w:color w:val="000000"/>
                <w:sz w:val="18"/>
                <w:szCs w:val="18"/>
              </w:rPr>
            </w:pPr>
            <w:r>
              <w:rPr>
                <w:rFonts w:ascii="Arial" w:eastAsia="Arial" w:hAnsi="Arial" w:cs="Arial"/>
                <w:b/>
                <w:color w:val="000000"/>
                <w:sz w:val="18"/>
                <w:szCs w:val="18"/>
              </w:rPr>
              <w:t xml:space="preserve">3. </w:t>
            </w:r>
            <w:r w:rsidRPr="005238A8">
              <w:rPr>
                <w:rFonts w:ascii="Arial" w:eastAsia="Arial" w:hAnsi="Arial" w:cs="Arial"/>
                <w:b/>
                <w:color w:val="000000"/>
                <w:sz w:val="18"/>
                <w:szCs w:val="18"/>
              </w:rPr>
              <w:t xml:space="preserve">Eixo de Execução Orçamentária e Financeira </w:t>
            </w:r>
            <w:r>
              <w:rPr>
                <w:rFonts w:ascii="Arial" w:eastAsia="Arial" w:hAnsi="Arial" w:cs="Arial"/>
                <w:color w:val="000000"/>
                <w:sz w:val="18"/>
                <w:szCs w:val="18"/>
              </w:rPr>
              <w:t>- 54</w:t>
            </w:r>
            <w:r w:rsidRPr="005238A8">
              <w:rPr>
                <w:rFonts w:ascii="Arial" w:eastAsia="Arial" w:hAnsi="Arial" w:cs="Arial"/>
                <w:color w:val="000000"/>
                <w:sz w:val="18"/>
                <w:szCs w:val="18"/>
              </w:rPr>
              <w:t>% (perfil Intermediário), com assimetrias entre as dimensões.</w:t>
            </w:r>
          </w:p>
          <w:p w14:paraId="1F77AAE4" w14:textId="77777777" w:rsidR="001C7E6F" w:rsidRPr="00ED5BA3" w:rsidRDefault="001C7E6F" w:rsidP="00BD3046">
            <w:pPr>
              <w:spacing w:after="0" w:line="240" w:lineRule="auto"/>
              <w:rPr>
                <w:rFonts w:ascii="Arial" w:eastAsia="Arial" w:hAnsi="Arial" w:cs="Arial"/>
                <w:color w:val="000000"/>
                <w:sz w:val="18"/>
                <w:szCs w:val="18"/>
              </w:rPr>
            </w:pPr>
          </w:p>
          <w:p w14:paraId="4CE3A70C" w14:textId="77777777" w:rsidR="001C7E6F" w:rsidRPr="00404165" w:rsidRDefault="001C7E6F" w:rsidP="0032733E">
            <w:pPr>
              <w:pStyle w:val="PargrafodaLista"/>
              <w:numPr>
                <w:ilvl w:val="0"/>
                <w:numId w:val="19"/>
              </w:numPr>
              <w:spacing w:after="0" w:line="240" w:lineRule="auto"/>
              <w:rPr>
                <w:rFonts w:eastAsia="Arial"/>
                <w:color w:val="000000"/>
                <w:sz w:val="18"/>
                <w:szCs w:val="18"/>
              </w:rPr>
            </w:pPr>
            <w:r>
              <w:rPr>
                <w:rFonts w:eastAsia="Arial"/>
                <w:color w:val="000000"/>
                <w:sz w:val="18"/>
                <w:szCs w:val="18"/>
              </w:rPr>
              <w:t>Financeira e Orçamentária (45</w:t>
            </w:r>
            <w:r w:rsidRPr="00404165">
              <w:rPr>
                <w:rFonts w:eastAsia="Arial"/>
                <w:color w:val="000000"/>
                <w:sz w:val="18"/>
                <w:szCs w:val="18"/>
              </w:rPr>
              <w:t xml:space="preserve">%, </w:t>
            </w:r>
            <w:r>
              <w:rPr>
                <w:rFonts w:eastAsia="Arial"/>
                <w:color w:val="000000"/>
                <w:sz w:val="18"/>
                <w:szCs w:val="18"/>
              </w:rPr>
              <w:t>Intermediário</w:t>
            </w:r>
            <w:r w:rsidRPr="00404165">
              <w:rPr>
                <w:rFonts w:eastAsia="Arial"/>
                <w:color w:val="000000"/>
                <w:sz w:val="18"/>
                <w:szCs w:val="18"/>
              </w:rPr>
              <w:t>): execução relativamente consistente, mas com falhas de aderência entre a previsão arrecadatória e a destinação final</w:t>
            </w:r>
            <w:r>
              <w:rPr>
                <w:rFonts w:eastAsia="Arial"/>
                <w:color w:val="000000"/>
                <w:sz w:val="18"/>
                <w:szCs w:val="18"/>
              </w:rPr>
              <w:t>, com desvinculações recorrentes</w:t>
            </w:r>
            <w:r w:rsidRPr="00404165">
              <w:rPr>
                <w:rFonts w:eastAsia="Arial"/>
                <w:color w:val="000000"/>
                <w:sz w:val="18"/>
                <w:szCs w:val="18"/>
              </w:rPr>
              <w:t>.</w:t>
            </w:r>
          </w:p>
          <w:p w14:paraId="548C565E" w14:textId="77777777" w:rsidR="001C7E6F" w:rsidRPr="00404165" w:rsidRDefault="001C7E6F" w:rsidP="0032733E">
            <w:pPr>
              <w:pStyle w:val="PargrafodaLista"/>
              <w:numPr>
                <w:ilvl w:val="0"/>
                <w:numId w:val="19"/>
              </w:numPr>
              <w:spacing w:after="0" w:line="240" w:lineRule="auto"/>
              <w:rPr>
                <w:rFonts w:eastAsia="Arial"/>
                <w:color w:val="000000"/>
                <w:sz w:val="18"/>
                <w:szCs w:val="18"/>
              </w:rPr>
            </w:pPr>
            <w:r w:rsidRPr="00404165">
              <w:rPr>
                <w:rFonts w:eastAsia="Arial"/>
                <w:color w:val="000000"/>
                <w:sz w:val="18"/>
                <w:szCs w:val="18"/>
              </w:rPr>
              <w:t>Político-Institucional (100%, Pleno): respaldo político assegura a execução sem maiores entraves formais.</w:t>
            </w:r>
          </w:p>
          <w:p w14:paraId="26DA3A47" w14:textId="77777777" w:rsidR="001C7E6F" w:rsidRPr="00404165" w:rsidRDefault="001C7E6F" w:rsidP="0032733E">
            <w:pPr>
              <w:pStyle w:val="PargrafodaLista"/>
              <w:numPr>
                <w:ilvl w:val="0"/>
                <w:numId w:val="19"/>
              </w:numPr>
              <w:spacing w:after="0" w:line="240" w:lineRule="auto"/>
              <w:rPr>
                <w:rFonts w:eastAsia="Arial"/>
                <w:color w:val="000000"/>
                <w:sz w:val="18"/>
                <w:szCs w:val="18"/>
              </w:rPr>
            </w:pPr>
            <w:r w:rsidRPr="00404165">
              <w:rPr>
                <w:rFonts w:eastAsia="Arial"/>
                <w:color w:val="000000"/>
                <w:sz w:val="18"/>
                <w:szCs w:val="18"/>
              </w:rPr>
              <w:t>Avaliativa (50%, Intermediário): inexistência de mecanismos de aferição de resultados e impacto das despesas.</w:t>
            </w:r>
          </w:p>
          <w:p w14:paraId="1CFA7F60" w14:textId="77777777" w:rsidR="001C7E6F" w:rsidRPr="00404165" w:rsidRDefault="001C7E6F" w:rsidP="0032733E">
            <w:pPr>
              <w:pStyle w:val="PargrafodaLista"/>
              <w:numPr>
                <w:ilvl w:val="0"/>
                <w:numId w:val="19"/>
              </w:numPr>
              <w:spacing w:after="0" w:line="240" w:lineRule="auto"/>
              <w:rPr>
                <w:rFonts w:eastAsia="Arial"/>
                <w:color w:val="000000"/>
                <w:sz w:val="18"/>
                <w:szCs w:val="18"/>
              </w:rPr>
            </w:pPr>
            <w:r w:rsidRPr="00404165">
              <w:rPr>
                <w:rFonts w:eastAsia="Arial"/>
                <w:color w:val="000000"/>
                <w:sz w:val="18"/>
                <w:szCs w:val="18"/>
              </w:rPr>
              <w:t>Participativa e de Transparência (75%, Avançado): há canais de acompanhamento social, mas com pouca influência real sobre a execução.</w:t>
            </w:r>
          </w:p>
          <w:p w14:paraId="50F54796" w14:textId="77777777" w:rsidR="001C7E6F" w:rsidRPr="00404165" w:rsidRDefault="001C7E6F" w:rsidP="0032733E">
            <w:pPr>
              <w:pStyle w:val="PargrafodaLista"/>
              <w:numPr>
                <w:ilvl w:val="0"/>
                <w:numId w:val="19"/>
              </w:numPr>
              <w:spacing w:after="0" w:line="240" w:lineRule="auto"/>
              <w:rPr>
                <w:rFonts w:eastAsia="Arial"/>
                <w:color w:val="000000"/>
                <w:sz w:val="18"/>
                <w:szCs w:val="18"/>
              </w:rPr>
            </w:pPr>
            <w:r w:rsidRPr="00404165">
              <w:rPr>
                <w:rFonts w:eastAsia="Arial"/>
                <w:color w:val="000000"/>
                <w:sz w:val="18"/>
                <w:szCs w:val="18"/>
              </w:rPr>
              <w:t>Institucional e Organizacional (0%, Inexistente): ausência de estruturas permanentes de apoio técnico ao Conselho Gestor e carência de equipes dedicadas à execução e monitoramento.</w:t>
            </w:r>
          </w:p>
          <w:p w14:paraId="6CC82ACB" w14:textId="77777777" w:rsidR="001C7E6F" w:rsidRPr="00404165" w:rsidRDefault="001C7E6F" w:rsidP="00BD3046">
            <w:pPr>
              <w:spacing w:after="0" w:line="240" w:lineRule="auto"/>
              <w:rPr>
                <w:rFonts w:ascii="Arial" w:eastAsia="Arial" w:hAnsi="Arial" w:cs="Arial"/>
                <w:color w:val="000000"/>
                <w:sz w:val="18"/>
                <w:szCs w:val="18"/>
              </w:rPr>
            </w:pPr>
          </w:p>
          <w:p w14:paraId="561E9DC3" w14:textId="77777777" w:rsidR="001C7E6F" w:rsidRDefault="001C7E6F" w:rsidP="00BD3046">
            <w:pPr>
              <w:spacing w:after="0" w:line="240" w:lineRule="auto"/>
              <w:jc w:val="both"/>
              <w:rPr>
                <w:rFonts w:ascii="Arial" w:eastAsia="Arial" w:hAnsi="Arial" w:cs="Arial"/>
                <w:color w:val="000000"/>
                <w:sz w:val="18"/>
                <w:szCs w:val="18"/>
              </w:rPr>
            </w:pPr>
            <w:r>
              <w:rPr>
                <w:rFonts w:ascii="Segoe UI Symbol" w:eastAsia="Arial" w:hAnsi="Segoe UI Symbol" w:cs="Segoe UI Symbol"/>
                <w:color w:val="000000"/>
                <w:sz w:val="18"/>
                <w:szCs w:val="18"/>
              </w:rPr>
              <w:t>A</w:t>
            </w:r>
            <w:r w:rsidRPr="00404165">
              <w:rPr>
                <w:rFonts w:ascii="Arial" w:eastAsia="Arial" w:hAnsi="Arial" w:cs="Arial"/>
                <w:color w:val="000000"/>
                <w:sz w:val="18"/>
                <w:szCs w:val="18"/>
              </w:rPr>
              <w:t xml:space="preserve"> inexistência de capacidade organizacional (0%) e a debilidade avaliativa impedem que os recursos executados sejam traduzidos em resultados mensuráveis para a redução da pobreza.</w:t>
            </w:r>
          </w:p>
          <w:p w14:paraId="6F9730F5" w14:textId="77777777" w:rsidR="001C7E6F" w:rsidRPr="00ED5BA3" w:rsidRDefault="001C7E6F" w:rsidP="00BD3046">
            <w:pPr>
              <w:spacing w:after="0" w:line="240" w:lineRule="auto"/>
              <w:rPr>
                <w:rFonts w:ascii="Arial" w:eastAsia="Arial" w:hAnsi="Arial" w:cs="Arial"/>
                <w:color w:val="000000"/>
                <w:sz w:val="18"/>
                <w:szCs w:val="18"/>
              </w:rPr>
            </w:pPr>
          </w:p>
          <w:p w14:paraId="163E0F28" w14:textId="77777777" w:rsidR="001C7E6F" w:rsidRPr="006C7DD1" w:rsidRDefault="001C7E6F" w:rsidP="00BD3046">
            <w:pPr>
              <w:spacing w:after="0" w:line="240" w:lineRule="auto"/>
              <w:rPr>
                <w:rFonts w:ascii="Arial" w:eastAsia="Arial" w:hAnsi="Arial" w:cs="Arial"/>
                <w:color w:val="000000"/>
                <w:sz w:val="18"/>
                <w:szCs w:val="18"/>
              </w:rPr>
            </w:pPr>
            <w:r w:rsidRPr="005238A8">
              <w:rPr>
                <w:rFonts w:ascii="Arial" w:eastAsia="Arial" w:hAnsi="Arial" w:cs="Arial"/>
                <w:color w:val="000000"/>
                <w:sz w:val="18"/>
                <w:szCs w:val="18"/>
              </w:rPr>
              <w:t xml:space="preserve">O </w:t>
            </w:r>
            <w:r w:rsidRPr="005238A8">
              <w:rPr>
                <w:rFonts w:ascii="Arial" w:eastAsia="Arial" w:hAnsi="Arial" w:cs="Arial"/>
                <w:b/>
                <w:color w:val="000000"/>
                <w:sz w:val="18"/>
                <w:szCs w:val="18"/>
              </w:rPr>
              <w:t xml:space="preserve">perfil do </w:t>
            </w:r>
            <w:r>
              <w:rPr>
                <w:rFonts w:ascii="Arial" w:eastAsia="Arial" w:hAnsi="Arial" w:cs="Arial"/>
                <w:b/>
                <w:color w:val="000000"/>
                <w:sz w:val="18"/>
                <w:szCs w:val="18"/>
              </w:rPr>
              <w:t>FECP-RJ</w:t>
            </w:r>
            <w:r w:rsidRPr="005238A8">
              <w:rPr>
                <w:rFonts w:ascii="Arial" w:eastAsia="Arial" w:hAnsi="Arial" w:cs="Arial"/>
                <w:b/>
                <w:color w:val="000000"/>
                <w:sz w:val="18"/>
                <w:szCs w:val="18"/>
              </w:rPr>
              <w:t>, avaliado a partir das dimensões</w:t>
            </w:r>
            <w:r w:rsidRPr="005238A8">
              <w:rPr>
                <w:rFonts w:ascii="Arial" w:eastAsia="Arial" w:hAnsi="Arial" w:cs="Arial"/>
                <w:color w:val="000000"/>
                <w:sz w:val="18"/>
                <w:szCs w:val="18"/>
              </w:rPr>
              <w:t>, a</w:t>
            </w:r>
            <w:r>
              <w:rPr>
                <w:rFonts w:ascii="Arial" w:eastAsia="Arial" w:hAnsi="Arial" w:cs="Arial"/>
                <w:color w:val="000000"/>
                <w:sz w:val="18"/>
                <w:szCs w:val="18"/>
              </w:rPr>
              <w:t xml:space="preserve">presenta desempenho heterogêneo: </w:t>
            </w:r>
          </w:p>
          <w:p w14:paraId="65D83796" w14:textId="77777777" w:rsidR="001C7E6F" w:rsidRPr="005238A8" w:rsidRDefault="001C7E6F" w:rsidP="0032733E">
            <w:pPr>
              <w:pStyle w:val="PargrafodaLista"/>
              <w:numPr>
                <w:ilvl w:val="0"/>
                <w:numId w:val="14"/>
              </w:numPr>
              <w:spacing w:after="0" w:line="240" w:lineRule="auto"/>
              <w:rPr>
                <w:rFonts w:eastAsia="Arial"/>
                <w:color w:val="000000"/>
                <w:sz w:val="18"/>
                <w:szCs w:val="18"/>
              </w:rPr>
            </w:pPr>
            <w:r w:rsidRPr="005238A8">
              <w:rPr>
                <w:rFonts w:eastAsia="Arial"/>
                <w:color w:val="000000"/>
                <w:sz w:val="18"/>
                <w:szCs w:val="18"/>
              </w:rPr>
              <w:t>Jurídico-Estrutural – 83% (</w:t>
            </w:r>
            <w:r>
              <w:rPr>
                <w:rFonts w:eastAsia="Arial"/>
                <w:color w:val="000000"/>
                <w:sz w:val="18"/>
                <w:szCs w:val="18"/>
              </w:rPr>
              <w:t>Pleno</w:t>
            </w:r>
            <w:r w:rsidRPr="005238A8">
              <w:rPr>
                <w:rFonts w:eastAsia="Arial"/>
                <w:color w:val="000000"/>
                <w:sz w:val="18"/>
                <w:szCs w:val="18"/>
              </w:rPr>
              <w:t xml:space="preserve">); </w:t>
            </w:r>
          </w:p>
          <w:p w14:paraId="32D96F54" w14:textId="77777777" w:rsidR="001C7E6F" w:rsidRPr="005238A8" w:rsidRDefault="001C7E6F" w:rsidP="0032733E">
            <w:pPr>
              <w:pStyle w:val="PargrafodaLista"/>
              <w:numPr>
                <w:ilvl w:val="0"/>
                <w:numId w:val="14"/>
              </w:numPr>
              <w:spacing w:after="0" w:line="240" w:lineRule="auto"/>
              <w:rPr>
                <w:rFonts w:eastAsia="Arial"/>
                <w:color w:val="000000"/>
                <w:sz w:val="18"/>
                <w:szCs w:val="18"/>
              </w:rPr>
            </w:pPr>
            <w:r>
              <w:rPr>
                <w:rFonts w:eastAsia="Arial"/>
                <w:color w:val="000000"/>
                <w:sz w:val="18"/>
                <w:szCs w:val="18"/>
              </w:rPr>
              <w:t>Financeira e Orçamentária – 71</w:t>
            </w:r>
            <w:r w:rsidRPr="005238A8">
              <w:rPr>
                <w:rFonts w:eastAsia="Arial"/>
                <w:color w:val="000000"/>
                <w:sz w:val="18"/>
                <w:szCs w:val="18"/>
              </w:rPr>
              <w:t>% (Avançado);</w:t>
            </w:r>
          </w:p>
          <w:p w14:paraId="5A90AA54" w14:textId="77777777" w:rsidR="001C7E6F" w:rsidRPr="005238A8" w:rsidRDefault="001C7E6F" w:rsidP="0032733E">
            <w:pPr>
              <w:pStyle w:val="PargrafodaLista"/>
              <w:numPr>
                <w:ilvl w:val="0"/>
                <w:numId w:val="14"/>
              </w:numPr>
              <w:spacing w:after="0" w:line="240" w:lineRule="auto"/>
              <w:rPr>
                <w:rFonts w:eastAsia="Arial"/>
                <w:color w:val="000000"/>
                <w:sz w:val="18"/>
                <w:szCs w:val="18"/>
              </w:rPr>
            </w:pPr>
            <w:r>
              <w:rPr>
                <w:rFonts w:eastAsia="Arial"/>
                <w:color w:val="000000"/>
                <w:sz w:val="18"/>
                <w:szCs w:val="18"/>
              </w:rPr>
              <w:t>Político-Institucional – 71</w:t>
            </w:r>
            <w:r w:rsidRPr="005238A8">
              <w:rPr>
                <w:rFonts w:eastAsia="Arial"/>
                <w:color w:val="000000"/>
                <w:sz w:val="18"/>
                <w:szCs w:val="18"/>
              </w:rPr>
              <w:t>% (Avançado);</w:t>
            </w:r>
          </w:p>
          <w:p w14:paraId="7AE336EC" w14:textId="77777777" w:rsidR="001C7E6F" w:rsidRPr="005238A8" w:rsidRDefault="001C7E6F" w:rsidP="0032733E">
            <w:pPr>
              <w:pStyle w:val="PargrafodaLista"/>
              <w:numPr>
                <w:ilvl w:val="0"/>
                <w:numId w:val="14"/>
              </w:numPr>
              <w:spacing w:after="0" w:line="240" w:lineRule="auto"/>
              <w:rPr>
                <w:rFonts w:eastAsia="Arial"/>
                <w:color w:val="000000"/>
                <w:sz w:val="18"/>
                <w:szCs w:val="18"/>
              </w:rPr>
            </w:pPr>
            <w:r w:rsidRPr="005238A8">
              <w:rPr>
                <w:rFonts w:eastAsia="Arial"/>
                <w:color w:val="000000"/>
                <w:sz w:val="18"/>
                <w:szCs w:val="18"/>
              </w:rPr>
              <w:t>Parti</w:t>
            </w:r>
            <w:r>
              <w:rPr>
                <w:rFonts w:eastAsia="Arial"/>
                <w:color w:val="000000"/>
                <w:sz w:val="18"/>
                <w:szCs w:val="18"/>
              </w:rPr>
              <w:t>cipativa e de Transparência – 88</w:t>
            </w:r>
            <w:r w:rsidRPr="005238A8">
              <w:rPr>
                <w:rFonts w:eastAsia="Arial"/>
                <w:color w:val="000000"/>
                <w:sz w:val="18"/>
                <w:szCs w:val="18"/>
              </w:rPr>
              <w:t>% (</w:t>
            </w:r>
            <w:r>
              <w:rPr>
                <w:rFonts w:eastAsia="Arial"/>
                <w:color w:val="000000"/>
                <w:sz w:val="18"/>
                <w:szCs w:val="18"/>
              </w:rPr>
              <w:t>Pleno</w:t>
            </w:r>
            <w:r w:rsidRPr="005238A8">
              <w:rPr>
                <w:rFonts w:eastAsia="Arial"/>
                <w:color w:val="000000"/>
                <w:sz w:val="18"/>
                <w:szCs w:val="18"/>
              </w:rPr>
              <w:t>);</w:t>
            </w:r>
          </w:p>
          <w:p w14:paraId="79BEF6D7" w14:textId="77777777" w:rsidR="001C7E6F" w:rsidRPr="005238A8" w:rsidRDefault="001C7E6F" w:rsidP="0032733E">
            <w:pPr>
              <w:pStyle w:val="PargrafodaLista"/>
              <w:numPr>
                <w:ilvl w:val="0"/>
                <w:numId w:val="14"/>
              </w:numPr>
              <w:spacing w:after="0" w:line="240" w:lineRule="auto"/>
              <w:rPr>
                <w:rFonts w:eastAsia="Arial"/>
                <w:color w:val="000000"/>
                <w:sz w:val="18"/>
                <w:szCs w:val="18"/>
              </w:rPr>
            </w:pPr>
            <w:r w:rsidRPr="005238A8">
              <w:rPr>
                <w:rFonts w:eastAsia="Arial"/>
                <w:color w:val="000000"/>
                <w:sz w:val="18"/>
                <w:szCs w:val="18"/>
              </w:rPr>
              <w:t>Ins</w:t>
            </w:r>
            <w:r>
              <w:rPr>
                <w:rFonts w:eastAsia="Arial"/>
                <w:color w:val="000000"/>
                <w:sz w:val="18"/>
                <w:szCs w:val="18"/>
              </w:rPr>
              <w:t>titucional e Organizacional – 41</w:t>
            </w:r>
            <w:r w:rsidRPr="005238A8">
              <w:rPr>
                <w:rFonts w:eastAsia="Arial"/>
                <w:color w:val="000000"/>
                <w:sz w:val="18"/>
                <w:szCs w:val="18"/>
              </w:rPr>
              <w:t>% (Intermediário);</w:t>
            </w:r>
          </w:p>
          <w:p w14:paraId="2E1080BB" w14:textId="77777777" w:rsidR="001C7E6F" w:rsidRPr="005238A8" w:rsidRDefault="001C7E6F" w:rsidP="0032733E">
            <w:pPr>
              <w:pStyle w:val="PargrafodaLista"/>
              <w:numPr>
                <w:ilvl w:val="0"/>
                <w:numId w:val="14"/>
              </w:numPr>
              <w:spacing w:after="0" w:line="240" w:lineRule="auto"/>
              <w:rPr>
                <w:rFonts w:eastAsia="Arial"/>
                <w:color w:val="000000"/>
                <w:sz w:val="18"/>
                <w:szCs w:val="18"/>
              </w:rPr>
            </w:pPr>
            <w:r>
              <w:rPr>
                <w:rFonts w:eastAsia="Arial"/>
                <w:color w:val="000000"/>
                <w:sz w:val="18"/>
                <w:szCs w:val="18"/>
              </w:rPr>
              <w:t>Avaliativa – 75</w:t>
            </w:r>
            <w:r w:rsidRPr="005238A8">
              <w:rPr>
                <w:rFonts w:eastAsia="Arial"/>
                <w:color w:val="000000"/>
                <w:sz w:val="18"/>
                <w:szCs w:val="18"/>
              </w:rPr>
              <w:t>% (</w:t>
            </w:r>
            <w:r>
              <w:rPr>
                <w:rFonts w:eastAsia="Arial"/>
                <w:color w:val="000000"/>
                <w:sz w:val="18"/>
                <w:szCs w:val="18"/>
              </w:rPr>
              <w:t>Avançado</w:t>
            </w:r>
            <w:r w:rsidRPr="005238A8">
              <w:rPr>
                <w:rFonts w:eastAsia="Arial"/>
                <w:color w:val="000000"/>
                <w:sz w:val="18"/>
                <w:szCs w:val="18"/>
              </w:rPr>
              <w:t>);</w:t>
            </w:r>
          </w:p>
          <w:p w14:paraId="4A274BB1" w14:textId="77777777" w:rsidR="001C7E6F" w:rsidRDefault="001C7E6F" w:rsidP="0032733E">
            <w:pPr>
              <w:pStyle w:val="PargrafodaLista"/>
              <w:numPr>
                <w:ilvl w:val="0"/>
                <w:numId w:val="14"/>
              </w:numPr>
              <w:spacing w:after="0" w:line="240" w:lineRule="auto"/>
              <w:rPr>
                <w:rFonts w:eastAsia="Arial"/>
                <w:color w:val="000000"/>
                <w:sz w:val="18"/>
                <w:szCs w:val="18"/>
              </w:rPr>
            </w:pPr>
            <w:r w:rsidRPr="005238A8">
              <w:rPr>
                <w:rFonts w:eastAsia="Arial"/>
                <w:color w:val="000000"/>
                <w:sz w:val="18"/>
                <w:szCs w:val="18"/>
              </w:rPr>
              <w:t>Histórico-Ev</w:t>
            </w:r>
            <w:r>
              <w:rPr>
                <w:rFonts w:eastAsia="Arial"/>
                <w:color w:val="000000"/>
                <w:sz w:val="18"/>
                <w:szCs w:val="18"/>
              </w:rPr>
              <w:t>olutiva – 33</w:t>
            </w:r>
            <w:r w:rsidRPr="005238A8">
              <w:rPr>
                <w:rFonts w:eastAsia="Arial"/>
                <w:color w:val="000000"/>
                <w:sz w:val="18"/>
                <w:szCs w:val="18"/>
              </w:rPr>
              <w:t>% (</w:t>
            </w:r>
            <w:r>
              <w:rPr>
                <w:rFonts w:eastAsia="Arial"/>
                <w:color w:val="000000"/>
                <w:sz w:val="18"/>
                <w:szCs w:val="18"/>
              </w:rPr>
              <w:t>Inicial</w:t>
            </w:r>
            <w:r w:rsidRPr="005238A8">
              <w:rPr>
                <w:rFonts w:eastAsia="Arial"/>
                <w:color w:val="000000"/>
                <w:sz w:val="18"/>
                <w:szCs w:val="18"/>
              </w:rPr>
              <w:t>).</w:t>
            </w:r>
          </w:p>
          <w:p w14:paraId="608FA342" w14:textId="77777777" w:rsidR="001C7E6F" w:rsidRDefault="001C7E6F" w:rsidP="00BD3046">
            <w:pPr>
              <w:spacing w:after="0" w:line="240" w:lineRule="auto"/>
              <w:rPr>
                <w:rFonts w:eastAsia="Arial"/>
                <w:color w:val="000000"/>
                <w:sz w:val="18"/>
                <w:szCs w:val="18"/>
              </w:rPr>
            </w:pPr>
          </w:p>
          <w:p w14:paraId="017712A4" w14:textId="77777777" w:rsidR="001C7E6F" w:rsidRPr="00F752CE" w:rsidRDefault="001C7E6F" w:rsidP="00BD3046">
            <w:pPr>
              <w:spacing w:after="0" w:line="240" w:lineRule="auto"/>
              <w:jc w:val="both"/>
              <w:rPr>
                <w:rFonts w:ascii="Arial" w:eastAsia="Arial" w:hAnsi="Arial" w:cs="Arial"/>
                <w:color w:val="000000"/>
                <w:sz w:val="18"/>
                <w:szCs w:val="18"/>
              </w:rPr>
            </w:pPr>
            <w:r w:rsidRPr="00F752CE">
              <w:rPr>
                <w:rFonts w:ascii="Arial" w:eastAsia="Arial" w:hAnsi="Arial" w:cs="Arial"/>
                <w:color w:val="000000"/>
                <w:sz w:val="18"/>
                <w:szCs w:val="18"/>
              </w:rPr>
              <w:t>De acordo com as dimensões, o FECP-RJ alcançou um patamar de “Boa Maturidade” (72%), indicando consistência normativa, segurança arrecadatória, legitimidade política e práticas consolidadas de transparência. Esses elementos conferem previsibilidade ao ingresso dos recursos e fortalecem o controle social, garantindo um eixo de arrecadação consolidado.</w:t>
            </w:r>
          </w:p>
          <w:p w14:paraId="5012D420" w14:textId="77777777" w:rsidR="001C7E6F" w:rsidRPr="00F752CE" w:rsidRDefault="001C7E6F" w:rsidP="00BD3046">
            <w:pPr>
              <w:spacing w:after="0" w:line="240" w:lineRule="auto"/>
              <w:jc w:val="both"/>
              <w:rPr>
                <w:rFonts w:ascii="Arial" w:eastAsia="Arial" w:hAnsi="Arial" w:cs="Arial"/>
                <w:color w:val="000000"/>
                <w:sz w:val="18"/>
                <w:szCs w:val="18"/>
              </w:rPr>
            </w:pPr>
          </w:p>
          <w:p w14:paraId="7D60B274" w14:textId="77777777" w:rsidR="001C7E6F" w:rsidRPr="00F752CE" w:rsidRDefault="001C7E6F" w:rsidP="00BD3046">
            <w:pPr>
              <w:spacing w:after="0" w:line="240" w:lineRule="auto"/>
              <w:jc w:val="both"/>
              <w:rPr>
                <w:rFonts w:ascii="Arial" w:eastAsia="Arial" w:hAnsi="Arial" w:cs="Arial"/>
                <w:color w:val="000000"/>
                <w:sz w:val="18"/>
                <w:szCs w:val="18"/>
              </w:rPr>
            </w:pPr>
            <w:r w:rsidRPr="00F752CE">
              <w:rPr>
                <w:rFonts w:ascii="Arial" w:eastAsia="Arial" w:hAnsi="Arial" w:cs="Arial"/>
                <w:color w:val="000000"/>
                <w:sz w:val="18"/>
                <w:szCs w:val="18"/>
              </w:rPr>
              <w:t>Em contrapartida, a dimensão Institucional e Organizacional (41%) foi classificada como “Intermediária”, refletindo ausência de estruturas permanentes de apoio técnico ao Conselho Gestor e fragilidade da governança administrativa, o que compromete a rastreabilidade e a qualidade da execução. Já a dimensão Histórico-Evolutiva (33%) foi classificada como “Inicial”, evidenciando baixa sistematização da memória institucional e pouca incorporação de aprendizados em rotinas decisórias.</w:t>
            </w:r>
          </w:p>
          <w:p w14:paraId="01AB07DA" w14:textId="77777777" w:rsidR="001C7E6F" w:rsidRPr="00F752CE" w:rsidRDefault="001C7E6F" w:rsidP="00BD3046">
            <w:pPr>
              <w:spacing w:after="0" w:line="240" w:lineRule="auto"/>
              <w:jc w:val="both"/>
              <w:rPr>
                <w:rFonts w:ascii="Arial" w:eastAsia="Arial" w:hAnsi="Arial" w:cs="Arial"/>
                <w:color w:val="000000"/>
                <w:sz w:val="18"/>
                <w:szCs w:val="18"/>
              </w:rPr>
            </w:pPr>
          </w:p>
          <w:p w14:paraId="1958E57A" w14:textId="77777777" w:rsidR="001C7E6F" w:rsidRDefault="001C7E6F" w:rsidP="00BD3046">
            <w:pPr>
              <w:spacing w:after="0" w:line="240" w:lineRule="auto"/>
              <w:jc w:val="both"/>
              <w:rPr>
                <w:rFonts w:ascii="Arial" w:eastAsia="Arial" w:hAnsi="Arial" w:cs="Arial"/>
                <w:color w:val="000000"/>
                <w:sz w:val="18"/>
                <w:szCs w:val="18"/>
              </w:rPr>
            </w:pPr>
            <w:r w:rsidRPr="00F752CE">
              <w:rPr>
                <w:rFonts w:ascii="Arial" w:eastAsia="Arial" w:hAnsi="Arial" w:cs="Arial"/>
                <w:color w:val="000000"/>
                <w:sz w:val="18"/>
                <w:szCs w:val="18"/>
              </w:rPr>
              <w:t xml:space="preserve">Esse quadro sugere que, embora o FECP-RJ apresente avanços expressivos em sua base normativa, arrecadatória e de transparência, persiste um déficit institucional e avaliativo que limita a conversão da capacidade financeira em impacto social mensurável, comprometendo a plena efetividade e a </w:t>
            </w:r>
            <w:r w:rsidRPr="00F752CE">
              <w:rPr>
                <w:rFonts w:ascii="Arial" w:eastAsia="Arial" w:hAnsi="Arial" w:cs="Arial"/>
                <w:i/>
                <w:color w:val="000000"/>
                <w:sz w:val="18"/>
                <w:szCs w:val="18"/>
              </w:rPr>
              <w:t>accountability</w:t>
            </w:r>
            <w:r w:rsidRPr="00F752CE">
              <w:rPr>
                <w:rFonts w:ascii="Arial" w:eastAsia="Arial" w:hAnsi="Arial" w:cs="Arial"/>
                <w:color w:val="000000"/>
                <w:sz w:val="18"/>
                <w:szCs w:val="18"/>
              </w:rPr>
              <w:t xml:space="preserve"> do Fundo.</w:t>
            </w:r>
          </w:p>
          <w:p w14:paraId="02684468" w14:textId="77777777" w:rsidR="001C7E6F" w:rsidRDefault="001C7E6F" w:rsidP="00BD3046">
            <w:pPr>
              <w:spacing w:after="0" w:line="240" w:lineRule="auto"/>
              <w:rPr>
                <w:rFonts w:ascii="Arial" w:eastAsia="Arial" w:hAnsi="Arial" w:cs="Arial"/>
                <w:color w:val="000000"/>
                <w:sz w:val="18"/>
                <w:szCs w:val="18"/>
              </w:rPr>
            </w:pPr>
          </w:p>
        </w:tc>
      </w:tr>
      <w:tr w:rsidR="001C7E6F" w14:paraId="0A13D0E4" w14:textId="77777777" w:rsidTr="00BD3046">
        <w:trPr>
          <w:trHeight w:val="20"/>
        </w:trPr>
        <w:tc>
          <w:tcPr>
            <w:tcW w:w="0" w:type="auto"/>
            <w:shd w:val="clear" w:color="auto" w:fill="auto"/>
            <w:vAlign w:val="center"/>
          </w:tcPr>
          <w:p w14:paraId="3EFD18E7" w14:textId="77777777" w:rsidR="001C7E6F" w:rsidRDefault="001C7E6F" w:rsidP="00BD3046">
            <w:pPr>
              <w:spacing w:after="0" w:line="240" w:lineRule="auto"/>
              <w:rPr>
                <w:rFonts w:ascii="Arial" w:eastAsia="Arial" w:hAnsi="Arial" w:cs="Arial"/>
                <w:color w:val="000000"/>
                <w:sz w:val="18"/>
                <w:szCs w:val="18"/>
              </w:rPr>
            </w:pPr>
            <w:r>
              <w:rPr>
                <w:rFonts w:ascii="Arial" w:eastAsia="Arial" w:hAnsi="Arial" w:cs="Arial"/>
                <w:color w:val="000000"/>
                <w:sz w:val="18"/>
                <w:szCs w:val="18"/>
              </w:rPr>
              <w:lastRenderedPageBreak/>
              <w:t>Nível de Maturidade do Fundo</w:t>
            </w:r>
          </w:p>
        </w:tc>
        <w:tc>
          <w:tcPr>
            <w:tcW w:w="0" w:type="auto"/>
            <w:shd w:val="clear" w:color="auto" w:fill="auto"/>
            <w:vAlign w:val="center"/>
          </w:tcPr>
          <w:p w14:paraId="0EB13EE5" w14:textId="77777777" w:rsidR="001C7E6F" w:rsidRPr="00ED5BA3" w:rsidRDefault="001C7E6F" w:rsidP="00BD3046">
            <w:pPr>
              <w:spacing w:after="0" w:line="240" w:lineRule="auto"/>
              <w:rPr>
                <w:rFonts w:ascii="Arial" w:eastAsia="Arial" w:hAnsi="Arial" w:cs="Arial"/>
                <w:i/>
                <w:color w:val="000000"/>
                <w:sz w:val="18"/>
                <w:szCs w:val="18"/>
              </w:rPr>
            </w:pPr>
            <w:r w:rsidRPr="00ED5BA3">
              <w:rPr>
                <w:rFonts w:ascii="Arial" w:eastAsia="Arial" w:hAnsi="Arial" w:cs="Arial"/>
                <w:i/>
                <w:color w:val="000000"/>
                <w:sz w:val="18"/>
                <w:szCs w:val="18"/>
              </w:rPr>
              <w:t>Indicador sintético, calculado por agregado ponderado (pesos/criticidade) dos elementos de verificação do PV. Como regra, usa-se o perfil para priorizar intervenções e o nível global para comunicar o estado geral e comparar o Fundo ao longo do tempo ou entre entes.</w:t>
            </w:r>
          </w:p>
          <w:p w14:paraId="40C69D06" w14:textId="77777777" w:rsidR="001C7E6F" w:rsidRDefault="001C7E6F" w:rsidP="00BD3046">
            <w:pPr>
              <w:spacing w:after="0" w:line="240" w:lineRule="auto"/>
              <w:rPr>
                <w:rFonts w:ascii="Arial" w:eastAsia="Arial" w:hAnsi="Arial" w:cs="Arial"/>
                <w:color w:val="000000"/>
                <w:sz w:val="18"/>
                <w:szCs w:val="18"/>
              </w:rPr>
            </w:pPr>
          </w:p>
          <w:p w14:paraId="1E82D41C" w14:textId="77777777" w:rsidR="001C7E6F" w:rsidRPr="00ED5BA3" w:rsidRDefault="001C7E6F" w:rsidP="00BD3046">
            <w:pPr>
              <w:spacing w:after="0" w:line="240" w:lineRule="auto"/>
              <w:rPr>
                <w:rFonts w:ascii="Arial" w:eastAsia="Arial" w:hAnsi="Arial" w:cs="Arial"/>
                <w:color w:val="000000"/>
                <w:sz w:val="18"/>
                <w:szCs w:val="18"/>
              </w:rPr>
            </w:pPr>
            <w:r w:rsidRPr="00ED5BA3">
              <w:rPr>
                <w:rFonts w:ascii="Arial" w:eastAsia="Arial" w:hAnsi="Arial" w:cs="Arial"/>
                <w:b/>
                <w:color w:val="000000"/>
                <w:sz w:val="18"/>
                <w:szCs w:val="18"/>
              </w:rPr>
              <w:t>Nível Geral de Maturidade</w:t>
            </w:r>
            <w:r>
              <w:rPr>
                <w:rFonts w:ascii="Arial" w:eastAsia="Arial" w:hAnsi="Arial" w:cs="Arial"/>
                <w:b/>
                <w:color w:val="000000"/>
                <w:sz w:val="18"/>
                <w:szCs w:val="18"/>
              </w:rPr>
              <w:t xml:space="preserve"> </w:t>
            </w:r>
            <w:r w:rsidRPr="00ED5BA3">
              <w:rPr>
                <w:rFonts w:ascii="Arial" w:eastAsia="Arial" w:hAnsi="Arial" w:cs="Arial"/>
                <w:color w:val="000000"/>
                <w:sz w:val="18"/>
                <w:szCs w:val="18"/>
              </w:rPr>
              <w:t xml:space="preserve">- </w:t>
            </w:r>
            <w:r>
              <w:rPr>
                <w:rFonts w:ascii="Arial" w:eastAsia="Arial" w:hAnsi="Arial" w:cs="Arial"/>
                <w:color w:val="000000"/>
                <w:sz w:val="18"/>
                <w:szCs w:val="18"/>
              </w:rPr>
              <w:t>71% (</w:t>
            </w:r>
            <w:r w:rsidRPr="00ED5BA3">
              <w:rPr>
                <w:rFonts w:ascii="Arial" w:eastAsia="Arial" w:hAnsi="Arial" w:cs="Arial"/>
                <w:color w:val="000000"/>
                <w:sz w:val="18"/>
                <w:szCs w:val="18"/>
              </w:rPr>
              <w:t>Boa Maturidade</w:t>
            </w:r>
            <w:r>
              <w:rPr>
                <w:rFonts w:ascii="Arial" w:eastAsia="Arial" w:hAnsi="Arial" w:cs="Arial"/>
                <w:color w:val="000000"/>
                <w:sz w:val="18"/>
                <w:szCs w:val="18"/>
              </w:rPr>
              <w:t xml:space="preserve">), com </w:t>
            </w:r>
            <w:r w:rsidRPr="00ED5BA3">
              <w:rPr>
                <w:rFonts w:ascii="Arial" w:eastAsia="Arial" w:hAnsi="Arial" w:cs="Arial"/>
                <w:color w:val="000000"/>
                <w:sz w:val="18"/>
                <w:szCs w:val="18"/>
              </w:rPr>
              <w:t>p</w:t>
            </w:r>
            <w:r>
              <w:rPr>
                <w:rFonts w:ascii="Arial" w:eastAsia="Arial" w:hAnsi="Arial" w:cs="Arial"/>
                <w:color w:val="000000"/>
                <w:sz w:val="18"/>
                <w:szCs w:val="18"/>
              </w:rPr>
              <w:t>ontuação global: 92/135</w:t>
            </w:r>
            <w:r w:rsidRPr="00ED5BA3">
              <w:rPr>
                <w:rFonts w:ascii="Arial" w:eastAsia="Arial" w:hAnsi="Arial" w:cs="Arial"/>
                <w:color w:val="000000"/>
                <w:sz w:val="18"/>
                <w:szCs w:val="18"/>
              </w:rPr>
              <w:t>.</w:t>
            </w:r>
          </w:p>
          <w:p w14:paraId="1C10035A" w14:textId="77777777" w:rsidR="001C7E6F" w:rsidRPr="00ED5BA3" w:rsidRDefault="001C7E6F" w:rsidP="00BD3046">
            <w:pPr>
              <w:spacing w:after="0" w:line="240" w:lineRule="auto"/>
              <w:rPr>
                <w:rFonts w:ascii="Arial" w:eastAsia="Arial" w:hAnsi="Arial" w:cs="Arial"/>
                <w:color w:val="000000"/>
                <w:sz w:val="18"/>
                <w:szCs w:val="18"/>
              </w:rPr>
            </w:pPr>
          </w:p>
          <w:p w14:paraId="2D5D4A9F" w14:textId="77777777" w:rsidR="001C7E6F" w:rsidRPr="00ED5BA3" w:rsidRDefault="001C7E6F" w:rsidP="00BD3046">
            <w:pPr>
              <w:spacing w:after="0" w:line="240" w:lineRule="auto"/>
              <w:rPr>
                <w:rFonts w:ascii="Arial" w:eastAsia="Arial" w:hAnsi="Arial" w:cs="Arial"/>
                <w:color w:val="000000"/>
                <w:sz w:val="18"/>
                <w:szCs w:val="18"/>
              </w:rPr>
            </w:pPr>
            <w:r w:rsidRPr="00ED5BA3">
              <w:rPr>
                <w:rFonts w:ascii="Arial" w:eastAsia="Arial" w:hAnsi="Arial" w:cs="Arial"/>
                <w:color w:val="000000"/>
                <w:sz w:val="18"/>
                <w:szCs w:val="18"/>
              </w:rPr>
              <w:t>Perfil consolidado:</w:t>
            </w:r>
          </w:p>
          <w:p w14:paraId="6F046EB4" w14:textId="77777777" w:rsidR="001C7E6F" w:rsidRPr="00ED5BA3" w:rsidRDefault="001C7E6F" w:rsidP="00BD3046">
            <w:pPr>
              <w:spacing w:after="0" w:line="240" w:lineRule="auto"/>
              <w:rPr>
                <w:rFonts w:ascii="Arial" w:eastAsia="Arial" w:hAnsi="Arial" w:cs="Arial"/>
                <w:color w:val="000000"/>
                <w:sz w:val="18"/>
                <w:szCs w:val="18"/>
              </w:rPr>
            </w:pPr>
            <w:r w:rsidRPr="00ED5BA3">
              <w:rPr>
                <w:rFonts w:ascii="Arial" w:eastAsia="Arial" w:hAnsi="Arial" w:cs="Arial"/>
                <w:color w:val="000000"/>
                <w:sz w:val="18"/>
                <w:szCs w:val="18"/>
              </w:rPr>
              <w:lastRenderedPageBreak/>
              <w:t>Responsab</w:t>
            </w:r>
            <w:r>
              <w:rPr>
                <w:rFonts w:ascii="Arial" w:eastAsia="Arial" w:hAnsi="Arial" w:cs="Arial"/>
                <w:color w:val="000000"/>
                <w:sz w:val="18"/>
                <w:szCs w:val="18"/>
              </w:rPr>
              <w:t>ilidade Arrecadatória: Pleno (92</w:t>
            </w:r>
            <w:r w:rsidRPr="00ED5BA3">
              <w:rPr>
                <w:rFonts w:ascii="Arial" w:eastAsia="Arial" w:hAnsi="Arial" w:cs="Arial"/>
                <w:color w:val="000000"/>
                <w:sz w:val="18"/>
                <w:szCs w:val="18"/>
              </w:rPr>
              <w:t>%).</w:t>
            </w:r>
          </w:p>
          <w:p w14:paraId="1817F165" w14:textId="77777777" w:rsidR="001C7E6F" w:rsidRPr="00ED5BA3" w:rsidRDefault="001C7E6F" w:rsidP="00BD3046">
            <w:pPr>
              <w:spacing w:after="0" w:line="240" w:lineRule="auto"/>
              <w:rPr>
                <w:rFonts w:ascii="Arial" w:eastAsia="Arial" w:hAnsi="Arial" w:cs="Arial"/>
                <w:color w:val="000000"/>
                <w:sz w:val="18"/>
                <w:szCs w:val="18"/>
              </w:rPr>
            </w:pPr>
            <w:r w:rsidRPr="00ED5BA3">
              <w:rPr>
                <w:rFonts w:ascii="Arial" w:eastAsia="Arial" w:hAnsi="Arial" w:cs="Arial"/>
                <w:color w:val="000000"/>
                <w:sz w:val="18"/>
                <w:szCs w:val="18"/>
              </w:rPr>
              <w:t>Planejamento</w:t>
            </w:r>
            <w:r>
              <w:rPr>
                <w:rFonts w:ascii="Arial" w:eastAsia="Arial" w:hAnsi="Arial" w:cs="Arial"/>
                <w:color w:val="000000"/>
                <w:sz w:val="18"/>
                <w:szCs w:val="18"/>
              </w:rPr>
              <w:t xml:space="preserve"> Orçamentário: Avançado (66</w:t>
            </w:r>
            <w:r w:rsidRPr="00ED5BA3">
              <w:rPr>
                <w:rFonts w:ascii="Arial" w:eastAsia="Arial" w:hAnsi="Arial" w:cs="Arial"/>
                <w:color w:val="000000"/>
                <w:sz w:val="18"/>
                <w:szCs w:val="18"/>
              </w:rPr>
              <w:t>%).</w:t>
            </w:r>
          </w:p>
          <w:p w14:paraId="699468DC" w14:textId="77777777" w:rsidR="001C7E6F" w:rsidRPr="00ED5BA3" w:rsidRDefault="001C7E6F" w:rsidP="00BD3046">
            <w:pPr>
              <w:spacing w:after="0" w:line="240" w:lineRule="auto"/>
              <w:rPr>
                <w:rFonts w:ascii="Arial" w:eastAsia="Arial" w:hAnsi="Arial" w:cs="Arial"/>
                <w:color w:val="000000"/>
                <w:sz w:val="18"/>
                <w:szCs w:val="18"/>
              </w:rPr>
            </w:pPr>
            <w:r w:rsidRPr="00ED5BA3">
              <w:rPr>
                <w:rFonts w:ascii="Arial" w:eastAsia="Arial" w:hAnsi="Arial" w:cs="Arial"/>
                <w:color w:val="000000"/>
                <w:sz w:val="18"/>
                <w:szCs w:val="18"/>
              </w:rPr>
              <w:t>Execução Orçamentária e Financei</w:t>
            </w:r>
            <w:r>
              <w:rPr>
                <w:rFonts w:ascii="Arial" w:eastAsia="Arial" w:hAnsi="Arial" w:cs="Arial"/>
                <w:color w:val="000000"/>
                <w:sz w:val="18"/>
                <w:szCs w:val="18"/>
              </w:rPr>
              <w:t>ra: Intermediário (54</w:t>
            </w:r>
            <w:r w:rsidRPr="00ED5BA3">
              <w:rPr>
                <w:rFonts w:ascii="Arial" w:eastAsia="Arial" w:hAnsi="Arial" w:cs="Arial"/>
                <w:color w:val="000000"/>
                <w:sz w:val="18"/>
                <w:szCs w:val="18"/>
              </w:rPr>
              <w:t>%).</w:t>
            </w:r>
          </w:p>
          <w:p w14:paraId="7D87B076" w14:textId="77777777" w:rsidR="001C7E6F" w:rsidRDefault="001C7E6F" w:rsidP="00BD3046">
            <w:pPr>
              <w:spacing w:after="0" w:line="240" w:lineRule="auto"/>
              <w:rPr>
                <w:rFonts w:ascii="Arial" w:eastAsia="Arial" w:hAnsi="Arial" w:cs="Arial"/>
                <w:color w:val="000000"/>
                <w:sz w:val="18"/>
                <w:szCs w:val="18"/>
              </w:rPr>
            </w:pPr>
          </w:p>
          <w:p w14:paraId="59899853" w14:textId="77777777" w:rsidR="001C7E6F" w:rsidRPr="00F752CE" w:rsidRDefault="001C7E6F" w:rsidP="00BD3046">
            <w:pPr>
              <w:spacing w:after="0" w:line="240" w:lineRule="auto"/>
              <w:jc w:val="both"/>
              <w:rPr>
                <w:rFonts w:ascii="Arial" w:eastAsia="Arial" w:hAnsi="Arial" w:cs="Arial"/>
                <w:color w:val="000000"/>
                <w:sz w:val="18"/>
                <w:szCs w:val="18"/>
              </w:rPr>
            </w:pPr>
            <w:r w:rsidRPr="00F752CE">
              <w:rPr>
                <w:rFonts w:ascii="Arial" w:eastAsia="Arial" w:hAnsi="Arial" w:cs="Arial"/>
                <w:color w:val="000000"/>
                <w:sz w:val="18"/>
                <w:szCs w:val="18"/>
              </w:rPr>
              <w:t>De modo geral, o FECP-RJ pode ser classificado como um Fundo de maturidade normativa e arrecadatória plena, sustentado por base legal, legitimidade política e boas práticas de transparência. Contudo, apresenta limitações relevantes no planejamento e, sobretudo, na execução, o que demonstra que a arrecada</w:t>
            </w:r>
            <w:r>
              <w:rPr>
                <w:rFonts w:ascii="Arial" w:eastAsia="Arial" w:hAnsi="Arial" w:cs="Arial"/>
                <w:color w:val="000000"/>
                <w:sz w:val="18"/>
                <w:szCs w:val="18"/>
              </w:rPr>
              <w:t>ção</w:t>
            </w:r>
            <w:r w:rsidRPr="00F752CE">
              <w:rPr>
                <w:rFonts w:ascii="Arial" w:eastAsia="Arial" w:hAnsi="Arial" w:cs="Arial"/>
                <w:color w:val="000000"/>
                <w:sz w:val="18"/>
                <w:szCs w:val="18"/>
              </w:rPr>
              <w:t xml:space="preserve"> ainda não se converte de forma consistente em resultados sociais mensuráveis.</w:t>
            </w:r>
          </w:p>
          <w:p w14:paraId="0EA592EE" w14:textId="77777777" w:rsidR="001C7E6F" w:rsidRPr="00F752CE" w:rsidRDefault="001C7E6F" w:rsidP="00BD3046">
            <w:pPr>
              <w:spacing w:after="0" w:line="240" w:lineRule="auto"/>
              <w:jc w:val="both"/>
              <w:rPr>
                <w:rFonts w:ascii="Arial" w:eastAsia="Arial" w:hAnsi="Arial" w:cs="Arial"/>
                <w:color w:val="000000"/>
                <w:sz w:val="18"/>
                <w:szCs w:val="18"/>
              </w:rPr>
            </w:pPr>
          </w:p>
          <w:p w14:paraId="010261B9" w14:textId="77777777" w:rsidR="001C7E6F" w:rsidRDefault="001C7E6F" w:rsidP="00BD3046">
            <w:pPr>
              <w:spacing w:after="0" w:line="240" w:lineRule="auto"/>
              <w:jc w:val="both"/>
              <w:rPr>
                <w:rFonts w:ascii="Arial" w:eastAsia="Arial" w:hAnsi="Arial" w:cs="Arial"/>
                <w:color w:val="000000"/>
                <w:sz w:val="18"/>
                <w:szCs w:val="18"/>
              </w:rPr>
            </w:pPr>
            <w:r w:rsidRPr="00F752CE">
              <w:rPr>
                <w:rFonts w:ascii="Arial" w:eastAsia="Arial" w:hAnsi="Arial" w:cs="Arial"/>
                <w:color w:val="000000"/>
                <w:sz w:val="18"/>
                <w:szCs w:val="18"/>
              </w:rPr>
              <w:t>Assim, os principais gargalos que impedem o avanço do Fundo para um nível de Maturidade “Referência” estão concentrados nas dimensões de natureza institucional e avaliativa, especificamente:</w:t>
            </w:r>
          </w:p>
          <w:p w14:paraId="536B9E98" w14:textId="77777777" w:rsidR="001C7E6F" w:rsidRDefault="001C7E6F" w:rsidP="00BD3046">
            <w:pPr>
              <w:spacing w:after="0" w:line="240" w:lineRule="auto"/>
              <w:jc w:val="both"/>
              <w:rPr>
                <w:rFonts w:ascii="Arial" w:eastAsia="Arial" w:hAnsi="Arial" w:cs="Arial"/>
                <w:color w:val="000000"/>
                <w:sz w:val="18"/>
                <w:szCs w:val="18"/>
              </w:rPr>
            </w:pPr>
          </w:p>
          <w:p w14:paraId="62B00363" w14:textId="77777777" w:rsidR="001C7E6F" w:rsidRPr="00F752CE" w:rsidRDefault="001C7E6F" w:rsidP="0032733E">
            <w:pPr>
              <w:pStyle w:val="PargrafodaLista"/>
              <w:numPr>
                <w:ilvl w:val="0"/>
                <w:numId w:val="20"/>
              </w:numPr>
              <w:spacing w:after="0" w:line="240" w:lineRule="auto"/>
              <w:rPr>
                <w:rFonts w:eastAsia="Arial"/>
                <w:color w:val="000000"/>
                <w:sz w:val="18"/>
                <w:szCs w:val="18"/>
              </w:rPr>
            </w:pPr>
            <w:r w:rsidRPr="00F752CE">
              <w:rPr>
                <w:rFonts w:eastAsia="Arial"/>
                <w:color w:val="000000"/>
                <w:sz w:val="18"/>
                <w:szCs w:val="18"/>
              </w:rPr>
              <w:t>Execução Institucional e Organizacional (0%): ausência de estruturas permanentes e equipes técnicas dedicadas ao acompanhamento e monitoramento da execução.</w:t>
            </w:r>
          </w:p>
          <w:p w14:paraId="157ECDED" w14:textId="77777777" w:rsidR="001C7E6F" w:rsidRPr="00F752CE" w:rsidRDefault="001C7E6F" w:rsidP="0032733E">
            <w:pPr>
              <w:pStyle w:val="PargrafodaLista"/>
              <w:numPr>
                <w:ilvl w:val="0"/>
                <w:numId w:val="20"/>
              </w:numPr>
              <w:spacing w:after="0" w:line="240" w:lineRule="auto"/>
              <w:rPr>
                <w:rFonts w:eastAsia="Arial"/>
                <w:color w:val="000000"/>
                <w:sz w:val="18"/>
                <w:szCs w:val="18"/>
              </w:rPr>
            </w:pPr>
            <w:r w:rsidRPr="00F752CE">
              <w:rPr>
                <w:rFonts w:eastAsia="Arial"/>
                <w:color w:val="000000"/>
                <w:sz w:val="18"/>
                <w:szCs w:val="18"/>
              </w:rPr>
              <w:t>Planejamento Político-Institucional (14%): fragilidade de articulação política e falta de critérios objetivos para orientar a alocação dos recursos, comprometendo a legitimidade e a previsibilidade das decisões.</w:t>
            </w:r>
          </w:p>
          <w:p w14:paraId="3CAEB239" w14:textId="77777777" w:rsidR="001C7E6F" w:rsidRPr="00F752CE" w:rsidRDefault="001C7E6F" w:rsidP="0032733E">
            <w:pPr>
              <w:pStyle w:val="PargrafodaLista"/>
              <w:numPr>
                <w:ilvl w:val="0"/>
                <w:numId w:val="20"/>
              </w:numPr>
              <w:spacing w:after="0" w:line="240" w:lineRule="auto"/>
              <w:rPr>
                <w:rFonts w:eastAsia="Arial"/>
                <w:color w:val="000000"/>
                <w:sz w:val="18"/>
                <w:szCs w:val="18"/>
              </w:rPr>
            </w:pPr>
            <w:r w:rsidRPr="00F752CE">
              <w:rPr>
                <w:rFonts w:eastAsia="Arial"/>
                <w:color w:val="000000"/>
                <w:sz w:val="18"/>
                <w:szCs w:val="18"/>
              </w:rPr>
              <w:t>Histórico-Evolutiva (33%): baixa capacidade de sistematizar aprendizados passados, limitando a consolidação de rotinas e boas práticas de governança.</w:t>
            </w:r>
          </w:p>
          <w:p w14:paraId="14F8063B" w14:textId="77777777" w:rsidR="001C7E6F" w:rsidRPr="00F752CE" w:rsidRDefault="001C7E6F" w:rsidP="00BD3046">
            <w:pPr>
              <w:spacing w:after="0" w:line="240" w:lineRule="auto"/>
              <w:rPr>
                <w:rFonts w:eastAsia="Arial"/>
                <w:color w:val="000000"/>
                <w:sz w:val="18"/>
                <w:szCs w:val="18"/>
              </w:rPr>
            </w:pPr>
          </w:p>
        </w:tc>
      </w:tr>
    </w:tbl>
    <w:p w14:paraId="35416AEF" w14:textId="77777777"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lastRenderedPageBreak/>
        <w:t>Fonte: Elaboração própria.</w:t>
      </w:r>
    </w:p>
    <w:p w14:paraId="29B01DD4" w14:textId="3848D31B"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5CD78946" w14:textId="53BA33CC"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2961EC22" w14:textId="2CAC91B8"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735F109D" w14:textId="210D4FE6"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16BEDD95" w14:textId="33476B5B"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55EE4DCF" w14:textId="322BF08A"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5AB7BF04" w14:textId="5627D0F9"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5088B619" w14:textId="27BECE86"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5E05C4AB" w14:textId="1E56B3BB"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7F39DE14" w14:textId="6A099A9A"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0D7CF12C" w14:textId="0D3CD5B1"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71DE9D52" w14:textId="04465192"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18B40E68" w14:textId="4E996061"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6D1356B5" w14:textId="19F2460F"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7E765AED" w14:textId="1D8B401E"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022788DB" w14:textId="41B9F7C0"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16625174" w14:textId="54DB8B4F"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057C2A13" w14:textId="0766BC40"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0B509036" w14:textId="2CB91A7F"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543A3A6D" w14:textId="58E03B97"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2D5B0173" w14:textId="17535A58"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73BD92F8" w14:textId="4ABC2C5A"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2FFE6711" w14:textId="4DC4C001"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1006D57C" w14:textId="7138B7D5"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27F152A7" w14:textId="6FFC9646" w:rsidR="001C7E6F" w:rsidRDefault="001C7E6F" w:rsidP="001C7E6F">
      <w:pPr>
        <w:pBdr>
          <w:top w:val="nil"/>
          <w:left w:val="nil"/>
          <w:bottom w:val="nil"/>
          <w:right w:val="nil"/>
          <w:between w:val="nil"/>
        </w:pBdr>
        <w:spacing w:after="0" w:line="360" w:lineRule="auto"/>
        <w:jc w:val="both"/>
        <w:rPr>
          <w:rFonts w:ascii="Arial" w:eastAsia="Arial" w:hAnsi="Arial" w:cs="Arial"/>
          <w:color w:val="000000"/>
          <w:sz w:val="20"/>
          <w:szCs w:val="20"/>
        </w:rPr>
      </w:pPr>
    </w:p>
    <w:p w14:paraId="79D2AB33" w14:textId="5971F459" w:rsidR="001C7E6F" w:rsidRPr="001C7E6F" w:rsidRDefault="001C7E6F" w:rsidP="001C7E6F">
      <w:pPr>
        <w:keepNext/>
        <w:pBdr>
          <w:top w:val="nil"/>
          <w:left w:val="nil"/>
          <w:bottom w:val="nil"/>
          <w:right w:val="nil"/>
          <w:between w:val="nil"/>
        </w:pBdr>
        <w:spacing w:after="0" w:line="360" w:lineRule="auto"/>
        <w:jc w:val="center"/>
        <w:rPr>
          <w:rFonts w:ascii="Arial" w:eastAsia="Arial" w:hAnsi="Arial" w:cs="Arial"/>
          <w:color w:val="000000"/>
          <w:szCs w:val="20"/>
        </w:rPr>
      </w:pPr>
      <w:r>
        <w:rPr>
          <w:rFonts w:ascii="Arial" w:eastAsia="Arial" w:hAnsi="Arial" w:cs="Arial"/>
          <w:color w:val="000000"/>
          <w:szCs w:val="20"/>
        </w:rPr>
        <w:lastRenderedPageBreak/>
        <w:t>ANEXO</w:t>
      </w:r>
      <w:r w:rsidRPr="001C7E6F">
        <w:rPr>
          <w:rFonts w:ascii="Arial" w:eastAsia="Arial" w:hAnsi="Arial" w:cs="Arial"/>
          <w:color w:val="000000"/>
          <w:szCs w:val="20"/>
        </w:rPr>
        <w:t xml:space="preserve"> – MATRIZ DE RECOMENDAÇÃO DO FECP-RJ</w:t>
      </w:r>
    </w:p>
    <w:tbl>
      <w:tblPr>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560"/>
        <w:gridCol w:w="3685"/>
        <w:gridCol w:w="3821"/>
      </w:tblGrid>
      <w:tr w:rsidR="001C7E6F" w:rsidRPr="004872E9" w14:paraId="5F0752C4" w14:textId="77777777" w:rsidTr="00BD3046">
        <w:trPr>
          <w:trHeight w:val="225"/>
        </w:trPr>
        <w:tc>
          <w:tcPr>
            <w:tcW w:w="1560" w:type="dxa"/>
            <w:shd w:val="clear" w:color="auto" w:fill="auto"/>
            <w:vAlign w:val="center"/>
            <w:hideMark/>
          </w:tcPr>
          <w:p w14:paraId="21FEB69F" w14:textId="77777777" w:rsidR="001C7E6F" w:rsidRPr="004872E9" w:rsidRDefault="001C7E6F" w:rsidP="00BD3046">
            <w:pPr>
              <w:spacing w:after="0" w:line="240" w:lineRule="auto"/>
              <w:jc w:val="center"/>
              <w:rPr>
                <w:rFonts w:ascii="Arial" w:eastAsia="Times New Roman" w:hAnsi="Arial" w:cs="Arial"/>
                <w:b/>
                <w:bCs/>
                <w:color w:val="000000"/>
                <w:sz w:val="18"/>
                <w:szCs w:val="18"/>
                <w:lang w:eastAsia="pt-BR"/>
              </w:rPr>
            </w:pPr>
            <w:r w:rsidRPr="004872E9">
              <w:rPr>
                <w:rFonts w:ascii="Arial" w:eastAsia="Times New Roman" w:hAnsi="Arial" w:cs="Arial"/>
                <w:b/>
                <w:bCs/>
                <w:color w:val="000000"/>
                <w:sz w:val="18"/>
                <w:szCs w:val="18"/>
                <w:lang w:eastAsia="pt-BR"/>
              </w:rPr>
              <w:t>Responsável</w:t>
            </w:r>
          </w:p>
        </w:tc>
        <w:tc>
          <w:tcPr>
            <w:tcW w:w="3685" w:type="dxa"/>
            <w:shd w:val="clear" w:color="auto" w:fill="auto"/>
            <w:vAlign w:val="center"/>
            <w:hideMark/>
          </w:tcPr>
          <w:p w14:paraId="43B0A53D" w14:textId="77777777" w:rsidR="001C7E6F" w:rsidRPr="004872E9" w:rsidRDefault="001C7E6F" w:rsidP="00BD3046">
            <w:pPr>
              <w:spacing w:after="0" w:line="240" w:lineRule="auto"/>
              <w:jc w:val="center"/>
              <w:rPr>
                <w:rFonts w:ascii="Arial" w:eastAsia="Times New Roman" w:hAnsi="Arial" w:cs="Arial"/>
                <w:b/>
                <w:bCs/>
                <w:color w:val="000000"/>
                <w:sz w:val="18"/>
                <w:szCs w:val="18"/>
                <w:lang w:eastAsia="pt-BR"/>
              </w:rPr>
            </w:pPr>
            <w:r w:rsidRPr="004872E9">
              <w:rPr>
                <w:rFonts w:ascii="Arial" w:eastAsia="Times New Roman" w:hAnsi="Arial" w:cs="Arial"/>
                <w:b/>
                <w:bCs/>
                <w:color w:val="000000"/>
                <w:sz w:val="18"/>
                <w:szCs w:val="18"/>
                <w:lang w:eastAsia="pt-BR"/>
              </w:rPr>
              <w:t>Ações Preventivas (Riscos associados)</w:t>
            </w:r>
          </w:p>
        </w:tc>
        <w:tc>
          <w:tcPr>
            <w:tcW w:w="3821" w:type="dxa"/>
            <w:shd w:val="clear" w:color="auto" w:fill="auto"/>
            <w:vAlign w:val="center"/>
            <w:hideMark/>
          </w:tcPr>
          <w:p w14:paraId="6ABFE6D4" w14:textId="77777777" w:rsidR="001C7E6F" w:rsidRPr="004872E9" w:rsidRDefault="001C7E6F" w:rsidP="00BD3046">
            <w:pPr>
              <w:spacing w:after="0" w:line="240" w:lineRule="auto"/>
              <w:jc w:val="center"/>
              <w:rPr>
                <w:rFonts w:ascii="Arial" w:eastAsia="Times New Roman" w:hAnsi="Arial" w:cs="Arial"/>
                <w:b/>
                <w:bCs/>
                <w:color w:val="000000"/>
                <w:sz w:val="18"/>
                <w:szCs w:val="18"/>
                <w:lang w:eastAsia="pt-BR"/>
              </w:rPr>
            </w:pPr>
            <w:r w:rsidRPr="004872E9">
              <w:rPr>
                <w:rFonts w:ascii="Arial" w:eastAsia="Times New Roman" w:hAnsi="Arial" w:cs="Arial"/>
                <w:b/>
                <w:bCs/>
                <w:color w:val="000000"/>
                <w:sz w:val="18"/>
                <w:szCs w:val="18"/>
                <w:lang w:eastAsia="pt-BR"/>
              </w:rPr>
              <w:t>Ações de Contingência (Riscos associados)</w:t>
            </w:r>
          </w:p>
        </w:tc>
      </w:tr>
      <w:tr w:rsidR="001C7E6F" w:rsidRPr="004872E9" w14:paraId="1169A699" w14:textId="77777777" w:rsidTr="00BD3046">
        <w:trPr>
          <w:trHeight w:val="900"/>
        </w:trPr>
        <w:tc>
          <w:tcPr>
            <w:tcW w:w="1560" w:type="dxa"/>
            <w:shd w:val="clear" w:color="auto" w:fill="auto"/>
            <w:vAlign w:val="center"/>
            <w:hideMark/>
          </w:tcPr>
          <w:p w14:paraId="36FF1DCB" w14:textId="77777777" w:rsidR="001C7E6F" w:rsidRPr="004872E9" w:rsidRDefault="001C7E6F" w:rsidP="00BD3046">
            <w:pPr>
              <w:spacing w:after="0" w:line="240" w:lineRule="auto"/>
              <w:rPr>
                <w:rFonts w:ascii="Arial" w:eastAsia="Times New Roman" w:hAnsi="Arial" w:cs="Arial"/>
                <w:b/>
                <w:bCs/>
                <w:color w:val="000000"/>
                <w:sz w:val="18"/>
                <w:szCs w:val="18"/>
                <w:lang w:eastAsia="pt-BR"/>
              </w:rPr>
            </w:pPr>
            <w:r w:rsidRPr="004872E9">
              <w:rPr>
                <w:rFonts w:ascii="Arial" w:eastAsia="Times New Roman" w:hAnsi="Arial" w:cs="Arial"/>
                <w:b/>
                <w:bCs/>
                <w:color w:val="000000"/>
                <w:sz w:val="18"/>
                <w:szCs w:val="18"/>
                <w:lang w:eastAsia="pt-BR"/>
              </w:rPr>
              <w:t>Conselho Gestor do Fundo (CGF)</w:t>
            </w:r>
          </w:p>
        </w:tc>
        <w:tc>
          <w:tcPr>
            <w:tcW w:w="3685" w:type="dxa"/>
            <w:shd w:val="clear" w:color="auto" w:fill="auto"/>
            <w:vAlign w:val="center"/>
            <w:hideMark/>
          </w:tcPr>
          <w:p w14:paraId="7426C07F"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Elaborar e aprovar PA/PAF anual em calendário fixo (R10, R32).</w:t>
            </w:r>
          </w:p>
          <w:p w14:paraId="0DB3BA7B"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Garantir paridade entre governo e sociedade civil (R40).</w:t>
            </w:r>
          </w:p>
          <w:p w14:paraId="4305BB5A"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Assegurar acompanhamento colegiado das execuções (R31, R32).</w:t>
            </w:r>
          </w:p>
        </w:tc>
        <w:tc>
          <w:tcPr>
            <w:tcW w:w="3821" w:type="dxa"/>
            <w:shd w:val="clear" w:color="auto" w:fill="auto"/>
            <w:vAlign w:val="center"/>
            <w:hideMark/>
          </w:tcPr>
          <w:p w14:paraId="4DF14E27"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Aprovar PA emergencial em caso de atraso (R10).</w:t>
            </w:r>
          </w:p>
          <w:p w14:paraId="3D4FFB92"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Recompor cadeiras e recomposição imediata em caso de desequilíbrio (R40).</w:t>
            </w:r>
          </w:p>
          <w:p w14:paraId="4072DBDE"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Validar reprogramações priorizando entregas sociais (R50).</w:t>
            </w:r>
          </w:p>
        </w:tc>
      </w:tr>
      <w:tr w:rsidR="001C7E6F" w:rsidRPr="004872E9" w14:paraId="5013244D" w14:textId="77777777" w:rsidTr="00BD3046">
        <w:trPr>
          <w:trHeight w:val="900"/>
        </w:trPr>
        <w:tc>
          <w:tcPr>
            <w:tcW w:w="1560" w:type="dxa"/>
            <w:shd w:val="clear" w:color="auto" w:fill="auto"/>
            <w:vAlign w:val="center"/>
            <w:hideMark/>
          </w:tcPr>
          <w:p w14:paraId="1D28F1FC" w14:textId="77777777" w:rsidR="001C7E6F" w:rsidRPr="004872E9" w:rsidRDefault="001C7E6F" w:rsidP="00BD3046">
            <w:pPr>
              <w:spacing w:after="0" w:line="240" w:lineRule="auto"/>
              <w:rPr>
                <w:rFonts w:ascii="Arial" w:eastAsia="Times New Roman" w:hAnsi="Arial" w:cs="Arial"/>
                <w:b/>
                <w:bCs/>
                <w:color w:val="000000"/>
                <w:sz w:val="18"/>
                <w:szCs w:val="18"/>
                <w:lang w:eastAsia="pt-BR"/>
              </w:rPr>
            </w:pPr>
            <w:r w:rsidRPr="004872E9">
              <w:rPr>
                <w:rFonts w:ascii="Arial" w:eastAsia="Times New Roman" w:hAnsi="Arial" w:cs="Arial"/>
                <w:b/>
                <w:bCs/>
                <w:color w:val="000000"/>
                <w:sz w:val="18"/>
                <w:szCs w:val="18"/>
                <w:lang w:eastAsia="pt-BR"/>
              </w:rPr>
              <w:t>Órgão Gestor do Fundo (OGF)</w:t>
            </w:r>
          </w:p>
        </w:tc>
        <w:tc>
          <w:tcPr>
            <w:tcW w:w="3685" w:type="dxa"/>
            <w:shd w:val="clear" w:color="auto" w:fill="auto"/>
            <w:vAlign w:val="center"/>
            <w:hideMark/>
          </w:tcPr>
          <w:p w14:paraId="46D7FF14"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Assegurar execução financeira regular e aderente às metas (R25, R28, R50).</w:t>
            </w:r>
          </w:p>
          <w:p w14:paraId="67617463" w14:textId="77777777" w:rsidR="001C7E6F" w:rsidRDefault="001C7E6F" w:rsidP="00BD3046">
            <w:pPr>
              <w:spacing w:after="0" w:line="240" w:lineRule="auto"/>
              <w:rPr>
                <w:rFonts w:ascii="Arial" w:eastAsia="Times New Roman" w:hAnsi="Arial" w:cs="Arial"/>
                <w:color w:val="000000"/>
                <w:sz w:val="18"/>
                <w:szCs w:val="18"/>
                <w:lang w:eastAsia="pt-BR"/>
              </w:rPr>
            </w:pPr>
            <w:r w:rsidRPr="00414BBC">
              <w:rPr>
                <w:rFonts w:ascii="Arial" w:eastAsia="Times New Roman" w:hAnsi="Arial" w:cs="Arial"/>
                <w:color w:val="000000"/>
                <w:sz w:val="18"/>
                <w:szCs w:val="18"/>
                <w:lang w:eastAsia="pt-BR"/>
              </w:rPr>
              <w:t>- Garantir rastreabilidade das despesas (R50, R51).</w:t>
            </w:r>
          </w:p>
          <w:p w14:paraId="20BAD6CE"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Implantar painel de monitoramento e indicadores de impacto (R50, R51).</w:t>
            </w:r>
          </w:p>
          <w:p w14:paraId="3ACF5256"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Prestar contas ativamente ao MP e TC (R47).</w:t>
            </w:r>
          </w:p>
        </w:tc>
        <w:tc>
          <w:tcPr>
            <w:tcW w:w="3821" w:type="dxa"/>
            <w:shd w:val="clear" w:color="auto" w:fill="auto"/>
            <w:vAlign w:val="center"/>
            <w:hideMark/>
          </w:tcPr>
          <w:p w14:paraId="3E967B3E"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Revisar metas ou suplementar dotações em caso de baixa execução (R25, R50).</w:t>
            </w:r>
          </w:p>
          <w:p w14:paraId="2E02D6BC" w14:textId="77777777" w:rsidR="001C7E6F" w:rsidRPr="00414BBC" w:rsidRDefault="001C7E6F" w:rsidP="00BD3046">
            <w:pPr>
              <w:spacing w:after="0" w:line="240" w:lineRule="auto"/>
              <w:rPr>
                <w:rFonts w:ascii="Arial" w:eastAsia="Times New Roman" w:hAnsi="Arial" w:cs="Arial"/>
                <w:color w:val="000000"/>
                <w:sz w:val="18"/>
                <w:szCs w:val="18"/>
                <w:lang w:eastAsia="pt-BR"/>
              </w:rPr>
            </w:pPr>
            <w:r w:rsidRPr="00414BBC">
              <w:rPr>
                <w:rFonts w:ascii="Arial" w:eastAsia="Times New Roman" w:hAnsi="Arial" w:cs="Arial"/>
                <w:color w:val="000000"/>
                <w:sz w:val="18"/>
                <w:szCs w:val="18"/>
                <w:lang w:eastAsia="pt-BR"/>
              </w:rPr>
              <w:t>- Reprogramar recursos priorizando ações finalísticas (R22, R23, R50).</w:t>
            </w:r>
          </w:p>
          <w:p w14:paraId="3DF4C2A3" w14:textId="77777777" w:rsidR="001C7E6F" w:rsidRPr="00414BBC" w:rsidRDefault="001C7E6F" w:rsidP="00BD3046">
            <w:pPr>
              <w:spacing w:after="0" w:line="240" w:lineRule="auto"/>
              <w:rPr>
                <w:rFonts w:ascii="Arial" w:eastAsia="Times New Roman" w:hAnsi="Arial" w:cs="Arial"/>
                <w:color w:val="000000"/>
                <w:sz w:val="18"/>
                <w:szCs w:val="18"/>
                <w:lang w:eastAsia="pt-BR"/>
              </w:rPr>
            </w:pPr>
            <w:r w:rsidRPr="00414BBC">
              <w:rPr>
                <w:rFonts w:ascii="Arial" w:eastAsia="Times New Roman" w:hAnsi="Arial" w:cs="Arial"/>
                <w:color w:val="000000"/>
                <w:sz w:val="18"/>
                <w:szCs w:val="18"/>
                <w:lang w:eastAsia="pt-BR"/>
              </w:rPr>
              <w:t>- Ajustar cronograma de desembolso em caso de baixa execução (R23).</w:t>
            </w:r>
          </w:p>
          <w:p w14:paraId="71DBC6F8" w14:textId="77777777" w:rsidR="001C7E6F" w:rsidRDefault="001C7E6F" w:rsidP="00BD3046">
            <w:pPr>
              <w:spacing w:after="0" w:line="240" w:lineRule="auto"/>
              <w:rPr>
                <w:rFonts w:ascii="Arial" w:eastAsia="Times New Roman" w:hAnsi="Arial" w:cs="Arial"/>
                <w:color w:val="000000"/>
                <w:sz w:val="18"/>
                <w:szCs w:val="18"/>
                <w:lang w:eastAsia="pt-BR"/>
              </w:rPr>
            </w:pPr>
            <w:r w:rsidRPr="00414BBC">
              <w:rPr>
                <w:rFonts w:ascii="Arial" w:eastAsia="Times New Roman" w:hAnsi="Arial" w:cs="Arial"/>
                <w:color w:val="000000"/>
                <w:sz w:val="18"/>
                <w:szCs w:val="18"/>
                <w:lang w:eastAsia="pt-BR"/>
              </w:rPr>
              <w:t>- Revisar ações e corrigir falhas de elegibilidade (R51).</w:t>
            </w:r>
          </w:p>
          <w:p w14:paraId="176D1D8B"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Corrigir falhas apontadas por órgãos de controle (R45, R46, R47).</w:t>
            </w:r>
          </w:p>
        </w:tc>
      </w:tr>
      <w:tr w:rsidR="001C7E6F" w:rsidRPr="004872E9" w14:paraId="204D7C32" w14:textId="77777777" w:rsidTr="00BD3046">
        <w:trPr>
          <w:trHeight w:val="900"/>
        </w:trPr>
        <w:tc>
          <w:tcPr>
            <w:tcW w:w="1560" w:type="dxa"/>
            <w:shd w:val="clear" w:color="auto" w:fill="auto"/>
            <w:vAlign w:val="center"/>
            <w:hideMark/>
          </w:tcPr>
          <w:p w14:paraId="096490C4" w14:textId="77777777" w:rsidR="001C7E6F" w:rsidRPr="004872E9" w:rsidRDefault="001C7E6F" w:rsidP="00BD3046">
            <w:pPr>
              <w:spacing w:after="0" w:line="240" w:lineRule="auto"/>
              <w:rPr>
                <w:rFonts w:ascii="Arial" w:eastAsia="Times New Roman" w:hAnsi="Arial" w:cs="Arial"/>
                <w:b/>
                <w:bCs/>
                <w:color w:val="000000"/>
                <w:sz w:val="18"/>
                <w:szCs w:val="18"/>
                <w:lang w:eastAsia="pt-BR"/>
              </w:rPr>
            </w:pPr>
            <w:r w:rsidRPr="004872E9">
              <w:rPr>
                <w:rFonts w:ascii="Arial" w:eastAsia="Times New Roman" w:hAnsi="Arial" w:cs="Arial"/>
                <w:b/>
                <w:bCs/>
                <w:color w:val="000000"/>
                <w:sz w:val="18"/>
                <w:szCs w:val="18"/>
                <w:lang w:eastAsia="pt-BR"/>
              </w:rPr>
              <w:t>Secretaria de Fazenda (SEFAZ)</w:t>
            </w:r>
          </w:p>
        </w:tc>
        <w:tc>
          <w:tcPr>
            <w:tcW w:w="3685" w:type="dxa"/>
            <w:shd w:val="clear" w:color="auto" w:fill="auto"/>
            <w:vAlign w:val="center"/>
            <w:hideMark/>
          </w:tcPr>
          <w:p w14:paraId="72126D2B"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Garantir repasses em cronograma fixo e blindagem contra contingenciamentos (R16, R25).</w:t>
            </w:r>
          </w:p>
          <w:p w14:paraId="47F2ECC7"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Prevenir desvinculações de receitas por normas protetivas (R26, R28).</w:t>
            </w:r>
          </w:p>
        </w:tc>
        <w:tc>
          <w:tcPr>
            <w:tcW w:w="3821" w:type="dxa"/>
            <w:shd w:val="clear" w:color="auto" w:fill="auto"/>
            <w:vAlign w:val="center"/>
            <w:hideMark/>
          </w:tcPr>
          <w:p w14:paraId="4D726655"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Reprogramar desembolsos priorizando áreas essenciais (R16, R25).</w:t>
            </w:r>
          </w:p>
          <w:p w14:paraId="38CCB521"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Recompor perdas de receitas por suplementação e priorização finalística (R26, R28).</w:t>
            </w:r>
          </w:p>
        </w:tc>
      </w:tr>
      <w:tr w:rsidR="001C7E6F" w:rsidRPr="004872E9" w14:paraId="352A31F2" w14:textId="77777777" w:rsidTr="00BD3046">
        <w:trPr>
          <w:trHeight w:val="1125"/>
        </w:trPr>
        <w:tc>
          <w:tcPr>
            <w:tcW w:w="1560" w:type="dxa"/>
            <w:shd w:val="clear" w:color="auto" w:fill="auto"/>
            <w:vAlign w:val="center"/>
            <w:hideMark/>
          </w:tcPr>
          <w:p w14:paraId="57A24F66" w14:textId="77777777" w:rsidR="001C7E6F" w:rsidRPr="004872E9" w:rsidRDefault="001C7E6F" w:rsidP="00BD3046">
            <w:pPr>
              <w:spacing w:after="0" w:line="240" w:lineRule="auto"/>
              <w:rPr>
                <w:rFonts w:ascii="Arial" w:eastAsia="Times New Roman" w:hAnsi="Arial" w:cs="Arial"/>
                <w:b/>
                <w:bCs/>
                <w:color w:val="000000"/>
                <w:sz w:val="18"/>
                <w:szCs w:val="18"/>
                <w:lang w:eastAsia="pt-BR"/>
              </w:rPr>
            </w:pPr>
            <w:r w:rsidRPr="004872E9">
              <w:rPr>
                <w:rFonts w:ascii="Arial" w:eastAsia="Times New Roman" w:hAnsi="Arial" w:cs="Arial"/>
                <w:b/>
                <w:bCs/>
                <w:color w:val="000000"/>
                <w:sz w:val="18"/>
                <w:szCs w:val="18"/>
                <w:lang w:eastAsia="pt-BR"/>
              </w:rPr>
              <w:t>Controladoria Interna (CI)</w:t>
            </w:r>
          </w:p>
        </w:tc>
        <w:tc>
          <w:tcPr>
            <w:tcW w:w="3685" w:type="dxa"/>
            <w:shd w:val="clear" w:color="auto" w:fill="auto"/>
            <w:vAlign w:val="center"/>
            <w:hideMark/>
          </w:tcPr>
          <w:p w14:paraId="08CCCF9A"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Realizar auditorias periódicas independentes e plano anual de fiscalização (R45).</w:t>
            </w:r>
          </w:p>
          <w:p w14:paraId="34450EBA"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Implementar programa de integridade e canais de denúncia (R48).</w:t>
            </w:r>
          </w:p>
          <w:p w14:paraId="5852CFDC"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Exigir análise prévia de elegibilidade das despesas (R51).</w:t>
            </w:r>
          </w:p>
        </w:tc>
        <w:tc>
          <w:tcPr>
            <w:tcW w:w="3821" w:type="dxa"/>
            <w:shd w:val="clear" w:color="auto" w:fill="auto"/>
            <w:vAlign w:val="center"/>
            <w:hideMark/>
          </w:tcPr>
          <w:p w14:paraId="7BFD0009"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Executar plano de saneamento de irregularidades junto ao TC (R46).</w:t>
            </w:r>
          </w:p>
          <w:p w14:paraId="33F766A9"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Acionar protocolo anticorrupção: suspensão cautelar, apuração e saneamento (R48, R51).</w:t>
            </w:r>
          </w:p>
        </w:tc>
      </w:tr>
      <w:tr w:rsidR="001C7E6F" w:rsidRPr="004872E9" w14:paraId="753B7CEC" w14:textId="77777777" w:rsidTr="00BD3046">
        <w:trPr>
          <w:trHeight w:val="450"/>
        </w:trPr>
        <w:tc>
          <w:tcPr>
            <w:tcW w:w="1560" w:type="dxa"/>
            <w:shd w:val="clear" w:color="auto" w:fill="auto"/>
            <w:vAlign w:val="center"/>
            <w:hideMark/>
          </w:tcPr>
          <w:p w14:paraId="2ECACE82" w14:textId="77777777" w:rsidR="001C7E6F" w:rsidRPr="004872E9" w:rsidRDefault="001C7E6F" w:rsidP="00BD3046">
            <w:pPr>
              <w:spacing w:after="0" w:line="240" w:lineRule="auto"/>
              <w:rPr>
                <w:rFonts w:ascii="Arial" w:eastAsia="Times New Roman" w:hAnsi="Arial" w:cs="Arial"/>
                <w:b/>
                <w:bCs/>
                <w:color w:val="000000"/>
                <w:sz w:val="18"/>
                <w:szCs w:val="18"/>
                <w:lang w:eastAsia="pt-BR"/>
              </w:rPr>
            </w:pPr>
            <w:r w:rsidRPr="004872E9">
              <w:rPr>
                <w:rFonts w:ascii="Arial" w:eastAsia="Times New Roman" w:hAnsi="Arial" w:cs="Arial"/>
                <w:b/>
                <w:bCs/>
                <w:color w:val="000000"/>
                <w:sz w:val="18"/>
                <w:szCs w:val="18"/>
                <w:lang w:eastAsia="pt-BR"/>
              </w:rPr>
              <w:t>Tribunal de Contas (TC)</w:t>
            </w:r>
          </w:p>
        </w:tc>
        <w:tc>
          <w:tcPr>
            <w:tcW w:w="3685" w:type="dxa"/>
            <w:shd w:val="clear" w:color="auto" w:fill="auto"/>
            <w:vAlign w:val="center"/>
            <w:hideMark/>
          </w:tcPr>
          <w:p w14:paraId="3561108B"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Realizar acompanhamento prévio e contínuo da execução do Fundo (R46).</w:t>
            </w:r>
          </w:p>
        </w:tc>
        <w:tc>
          <w:tcPr>
            <w:tcW w:w="3821" w:type="dxa"/>
            <w:shd w:val="clear" w:color="auto" w:fill="auto"/>
            <w:vAlign w:val="center"/>
            <w:hideMark/>
          </w:tcPr>
          <w:p w14:paraId="67C46AA0"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Determinar planos de saneamento e recomposição em caso de irregularidades ou desvios (R46).</w:t>
            </w:r>
          </w:p>
        </w:tc>
      </w:tr>
      <w:tr w:rsidR="001C7E6F" w:rsidRPr="004872E9" w14:paraId="61321C6C" w14:textId="77777777" w:rsidTr="00BD3046">
        <w:trPr>
          <w:trHeight w:val="900"/>
        </w:trPr>
        <w:tc>
          <w:tcPr>
            <w:tcW w:w="1560" w:type="dxa"/>
            <w:shd w:val="clear" w:color="auto" w:fill="auto"/>
            <w:vAlign w:val="center"/>
            <w:hideMark/>
          </w:tcPr>
          <w:p w14:paraId="06347328" w14:textId="77777777" w:rsidR="001C7E6F" w:rsidRPr="004872E9" w:rsidRDefault="001C7E6F" w:rsidP="00BD3046">
            <w:pPr>
              <w:spacing w:after="0" w:line="240" w:lineRule="auto"/>
              <w:rPr>
                <w:rFonts w:ascii="Arial" w:eastAsia="Times New Roman" w:hAnsi="Arial" w:cs="Arial"/>
                <w:b/>
                <w:bCs/>
                <w:color w:val="000000"/>
                <w:sz w:val="18"/>
                <w:szCs w:val="18"/>
                <w:lang w:eastAsia="pt-BR"/>
              </w:rPr>
            </w:pPr>
            <w:r w:rsidRPr="004872E9">
              <w:rPr>
                <w:rFonts w:ascii="Arial" w:eastAsia="Times New Roman" w:hAnsi="Arial" w:cs="Arial"/>
                <w:b/>
                <w:bCs/>
                <w:color w:val="000000"/>
                <w:sz w:val="18"/>
                <w:szCs w:val="18"/>
                <w:lang w:eastAsia="pt-BR"/>
              </w:rPr>
              <w:t>Ministério Público/</w:t>
            </w:r>
            <w:r>
              <w:rPr>
                <w:rFonts w:ascii="Arial" w:eastAsia="Times New Roman" w:hAnsi="Arial" w:cs="Arial"/>
                <w:b/>
                <w:bCs/>
                <w:color w:val="000000"/>
                <w:sz w:val="18"/>
                <w:szCs w:val="18"/>
                <w:lang w:eastAsia="pt-BR"/>
              </w:rPr>
              <w:t xml:space="preserve"> </w:t>
            </w:r>
            <w:r w:rsidRPr="004872E9">
              <w:rPr>
                <w:rFonts w:ascii="Arial" w:eastAsia="Times New Roman" w:hAnsi="Arial" w:cs="Arial"/>
                <w:b/>
                <w:bCs/>
                <w:color w:val="000000"/>
                <w:sz w:val="18"/>
                <w:szCs w:val="18"/>
                <w:lang w:eastAsia="pt-BR"/>
              </w:rPr>
              <w:t>Procuradoria</w:t>
            </w:r>
          </w:p>
        </w:tc>
        <w:tc>
          <w:tcPr>
            <w:tcW w:w="3685" w:type="dxa"/>
            <w:shd w:val="clear" w:color="auto" w:fill="auto"/>
            <w:vAlign w:val="center"/>
            <w:hideMark/>
          </w:tcPr>
          <w:p w14:paraId="25327E1B"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Estimular transparência ativa e prestação de contas proativa (R47).</w:t>
            </w:r>
          </w:p>
          <w:p w14:paraId="1D1C8A9B"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Atuar na preservação da finalidade do Fundo contra desvios (R26, R51).</w:t>
            </w:r>
          </w:p>
        </w:tc>
        <w:tc>
          <w:tcPr>
            <w:tcW w:w="3821" w:type="dxa"/>
            <w:shd w:val="clear" w:color="auto" w:fill="auto"/>
            <w:vAlign w:val="center"/>
            <w:hideMark/>
          </w:tcPr>
          <w:p w14:paraId="6AFE2A02"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Firmar TACs para ajuste de conduta em caso de irregularidades (R47, R51).</w:t>
            </w:r>
          </w:p>
          <w:p w14:paraId="339E766E"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Propor ações judiciais para recomposição de recursos ou nulidade de atos (R26, R51).</w:t>
            </w:r>
          </w:p>
        </w:tc>
      </w:tr>
      <w:tr w:rsidR="001C7E6F" w:rsidRPr="004872E9" w14:paraId="38077713" w14:textId="77777777" w:rsidTr="00BD3046">
        <w:trPr>
          <w:trHeight w:val="675"/>
        </w:trPr>
        <w:tc>
          <w:tcPr>
            <w:tcW w:w="1560" w:type="dxa"/>
            <w:shd w:val="clear" w:color="auto" w:fill="auto"/>
            <w:vAlign w:val="center"/>
            <w:hideMark/>
          </w:tcPr>
          <w:p w14:paraId="5A79397E" w14:textId="77777777" w:rsidR="001C7E6F" w:rsidRPr="004872E9" w:rsidRDefault="001C7E6F" w:rsidP="00BD3046">
            <w:pPr>
              <w:spacing w:after="0" w:line="240" w:lineRule="auto"/>
              <w:rPr>
                <w:rFonts w:ascii="Arial" w:eastAsia="Times New Roman" w:hAnsi="Arial" w:cs="Arial"/>
                <w:b/>
                <w:bCs/>
                <w:color w:val="000000"/>
                <w:sz w:val="18"/>
                <w:szCs w:val="18"/>
                <w:lang w:eastAsia="pt-BR"/>
              </w:rPr>
            </w:pPr>
            <w:r w:rsidRPr="004872E9">
              <w:rPr>
                <w:rFonts w:ascii="Arial" w:eastAsia="Times New Roman" w:hAnsi="Arial" w:cs="Arial"/>
                <w:b/>
                <w:bCs/>
                <w:color w:val="000000"/>
                <w:sz w:val="18"/>
                <w:szCs w:val="18"/>
                <w:lang w:eastAsia="pt-BR"/>
              </w:rPr>
              <w:t>Casa Civil / Sociedade Civil</w:t>
            </w:r>
          </w:p>
        </w:tc>
        <w:tc>
          <w:tcPr>
            <w:tcW w:w="3685" w:type="dxa"/>
            <w:shd w:val="clear" w:color="auto" w:fill="auto"/>
            <w:vAlign w:val="center"/>
            <w:hideMark/>
          </w:tcPr>
          <w:p w14:paraId="779F83F1"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Assegurar paridade na composição do Conselho (R40).</w:t>
            </w:r>
          </w:p>
          <w:p w14:paraId="3D95A757"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Definir critérios transparentes para escolha de representantes (R40).</w:t>
            </w:r>
          </w:p>
          <w:p w14:paraId="314198F0"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14BBC">
              <w:rPr>
                <w:rFonts w:ascii="Arial" w:eastAsia="Times New Roman" w:hAnsi="Arial" w:cs="Arial"/>
                <w:color w:val="000000"/>
                <w:sz w:val="18"/>
                <w:szCs w:val="18"/>
                <w:lang w:eastAsia="pt-BR"/>
              </w:rPr>
              <w:t>- Fortalecer canais de controle social e participação (R31, R32).</w:t>
            </w:r>
          </w:p>
        </w:tc>
        <w:tc>
          <w:tcPr>
            <w:tcW w:w="3821" w:type="dxa"/>
            <w:shd w:val="clear" w:color="auto" w:fill="auto"/>
            <w:vAlign w:val="center"/>
            <w:hideMark/>
          </w:tcPr>
          <w:p w14:paraId="3C94EAFB"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xml:space="preserve">- Convocar recomposição imediata das cadeiras </w:t>
            </w:r>
            <w:r>
              <w:rPr>
                <w:rFonts w:ascii="Arial" w:eastAsia="Times New Roman" w:hAnsi="Arial" w:cs="Arial"/>
                <w:color w:val="000000"/>
                <w:sz w:val="18"/>
                <w:szCs w:val="18"/>
                <w:lang w:eastAsia="pt-BR"/>
              </w:rPr>
              <w:t xml:space="preserve">do Conselho, </w:t>
            </w:r>
            <w:r w:rsidRPr="004872E9">
              <w:rPr>
                <w:rFonts w:ascii="Arial" w:eastAsia="Times New Roman" w:hAnsi="Arial" w:cs="Arial"/>
                <w:color w:val="000000"/>
                <w:sz w:val="18"/>
                <w:szCs w:val="18"/>
                <w:lang w:eastAsia="pt-BR"/>
              </w:rPr>
              <w:t>em caso de vacância ou desequilíbrio (R40).</w:t>
            </w:r>
          </w:p>
        </w:tc>
      </w:tr>
      <w:tr w:rsidR="001C7E6F" w:rsidRPr="004872E9" w14:paraId="0894CECB" w14:textId="77777777" w:rsidTr="00BD3046">
        <w:trPr>
          <w:trHeight w:val="900"/>
        </w:trPr>
        <w:tc>
          <w:tcPr>
            <w:tcW w:w="1560" w:type="dxa"/>
            <w:shd w:val="clear" w:color="auto" w:fill="auto"/>
            <w:vAlign w:val="center"/>
            <w:hideMark/>
          </w:tcPr>
          <w:p w14:paraId="116FF038" w14:textId="77777777" w:rsidR="001C7E6F" w:rsidRPr="004872E9" w:rsidRDefault="001C7E6F" w:rsidP="00BD3046">
            <w:pPr>
              <w:spacing w:after="0" w:line="240" w:lineRule="auto"/>
              <w:rPr>
                <w:rFonts w:ascii="Arial" w:eastAsia="Times New Roman" w:hAnsi="Arial" w:cs="Arial"/>
                <w:b/>
                <w:bCs/>
                <w:color w:val="000000"/>
                <w:sz w:val="18"/>
                <w:szCs w:val="18"/>
                <w:lang w:eastAsia="pt-BR"/>
              </w:rPr>
            </w:pPr>
            <w:r w:rsidRPr="004872E9">
              <w:rPr>
                <w:rFonts w:ascii="Arial" w:eastAsia="Times New Roman" w:hAnsi="Arial" w:cs="Arial"/>
                <w:b/>
                <w:bCs/>
                <w:color w:val="000000"/>
                <w:sz w:val="18"/>
                <w:szCs w:val="18"/>
                <w:lang w:eastAsia="pt-BR"/>
              </w:rPr>
              <w:t>Unidades Executoras / Secretarias Finalísticas</w:t>
            </w:r>
          </w:p>
        </w:tc>
        <w:tc>
          <w:tcPr>
            <w:tcW w:w="3685" w:type="dxa"/>
            <w:shd w:val="clear" w:color="auto" w:fill="auto"/>
            <w:vAlign w:val="center"/>
            <w:hideMark/>
          </w:tcPr>
          <w:p w14:paraId="0E5F3F6E"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Preparar carteiras de projetos com cronogramas físico-financeiros (R55).</w:t>
            </w:r>
          </w:p>
          <w:p w14:paraId="77112371"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Desenvolver indicadores de resultado e impacto social vinculados às metas (R50, R51).</w:t>
            </w:r>
          </w:p>
          <w:p w14:paraId="6789A700"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14BBC">
              <w:rPr>
                <w:rFonts w:ascii="Arial" w:eastAsia="Times New Roman" w:hAnsi="Arial" w:cs="Arial"/>
                <w:color w:val="000000"/>
                <w:sz w:val="18"/>
                <w:szCs w:val="18"/>
                <w:lang w:eastAsia="pt-BR"/>
              </w:rPr>
              <w:t>- Executar programação com base no realismo orçamentário (R50).</w:t>
            </w:r>
          </w:p>
        </w:tc>
        <w:tc>
          <w:tcPr>
            <w:tcW w:w="3821" w:type="dxa"/>
            <w:shd w:val="clear" w:color="auto" w:fill="auto"/>
            <w:vAlign w:val="center"/>
            <w:hideMark/>
          </w:tcPr>
          <w:p w14:paraId="26D89C12" w14:textId="77777777" w:rsidR="001C7E6F"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Executar planos emergenciais para continuidade de serviços essenciais (R55).</w:t>
            </w:r>
          </w:p>
          <w:p w14:paraId="5EE815AF" w14:textId="77777777" w:rsidR="001C7E6F" w:rsidRPr="004872E9" w:rsidRDefault="001C7E6F" w:rsidP="00BD3046">
            <w:pPr>
              <w:spacing w:after="0" w:line="240" w:lineRule="auto"/>
              <w:rPr>
                <w:rFonts w:ascii="Arial" w:eastAsia="Times New Roman" w:hAnsi="Arial" w:cs="Arial"/>
                <w:color w:val="000000"/>
                <w:sz w:val="18"/>
                <w:szCs w:val="18"/>
                <w:lang w:eastAsia="pt-BR"/>
              </w:rPr>
            </w:pPr>
            <w:r w:rsidRPr="004872E9">
              <w:rPr>
                <w:rFonts w:ascii="Arial" w:eastAsia="Times New Roman" w:hAnsi="Arial" w:cs="Arial"/>
                <w:color w:val="000000"/>
                <w:sz w:val="18"/>
                <w:szCs w:val="18"/>
                <w:lang w:eastAsia="pt-BR"/>
              </w:rPr>
              <w:t>- Reprogramar ações priorizando as de maior impacto social (R50</w:t>
            </w:r>
            <w:r>
              <w:rPr>
                <w:rFonts w:ascii="Arial" w:eastAsia="Times New Roman" w:hAnsi="Arial" w:cs="Arial"/>
                <w:color w:val="000000"/>
                <w:sz w:val="18"/>
                <w:szCs w:val="18"/>
                <w:lang w:eastAsia="pt-BR"/>
              </w:rPr>
              <w:t>, R51</w:t>
            </w:r>
            <w:r w:rsidRPr="004872E9">
              <w:rPr>
                <w:rFonts w:ascii="Arial" w:eastAsia="Times New Roman" w:hAnsi="Arial" w:cs="Arial"/>
                <w:color w:val="000000"/>
                <w:sz w:val="18"/>
                <w:szCs w:val="18"/>
                <w:lang w:eastAsia="pt-BR"/>
              </w:rPr>
              <w:t>).</w:t>
            </w:r>
          </w:p>
        </w:tc>
      </w:tr>
    </w:tbl>
    <w:p w14:paraId="4FCDEAA8" w14:textId="77777777" w:rsidR="001C7E6F" w:rsidRDefault="001C7E6F" w:rsidP="001C7E6F">
      <w:pPr>
        <w:pBdr>
          <w:top w:val="nil"/>
          <w:left w:val="nil"/>
          <w:bottom w:val="nil"/>
          <w:right w:val="nil"/>
          <w:between w:val="nil"/>
        </w:pBdr>
        <w:spacing w:after="300" w:line="360" w:lineRule="auto"/>
        <w:jc w:val="both"/>
      </w:pPr>
      <w:r>
        <w:rPr>
          <w:rFonts w:ascii="Arial" w:eastAsia="Arial" w:hAnsi="Arial" w:cs="Arial"/>
          <w:color w:val="000000"/>
          <w:sz w:val="20"/>
          <w:szCs w:val="20"/>
        </w:rPr>
        <w:t>Fonte: Elaboração própria.</w:t>
      </w:r>
    </w:p>
    <w:p w14:paraId="26F21170" w14:textId="77777777" w:rsidR="00C62CFB" w:rsidRDefault="00C62CFB" w:rsidP="00C62CFB">
      <w:pPr>
        <w:spacing w:line="360" w:lineRule="auto"/>
        <w:rPr>
          <w:rFonts w:ascii="Times New Roman" w:hAnsi="Times New Roman" w:cs="Times New Roman"/>
        </w:rPr>
      </w:pPr>
    </w:p>
    <w:p w14:paraId="6A2955C1" w14:textId="77777777" w:rsidR="00C62CFB" w:rsidRDefault="00C62CFB" w:rsidP="00C62CFB">
      <w:pPr>
        <w:pBdr>
          <w:top w:val="nil"/>
          <w:left w:val="nil"/>
          <w:bottom w:val="nil"/>
          <w:right w:val="nil"/>
          <w:between w:val="nil"/>
        </w:pBdr>
        <w:spacing w:after="0" w:line="360" w:lineRule="auto"/>
        <w:jc w:val="both"/>
        <w:rPr>
          <w:rFonts w:ascii="Times New Roman" w:eastAsia="Arial" w:hAnsi="Times New Roman" w:cs="Times New Roman"/>
        </w:rPr>
      </w:pPr>
    </w:p>
    <w:p w14:paraId="5E7A65FA" w14:textId="4E7E0752" w:rsidR="00C62CFB" w:rsidRDefault="00C62CFB" w:rsidP="00B40789">
      <w:pPr>
        <w:pBdr>
          <w:top w:val="nil"/>
          <w:left w:val="nil"/>
          <w:bottom w:val="nil"/>
          <w:right w:val="nil"/>
          <w:between w:val="nil"/>
        </w:pBdr>
        <w:spacing w:after="0" w:line="360" w:lineRule="auto"/>
        <w:ind w:firstLine="709"/>
        <w:jc w:val="both"/>
        <w:rPr>
          <w:rFonts w:ascii="Times New Roman" w:eastAsia="Arial" w:hAnsi="Times New Roman" w:cs="Times New Roman"/>
        </w:rPr>
      </w:pPr>
    </w:p>
    <w:p w14:paraId="53EBA8A2" w14:textId="5FCB8993" w:rsidR="00C62CFB" w:rsidRDefault="00C62CFB" w:rsidP="00B40789">
      <w:pPr>
        <w:pBdr>
          <w:top w:val="nil"/>
          <w:left w:val="nil"/>
          <w:bottom w:val="nil"/>
          <w:right w:val="nil"/>
          <w:between w:val="nil"/>
        </w:pBdr>
        <w:spacing w:after="0" w:line="360" w:lineRule="auto"/>
        <w:ind w:firstLine="709"/>
        <w:jc w:val="both"/>
        <w:rPr>
          <w:rFonts w:ascii="Times New Roman" w:eastAsia="Arial" w:hAnsi="Times New Roman" w:cs="Times New Roman"/>
        </w:rPr>
      </w:pPr>
    </w:p>
    <w:p w14:paraId="1E69B93C" w14:textId="386BD6CF" w:rsidR="00C62CFB" w:rsidRDefault="00C62CFB" w:rsidP="00B40789">
      <w:pPr>
        <w:pBdr>
          <w:top w:val="nil"/>
          <w:left w:val="nil"/>
          <w:bottom w:val="nil"/>
          <w:right w:val="nil"/>
          <w:between w:val="nil"/>
        </w:pBdr>
        <w:spacing w:after="0" w:line="360" w:lineRule="auto"/>
        <w:ind w:firstLine="709"/>
        <w:jc w:val="both"/>
        <w:rPr>
          <w:rFonts w:ascii="Times New Roman" w:eastAsia="Arial" w:hAnsi="Times New Roman" w:cs="Times New Roman"/>
        </w:rPr>
      </w:pPr>
    </w:p>
    <w:p w14:paraId="1C1CA489" w14:textId="77777777" w:rsidR="00C62CFB" w:rsidRPr="00A04B57" w:rsidRDefault="00C62CFB" w:rsidP="00B40789">
      <w:pPr>
        <w:pBdr>
          <w:top w:val="nil"/>
          <w:left w:val="nil"/>
          <w:bottom w:val="nil"/>
          <w:right w:val="nil"/>
          <w:between w:val="nil"/>
        </w:pBdr>
        <w:spacing w:after="0" w:line="360" w:lineRule="auto"/>
        <w:ind w:firstLine="709"/>
        <w:jc w:val="both"/>
        <w:rPr>
          <w:rFonts w:ascii="Times New Roman" w:eastAsia="Arial" w:hAnsi="Times New Roman" w:cs="Times New Roman"/>
        </w:rPr>
        <w:sectPr w:rsidR="00C62CFB" w:rsidRPr="00A04B57" w:rsidSect="00F736B0">
          <w:headerReference w:type="default" r:id="rId23"/>
          <w:footerReference w:type="default" r:id="rId24"/>
          <w:type w:val="continuous"/>
          <w:pgSz w:w="11906" w:h="16838" w:code="9"/>
          <w:pgMar w:top="1701" w:right="1134" w:bottom="1134" w:left="1701" w:header="0" w:footer="510" w:gutter="0"/>
          <w:cols w:space="284"/>
          <w:docGrid w:linePitch="360"/>
        </w:sectPr>
      </w:pPr>
    </w:p>
    <w:bookmarkEnd w:id="5"/>
    <w:bookmarkEnd w:id="6"/>
    <w:p w14:paraId="4695CB2A" w14:textId="69C6B8F2" w:rsidR="00DB0181" w:rsidRPr="00C62CFB" w:rsidRDefault="00C62CFB" w:rsidP="00C62CFB">
      <w:pPr>
        <w:keepNext/>
        <w:pBdr>
          <w:top w:val="nil"/>
          <w:left w:val="nil"/>
          <w:bottom w:val="nil"/>
          <w:right w:val="nil"/>
          <w:between w:val="nil"/>
        </w:pBdr>
        <w:spacing w:after="0" w:line="360" w:lineRule="auto"/>
        <w:jc w:val="center"/>
        <w:rPr>
          <w:rFonts w:ascii="Times New Roman" w:eastAsia="Arial" w:hAnsi="Times New Roman" w:cs="Times New Roman"/>
          <w:color w:val="000000"/>
          <w:szCs w:val="20"/>
        </w:rPr>
      </w:pPr>
      <w:r w:rsidRPr="00C62CFB">
        <w:rPr>
          <w:rFonts w:ascii="Times New Roman" w:eastAsia="Arial" w:hAnsi="Times New Roman" w:cs="Times New Roman"/>
          <w:color w:val="000000"/>
          <w:szCs w:val="20"/>
        </w:rPr>
        <w:lastRenderedPageBreak/>
        <w:t xml:space="preserve">ANEXO </w:t>
      </w:r>
      <w:r w:rsidR="00DB0181" w:rsidRPr="00C62CFB">
        <w:rPr>
          <w:rFonts w:ascii="Times New Roman" w:eastAsia="Arial" w:hAnsi="Times New Roman" w:cs="Times New Roman"/>
          <w:color w:val="000000"/>
          <w:szCs w:val="20"/>
        </w:rPr>
        <w:t>– Mapa de Criticidade e Avaliação dos Riscos</w:t>
      </w:r>
    </w:p>
    <w:tbl>
      <w:tblPr>
        <w:tblW w:w="139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90"/>
        <w:gridCol w:w="1860"/>
        <w:gridCol w:w="495"/>
        <w:gridCol w:w="1680"/>
        <w:gridCol w:w="1875"/>
        <w:gridCol w:w="945"/>
        <w:gridCol w:w="825"/>
        <w:gridCol w:w="1920"/>
        <w:gridCol w:w="1695"/>
        <w:gridCol w:w="1680"/>
      </w:tblGrid>
      <w:tr w:rsidR="00DB0181" w:rsidRPr="00A04B57" w14:paraId="39D04E1D" w14:textId="77777777" w:rsidTr="003926FC">
        <w:trPr>
          <w:trHeight w:val="20"/>
        </w:trPr>
        <w:tc>
          <w:tcPr>
            <w:tcW w:w="990" w:type="dxa"/>
            <w:shd w:val="clear" w:color="auto" w:fill="auto"/>
            <w:vAlign w:val="center"/>
          </w:tcPr>
          <w:p w14:paraId="7B9FF268" w14:textId="77777777" w:rsidR="00DB0181" w:rsidRPr="00A04B57" w:rsidRDefault="00DB0181" w:rsidP="003926FC">
            <w:pPr>
              <w:spacing w:after="0" w:line="240" w:lineRule="auto"/>
              <w:jc w:val="center"/>
              <w:rPr>
                <w:rFonts w:ascii="Times New Roman" w:hAnsi="Times New Roman" w:cs="Times New Roman"/>
                <w:b/>
                <w:sz w:val="14"/>
                <w:szCs w:val="14"/>
              </w:rPr>
            </w:pPr>
            <w:r w:rsidRPr="00A04B57">
              <w:rPr>
                <w:rFonts w:ascii="Times New Roman" w:hAnsi="Times New Roman" w:cs="Times New Roman"/>
                <w:b/>
                <w:sz w:val="14"/>
                <w:szCs w:val="14"/>
              </w:rPr>
              <w:t>Dimensão</w:t>
            </w:r>
          </w:p>
        </w:tc>
        <w:tc>
          <w:tcPr>
            <w:tcW w:w="1860" w:type="dxa"/>
            <w:shd w:val="clear" w:color="auto" w:fill="auto"/>
            <w:vAlign w:val="center"/>
          </w:tcPr>
          <w:p w14:paraId="42236C0E" w14:textId="77777777" w:rsidR="00DB0181" w:rsidRPr="00A04B57" w:rsidRDefault="00DB0181" w:rsidP="003926FC">
            <w:pPr>
              <w:spacing w:after="0" w:line="240" w:lineRule="auto"/>
              <w:jc w:val="center"/>
              <w:rPr>
                <w:rFonts w:ascii="Times New Roman" w:hAnsi="Times New Roman" w:cs="Times New Roman"/>
                <w:b/>
                <w:sz w:val="14"/>
                <w:szCs w:val="14"/>
              </w:rPr>
            </w:pPr>
            <w:r w:rsidRPr="00A04B57">
              <w:rPr>
                <w:rFonts w:ascii="Times New Roman" w:hAnsi="Times New Roman" w:cs="Times New Roman"/>
                <w:b/>
                <w:sz w:val="14"/>
                <w:szCs w:val="14"/>
              </w:rPr>
              <w:t>Pergunta</w:t>
            </w:r>
          </w:p>
        </w:tc>
        <w:tc>
          <w:tcPr>
            <w:tcW w:w="495" w:type="dxa"/>
            <w:shd w:val="clear" w:color="auto" w:fill="auto"/>
            <w:vAlign w:val="center"/>
          </w:tcPr>
          <w:p w14:paraId="63F51AB1" w14:textId="77777777" w:rsidR="00DB0181" w:rsidRPr="00A04B57" w:rsidRDefault="00DB0181" w:rsidP="003926FC">
            <w:pPr>
              <w:spacing w:after="0" w:line="240" w:lineRule="auto"/>
              <w:jc w:val="center"/>
              <w:rPr>
                <w:rFonts w:ascii="Times New Roman" w:hAnsi="Times New Roman" w:cs="Times New Roman"/>
                <w:b/>
                <w:sz w:val="14"/>
                <w:szCs w:val="14"/>
              </w:rPr>
            </w:pPr>
            <w:r w:rsidRPr="00A04B57">
              <w:rPr>
                <w:rFonts w:ascii="Times New Roman" w:hAnsi="Times New Roman" w:cs="Times New Roman"/>
                <w:b/>
                <w:sz w:val="14"/>
                <w:szCs w:val="14"/>
              </w:rPr>
              <w:t>Peso</w:t>
            </w:r>
          </w:p>
        </w:tc>
        <w:tc>
          <w:tcPr>
            <w:tcW w:w="1680" w:type="dxa"/>
            <w:shd w:val="clear" w:color="auto" w:fill="auto"/>
            <w:vAlign w:val="center"/>
          </w:tcPr>
          <w:p w14:paraId="4D0DEEB0" w14:textId="77777777" w:rsidR="00DB0181" w:rsidRPr="00A04B57" w:rsidRDefault="00DB0181" w:rsidP="003926FC">
            <w:pPr>
              <w:spacing w:after="0" w:line="240" w:lineRule="auto"/>
              <w:jc w:val="center"/>
              <w:rPr>
                <w:rFonts w:ascii="Times New Roman" w:hAnsi="Times New Roman" w:cs="Times New Roman"/>
                <w:b/>
                <w:sz w:val="14"/>
                <w:szCs w:val="14"/>
              </w:rPr>
            </w:pPr>
            <w:r w:rsidRPr="00A04B57">
              <w:rPr>
                <w:rFonts w:ascii="Times New Roman" w:hAnsi="Times New Roman" w:cs="Times New Roman"/>
                <w:b/>
                <w:sz w:val="14"/>
                <w:szCs w:val="14"/>
              </w:rPr>
              <w:t>Risco</w:t>
            </w:r>
          </w:p>
        </w:tc>
        <w:tc>
          <w:tcPr>
            <w:tcW w:w="1875" w:type="dxa"/>
            <w:shd w:val="clear" w:color="auto" w:fill="auto"/>
            <w:vAlign w:val="center"/>
          </w:tcPr>
          <w:p w14:paraId="2A8AAF7A" w14:textId="77777777" w:rsidR="00DB0181" w:rsidRPr="00A04B57" w:rsidRDefault="00DB0181" w:rsidP="003926FC">
            <w:pPr>
              <w:spacing w:after="0" w:line="240" w:lineRule="auto"/>
              <w:jc w:val="center"/>
              <w:rPr>
                <w:rFonts w:ascii="Times New Roman" w:hAnsi="Times New Roman" w:cs="Times New Roman"/>
                <w:b/>
                <w:sz w:val="14"/>
                <w:szCs w:val="14"/>
              </w:rPr>
            </w:pPr>
            <w:r w:rsidRPr="00A04B57">
              <w:rPr>
                <w:rFonts w:ascii="Times New Roman" w:hAnsi="Times New Roman" w:cs="Times New Roman"/>
                <w:b/>
                <w:sz w:val="14"/>
                <w:szCs w:val="14"/>
              </w:rPr>
              <w:t>Impacto (1 a 5)</w:t>
            </w:r>
          </w:p>
        </w:tc>
        <w:tc>
          <w:tcPr>
            <w:tcW w:w="945" w:type="dxa"/>
            <w:vAlign w:val="center"/>
          </w:tcPr>
          <w:p w14:paraId="257AB77C" w14:textId="77777777" w:rsidR="00DB0181" w:rsidRPr="00A04B57" w:rsidRDefault="00DB0181" w:rsidP="003926FC">
            <w:pPr>
              <w:spacing w:after="0" w:line="240" w:lineRule="auto"/>
              <w:jc w:val="center"/>
              <w:rPr>
                <w:rFonts w:ascii="Times New Roman" w:hAnsi="Times New Roman" w:cs="Times New Roman"/>
                <w:b/>
                <w:sz w:val="14"/>
                <w:szCs w:val="14"/>
              </w:rPr>
            </w:pPr>
            <w:r w:rsidRPr="00A04B57">
              <w:rPr>
                <w:rFonts w:ascii="Times New Roman" w:hAnsi="Times New Roman" w:cs="Times New Roman"/>
                <w:b/>
                <w:sz w:val="14"/>
                <w:szCs w:val="14"/>
              </w:rPr>
              <w:t>Probabilidade (1 a 5)</w:t>
            </w:r>
          </w:p>
        </w:tc>
        <w:tc>
          <w:tcPr>
            <w:tcW w:w="825" w:type="dxa"/>
            <w:vAlign w:val="center"/>
          </w:tcPr>
          <w:p w14:paraId="6FDDD38E" w14:textId="77777777" w:rsidR="00DB0181" w:rsidRPr="00A04B57" w:rsidRDefault="00DB0181" w:rsidP="003926FC">
            <w:pPr>
              <w:spacing w:after="0" w:line="240" w:lineRule="auto"/>
              <w:jc w:val="center"/>
              <w:rPr>
                <w:rFonts w:ascii="Times New Roman" w:hAnsi="Times New Roman" w:cs="Times New Roman"/>
                <w:b/>
                <w:sz w:val="14"/>
                <w:szCs w:val="14"/>
              </w:rPr>
            </w:pPr>
            <w:r w:rsidRPr="00A04B57">
              <w:rPr>
                <w:rFonts w:ascii="Times New Roman" w:hAnsi="Times New Roman" w:cs="Times New Roman"/>
                <w:b/>
                <w:sz w:val="14"/>
                <w:szCs w:val="14"/>
              </w:rPr>
              <w:t>Criticidade</w:t>
            </w:r>
          </w:p>
          <w:p w14:paraId="2C09E1AD" w14:textId="77777777" w:rsidR="00DB0181" w:rsidRPr="00A04B57" w:rsidRDefault="00DB0181" w:rsidP="003926FC">
            <w:pPr>
              <w:spacing w:after="0" w:line="240" w:lineRule="auto"/>
              <w:jc w:val="center"/>
              <w:rPr>
                <w:rFonts w:ascii="Times New Roman" w:hAnsi="Times New Roman" w:cs="Times New Roman"/>
                <w:b/>
                <w:sz w:val="14"/>
                <w:szCs w:val="14"/>
              </w:rPr>
            </w:pPr>
            <w:r w:rsidRPr="00A04B57">
              <w:rPr>
                <w:rFonts w:ascii="Times New Roman" w:hAnsi="Times New Roman" w:cs="Times New Roman"/>
                <w:b/>
                <w:sz w:val="14"/>
                <w:szCs w:val="14"/>
              </w:rPr>
              <w:t>(P x I x Prob.)</w:t>
            </w:r>
          </w:p>
        </w:tc>
        <w:tc>
          <w:tcPr>
            <w:tcW w:w="1920" w:type="dxa"/>
            <w:shd w:val="clear" w:color="auto" w:fill="auto"/>
            <w:vAlign w:val="center"/>
          </w:tcPr>
          <w:p w14:paraId="122383B1" w14:textId="77777777" w:rsidR="00DB0181" w:rsidRPr="00A04B57" w:rsidRDefault="00DB0181" w:rsidP="003926FC">
            <w:pPr>
              <w:spacing w:after="0" w:line="240" w:lineRule="auto"/>
              <w:jc w:val="center"/>
              <w:rPr>
                <w:rFonts w:ascii="Times New Roman" w:hAnsi="Times New Roman" w:cs="Times New Roman"/>
                <w:b/>
                <w:sz w:val="14"/>
                <w:szCs w:val="14"/>
              </w:rPr>
            </w:pPr>
            <w:r w:rsidRPr="00A04B57">
              <w:rPr>
                <w:rFonts w:ascii="Times New Roman" w:hAnsi="Times New Roman" w:cs="Times New Roman"/>
                <w:b/>
                <w:sz w:val="14"/>
                <w:szCs w:val="14"/>
              </w:rPr>
              <w:t>Ação preventiva</w:t>
            </w:r>
          </w:p>
        </w:tc>
        <w:tc>
          <w:tcPr>
            <w:tcW w:w="1695" w:type="dxa"/>
            <w:shd w:val="clear" w:color="auto" w:fill="auto"/>
            <w:vAlign w:val="center"/>
          </w:tcPr>
          <w:p w14:paraId="777FC89B" w14:textId="77777777" w:rsidR="00DB0181" w:rsidRPr="00A04B57" w:rsidRDefault="00DB0181" w:rsidP="003926FC">
            <w:pPr>
              <w:spacing w:after="0" w:line="240" w:lineRule="auto"/>
              <w:jc w:val="center"/>
              <w:rPr>
                <w:rFonts w:ascii="Times New Roman" w:hAnsi="Times New Roman" w:cs="Times New Roman"/>
                <w:b/>
                <w:sz w:val="14"/>
                <w:szCs w:val="14"/>
              </w:rPr>
            </w:pPr>
            <w:r w:rsidRPr="00A04B57">
              <w:rPr>
                <w:rFonts w:ascii="Times New Roman" w:hAnsi="Times New Roman" w:cs="Times New Roman"/>
                <w:b/>
                <w:sz w:val="14"/>
                <w:szCs w:val="14"/>
              </w:rPr>
              <w:t>Ação de contingência</w:t>
            </w:r>
          </w:p>
        </w:tc>
        <w:tc>
          <w:tcPr>
            <w:tcW w:w="1680" w:type="dxa"/>
            <w:shd w:val="clear" w:color="auto" w:fill="auto"/>
            <w:vAlign w:val="center"/>
          </w:tcPr>
          <w:p w14:paraId="7C3FE20F" w14:textId="77777777" w:rsidR="00DB0181" w:rsidRPr="00A04B57" w:rsidRDefault="00DB0181" w:rsidP="003926FC">
            <w:pPr>
              <w:spacing w:after="0" w:line="240" w:lineRule="auto"/>
              <w:jc w:val="center"/>
              <w:rPr>
                <w:rFonts w:ascii="Times New Roman" w:hAnsi="Times New Roman" w:cs="Times New Roman"/>
                <w:b/>
                <w:sz w:val="14"/>
                <w:szCs w:val="14"/>
              </w:rPr>
            </w:pPr>
            <w:r w:rsidRPr="00A04B57">
              <w:rPr>
                <w:rFonts w:ascii="Times New Roman" w:hAnsi="Times New Roman" w:cs="Times New Roman"/>
                <w:b/>
                <w:sz w:val="14"/>
                <w:szCs w:val="14"/>
              </w:rPr>
              <w:t>Responsáveis envolvidos</w:t>
            </w:r>
          </w:p>
        </w:tc>
      </w:tr>
      <w:tr w:rsidR="00DB0181" w:rsidRPr="00A04B57" w14:paraId="38A9864A" w14:textId="77777777" w:rsidTr="003926FC">
        <w:trPr>
          <w:trHeight w:val="20"/>
        </w:trPr>
        <w:tc>
          <w:tcPr>
            <w:tcW w:w="990" w:type="dxa"/>
            <w:vMerge w:val="restart"/>
            <w:shd w:val="clear" w:color="auto" w:fill="auto"/>
            <w:vAlign w:val="center"/>
          </w:tcPr>
          <w:p w14:paraId="0751815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Jurídico-</w:t>
            </w:r>
          </w:p>
          <w:p w14:paraId="5CDB68B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Estrutural</w:t>
            </w:r>
          </w:p>
        </w:tc>
        <w:tc>
          <w:tcPr>
            <w:tcW w:w="1860" w:type="dxa"/>
            <w:shd w:val="clear" w:color="auto" w:fill="auto"/>
            <w:vAlign w:val="center"/>
          </w:tcPr>
          <w:p w14:paraId="684C9E8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P1. O Fundo possui lei formal de criação vigente?</w:t>
            </w:r>
          </w:p>
        </w:tc>
        <w:tc>
          <w:tcPr>
            <w:tcW w:w="495" w:type="dxa"/>
            <w:shd w:val="clear" w:color="auto" w:fill="auto"/>
            <w:vAlign w:val="center"/>
          </w:tcPr>
          <w:p w14:paraId="5E6A726A"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C00000"/>
            <w:vAlign w:val="center"/>
          </w:tcPr>
          <w:p w14:paraId="34B4306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R1. Inexistência/invalidade do Fundo; nulidade de atos; insegurança jurídica; bloqueio de arrecadação e execução.</w:t>
            </w:r>
          </w:p>
        </w:tc>
        <w:tc>
          <w:tcPr>
            <w:tcW w:w="1875" w:type="dxa"/>
            <w:shd w:val="clear" w:color="auto" w:fill="C00000"/>
            <w:vAlign w:val="center"/>
          </w:tcPr>
          <w:p w14:paraId="7FB124A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5 – MUITO ALTO</w:t>
            </w:r>
          </w:p>
          <w:p w14:paraId="49D8CB1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 Fundo fica juridicamente nulo; inviabiliza arrecadação e execução; expõe gestores a responsabilização.</w:t>
            </w:r>
          </w:p>
        </w:tc>
        <w:tc>
          <w:tcPr>
            <w:tcW w:w="945" w:type="dxa"/>
            <w:vAlign w:val="center"/>
          </w:tcPr>
          <w:p w14:paraId="1CF47E96"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6AA907A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719840C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Elaborar e tramitar Projeto de Lei com densidade normativa (objetivos, fontes, destinação, governança e integração PPA/LDO/LOA).</w:t>
            </w:r>
          </w:p>
        </w:tc>
        <w:tc>
          <w:tcPr>
            <w:tcW w:w="1695" w:type="dxa"/>
            <w:shd w:val="clear" w:color="auto" w:fill="auto"/>
            <w:vAlign w:val="center"/>
          </w:tcPr>
          <w:p w14:paraId="78F8FBD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Suspender novos empenhos; instituir plano de transição e guarda de saldos em conta específica até aprovação da lei.</w:t>
            </w:r>
          </w:p>
        </w:tc>
        <w:tc>
          <w:tcPr>
            <w:tcW w:w="1680" w:type="dxa"/>
            <w:shd w:val="clear" w:color="auto" w:fill="auto"/>
            <w:vAlign w:val="center"/>
          </w:tcPr>
          <w:p w14:paraId="02E224C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Procuradoria; Casa Civil; Legislativo</w:t>
            </w:r>
          </w:p>
        </w:tc>
      </w:tr>
      <w:tr w:rsidR="00DB0181" w:rsidRPr="00A04B57" w14:paraId="41DBF397" w14:textId="77777777" w:rsidTr="003926FC">
        <w:trPr>
          <w:trHeight w:val="20"/>
        </w:trPr>
        <w:tc>
          <w:tcPr>
            <w:tcW w:w="990" w:type="dxa"/>
            <w:vMerge/>
            <w:shd w:val="clear" w:color="auto" w:fill="auto"/>
            <w:vAlign w:val="center"/>
          </w:tcPr>
          <w:p w14:paraId="5A918DDD"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1CFC44F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P2. O Fundo está previsto na Constituição Estadual ou Lei Orgânica Municipal?</w:t>
            </w:r>
          </w:p>
        </w:tc>
        <w:tc>
          <w:tcPr>
            <w:tcW w:w="495" w:type="dxa"/>
            <w:shd w:val="clear" w:color="auto" w:fill="auto"/>
            <w:vAlign w:val="center"/>
          </w:tcPr>
          <w:p w14:paraId="14EF2807"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C00000"/>
            <w:vAlign w:val="center"/>
          </w:tcPr>
          <w:p w14:paraId="35DF5C0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R2. Fragilidade de amparo constitucional-orgânico; risco de questionamentos e judicialização.</w:t>
            </w:r>
          </w:p>
        </w:tc>
        <w:tc>
          <w:tcPr>
            <w:tcW w:w="1875" w:type="dxa"/>
            <w:shd w:val="clear" w:color="auto" w:fill="C00000"/>
            <w:vAlign w:val="center"/>
          </w:tcPr>
          <w:p w14:paraId="54DA36F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5 – MUITO ALTO</w:t>
            </w:r>
          </w:p>
          <w:p w14:paraId="527B3A9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Possibilidade de inconstitucionalidade e bloqueio de receitas.</w:t>
            </w:r>
          </w:p>
        </w:tc>
        <w:tc>
          <w:tcPr>
            <w:tcW w:w="945" w:type="dxa"/>
            <w:vAlign w:val="center"/>
          </w:tcPr>
          <w:p w14:paraId="5C8431D6"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5678BD4D"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710315A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Propor emenda à CE/LOM positivando o Fundo e o adicional vinculado.</w:t>
            </w:r>
          </w:p>
        </w:tc>
        <w:tc>
          <w:tcPr>
            <w:tcW w:w="1695" w:type="dxa"/>
            <w:shd w:val="clear" w:color="auto" w:fill="auto"/>
            <w:vAlign w:val="center"/>
          </w:tcPr>
          <w:p w14:paraId="1E6289F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Parecer jurídico vinculante e ajuste provisório por lei ordinária enquanto tramita a emenda.</w:t>
            </w:r>
          </w:p>
        </w:tc>
        <w:tc>
          <w:tcPr>
            <w:tcW w:w="1680" w:type="dxa"/>
            <w:shd w:val="clear" w:color="auto" w:fill="auto"/>
            <w:vAlign w:val="center"/>
          </w:tcPr>
          <w:p w14:paraId="4553FB4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Procuradoria; Legislativo; OGF</w:t>
            </w:r>
          </w:p>
        </w:tc>
      </w:tr>
      <w:tr w:rsidR="00DB0181" w:rsidRPr="00A04B57" w14:paraId="0E430C04" w14:textId="77777777" w:rsidTr="003926FC">
        <w:trPr>
          <w:trHeight w:val="20"/>
        </w:trPr>
        <w:tc>
          <w:tcPr>
            <w:tcW w:w="990" w:type="dxa"/>
            <w:vMerge/>
            <w:shd w:val="clear" w:color="auto" w:fill="auto"/>
            <w:vAlign w:val="center"/>
          </w:tcPr>
          <w:p w14:paraId="2E1CBA0E"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1F1A688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P3. Existe regulamentação infralegal vigente (decreto, portaria, resolução)?</w:t>
            </w:r>
          </w:p>
        </w:tc>
        <w:tc>
          <w:tcPr>
            <w:tcW w:w="495" w:type="dxa"/>
            <w:shd w:val="clear" w:color="auto" w:fill="auto"/>
            <w:vAlign w:val="center"/>
          </w:tcPr>
          <w:p w14:paraId="5328DAC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FFFF00"/>
            <w:vAlign w:val="center"/>
          </w:tcPr>
          <w:p w14:paraId="615E1F6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R3. Vácuo procedimental; execução discricionária; insegurança de ritos.</w:t>
            </w:r>
          </w:p>
        </w:tc>
        <w:tc>
          <w:tcPr>
            <w:tcW w:w="1875" w:type="dxa"/>
            <w:shd w:val="clear" w:color="auto" w:fill="FFFF00"/>
            <w:vAlign w:val="center"/>
          </w:tcPr>
          <w:p w14:paraId="72E73F6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3 – MÉDIO</w:t>
            </w:r>
          </w:p>
          <w:p w14:paraId="2C77565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Compromete transparência e previsibilidade operacional.</w:t>
            </w:r>
          </w:p>
        </w:tc>
        <w:tc>
          <w:tcPr>
            <w:tcW w:w="945" w:type="dxa"/>
            <w:vAlign w:val="center"/>
          </w:tcPr>
          <w:p w14:paraId="793802DF"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74D318D9"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27</w:t>
            </w:r>
          </w:p>
        </w:tc>
        <w:tc>
          <w:tcPr>
            <w:tcW w:w="1920" w:type="dxa"/>
            <w:shd w:val="clear" w:color="auto" w:fill="auto"/>
            <w:vAlign w:val="center"/>
          </w:tcPr>
          <w:p w14:paraId="616D362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Publicar decreto/portaria com fluxos de PA/PAF, prazos, critérios e prestação de contas.</w:t>
            </w:r>
          </w:p>
        </w:tc>
        <w:tc>
          <w:tcPr>
            <w:tcW w:w="1695" w:type="dxa"/>
            <w:shd w:val="clear" w:color="auto" w:fill="auto"/>
            <w:vAlign w:val="center"/>
          </w:tcPr>
          <w:p w14:paraId="35C2DFE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Edição de instrução normativa emergencial para o exercício corrente.</w:t>
            </w:r>
          </w:p>
        </w:tc>
        <w:tc>
          <w:tcPr>
            <w:tcW w:w="1680" w:type="dxa"/>
            <w:shd w:val="clear" w:color="auto" w:fill="auto"/>
            <w:vAlign w:val="center"/>
          </w:tcPr>
          <w:p w14:paraId="1014EFE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CI</w:t>
            </w:r>
          </w:p>
        </w:tc>
      </w:tr>
      <w:tr w:rsidR="00DB0181" w:rsidRPr="00A04B57" w14:paraId="05EC9308" w14:textId="77777777" w:rsidTr="003926FC">
        <w:trPr>
          <w:trHeight w:val="20"/>
        </w:trPr>
        <w:tc>
          <w:tcPr>
            <w:tcW w:w="990" w:type="dxa"/>
            <w:vMerge/>
            <w:shd w:val="clear" w:color="auto" w:fill="auto"/>
            <w:vAlign w:val="center"/>
          </w:tcPr>
          <w:p w14:paraId="3D30AC4D"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0F4EDE5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P4. A legislação define claramente os objetivos institucionais do Fundo?</w:t>
            </w:r>
          </w:p>
        </w:tc>
        <w:tc>
          <w:tcPr>
            <w:tcW w:w="495" w:type="dxa"/>
            <w:shd w:val="clear" w:color="auto" w:fill="auto"/>
            <w:vAlign w:val="center"/>
          </w:tcPr>
          <w:p w14:paraId="5FB382D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E36C09"/>
            <w:vAlign w:val="center"/>
          </w:tcPr>
          <w:p w14:paraId="04AE916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R4. Desvio de finalidade; pulverização do gasto; baixa aderência ao combate à pobreza.</w:t>
            </w:r>
          </w:p>
        </w:tc>
        <w:tc>
          <w:tcPr>
            <w:tcW w:w="1875" w:type="dxa"/>
            <w:shd w:val="clear" w:color="auto" w:fill="E36C09"/>
            <w:vAlign w:val="center"/>
          </w:tcPr>
          <w:p w14:paraId="380BD69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3934E42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Perda de foco redistributivo e risco de responsabilização.</w:t>
            </w:r>
          </w:p>
        </w:tc>
        <w:tc>
          <w:tcPr>
            <w:tcW w:w="945" w:type="dxa"/>
            <w:vAlign w:val="center"/>
          </w:tcPr>
          <w:p w14:paraId="3D20AE70"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29D0E07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36</w:t>
            </w:r>
          </w:p>
        </w:tc>
        <w:tc>
          <w:tcPr>
            <w:tcW w:w="1920" w:type="dxa"/>
            <w:shd w:val="clear" w:color="auto" w:fill="auto"/>
            <w:vAlign w:val="center"/>
          </w:tcPr>
          <w:p w14:paraId="4D40370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Revisar a lei para definir escopo finalístico e vedações expressas à substituição de despesas ordinárias.</w:t>
            </w:r>
          </w:p>
        </w:tc>
        <w:tc>
          <w:tcPr>
            <w:tcW w:w="1695" w:type="dxa"/>
            <w:shd w:val="clear" w:color="auto" w:fill="auto"/>
            <w:vAlign w:val="center"/>
          </w:tcPr>
          <w:p w14:paraId="338B124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Reprogramar despesas; cancelar empenhos fora do objetivo; registrar decisão em ata do CGF.</w:t>
            </w:r>
          </w:p>
        </w:tc>
        <w:tc>
          <w:tcPr>
            <w:tcW w:w="1680" w:type="dxa"/>
            <w:shd w:val="clear" w:color="auto" w:fill="auto"/>
            <w:vAlign w:val="center"/>
          </w:tcPr>
          <w:p w14:paraId="794923B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 Procuradoria</w:t>
            </w:r>
          </w:p>
        </w:tc>
      </w:tr>
      <w:tr w:rsidR="00DB0181" w:rsidRPr="00A04B57" w14:paraId="5550E8B9" w14:textId="77777777" w:rsidTr="003926FC">
        <w:trPr>
          <w:trHeight w:val="20"/>
        </w:trPr>
        <w:tc>
          <w:tcPr>
            <w:tcW w:w="990" w:type="dxa"/>
            <w:vMerge/>
            <w:shd w:val="clear" w:color="auto" w:fill="auto"/>
            <w:vAlign w:val="center"/>
          </w:tcPr>
          <w:p w14:paraId="5FD14224"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79E34DA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P5. A legislação define claramente as fontes de receita do Fundo?</w:t>
            </w:r>
          </w:p>
        </w:tc>
        <w:tc>
          <w:tcPr>
            <w:tcW w:w="495" w:type="dxa"/>
            <w:shd w:val="clear" w:color="auto" w:fill="auto"/>
            <w:vAlign w:val="center"/>
          </w:tcPr>
          <w:p w14:paraId="20279D39"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C00000"/>
            <w:vAlign w:val="center"/>
          </w:tcPr>
          <w:p w14:paraId="2AC7502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R5. Instabilidade arrecadatória; glosas; perdas de receita.</w:t>
            </w:r>
          </w:p>
        </w:tc>
        <w:tc>
          <w:tcPr>
            <w:tcW w:w="1875" w:type="dxa"/>
            <w:shd w:val="clear" w:color="auto" w:fill="C00000"/>
            <w:vAlign w:val="center"/>
          </w:tcPr>
          <w:p w14:paraId="3B5B983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5 – MUITO ALTO</w:t>
            </w:r>
          </w:p>
          <w:p w14:paraId="43EBC6A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Reduz previsibilidade fiscal e compromete o processo alocativo.</w:t>
            </w:r>
          </w:p>
        </w:tc>
        <w:tc>
          <w:tcPr>
            <w:tcW w:w="945" w:type="dxa"/>
            <w:vAlign w:val="center"/>
          </w:tcPr>
          <w:p w14:paraId="4730EFDA"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3B6E4959"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1100BC4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Tipificar fontes na lei (ex.: adicional ICMS/ISS) e instituir conta bancária exclusiva.</w:t>
            </w:r>
          </w:p>
        </w:tc>
        <w:tc>
          <w:tcPr>
            <w:tcW w:w="1695" w:type="dxa"/>
            <w:shd w:val="clear" w:color="auto" w:fill="auto"/>
            <w:vAlign w:val="center"/>
          </w:tcPr>
          <w:p w14:paraId="64443E5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Conciliação de receita; plano de recomposição; ajuste da previsão na LOA.</w:t>
            </w:r>
          </w:p>
        </w:tc>
        <w:tc>
          <w:tcPr>
            <w:tcW w:w="1680" w:type="dxa"/>
            <w:shd w:val="clear" w:color="auto" w:fill="auto"/>
            <w:vAlign w:val="center"/>
          </w:tcPr>
          <w:p w14:paraId="2919940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SEFAZ; OGF; Contadoria</w:t>
            </w:r>
          </w:p>
        </w:tc>
      </w:tr>
      <w:tr w:rsidR="00DB0181" w:rsidRPr="00A04B57" w14:paraId="3B26951E" w14:textId="77777777" w:rsidTr="003926FC">
        <w:trPr>
          <w:trHeight w:val="20"/>
        </w:trPr>
        <w:tc>
          <w:tcPr>
            <w:tcW w:w="990" w:type="dxa"/>
            <w:vMerge/>
            <w:shd w:val="clear" w:color="auto" w:fill="auto"/>
            <w:vAlign w:val="center"/>
          </w:tcPr>
          <w:p w14:paraId="1BFCD7AD"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4DEAD2D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P6. A legislação define claramente a destinação legal dos recursos do Fundo?</w:t>
            </w:r>
          </w:p>
        </w:tc>
        <w:tc>
          <w:tcPr>
            <w:tcW w:w="495" w:type="dxa"/>
            <w:shd w:val="clear" w:color="auto" w:fill="auto"/>
            <w:vAlign w:val="center"/>
          </w:tcPr>
          <w:p w14:paraId="44A7C837"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C00000"/>
            <w:vAlign w:val="center"/>
          </w:tcPr>
          <w:p w14:paraId="73B8C9B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R6. Gasto difuso e ineficaz; planejamento prejudicado.</w:t>
            </w:r>
          </w:p>
        </w:tc>
        <w:tc>
          <w:tcPr>
            <w:tcW w:w="1875" w:type="dxa"/>
            <w:shd w:val="clear" w:color="auto" w:fill="C00000"/>
            <w:vAlign w:val="center"/>
          </w:tcPr>
          <w:p w14:paraId="131F1BE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5 – MUITO ALTO</w:t>
            </w:r>
          </w:p>
          <w:p w14:paraId="2B7DCC7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Compromete a efetividade social e pode configurar improbidade.</w:t>
            </w:r>
          </w:p>
        </w:tc>
        <w:tc>
          <w:tcPr>
            <w:tcW w:w="945" w:type="dxa"/>
            <w:vAlign w:val="center"/>
          </w:tcPr>
          <w:p w14:paraId="141A2536"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4A1247A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3A52E27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Vincular legalmente às políticas elegíveis; instituir matriz ação–indicador–ODS.</w:t>
            </w:r>
          </w:p>
        </w:tc>
        <w:tc>
          <w:tcPr>
            <w:tcW w:w="1695" w:type="dxa"/>
            <w:shd w:val="clear" w:color="auto" w:fill="auto"/>
            <w:vAlign w:val="center"/>
          </w:tcPr>
          <w:p w14:paraId="18C726E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Anular ou remanejar dotações indevidas; priorizar despesas finalísticas.</w:t>
            </w:r>
          </w:p>
        </w:tc>
        <w:tc>
          <w:tcPr>
            <w:tcW w:w="1680" w:type="dxa"/>
            <w:shd w:val="clear" w:color="auto" w:fill="auto"/>
            <w:vAlign w:val="center"/>
          </w:tcPr>
          <w:p w14:paraId="2B2B674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 SEPLAG</w:t>
            </w:r>
          </w:p>
        </w:tc>
      </w:tr>
      <w:tr w:rsidR="00DB0181" w:rsidRPr="00A04B57" w14:paraId="56432E08" w14:textId="77777777" w:rsidTr="003926FC">
        <w:trPr>
          <w:trHeight w:val="20"/>
        </w:trPr>
        <w:tc>
          <w:tcPr>
            <w:tcW w:w="990" w:type="dxa"/>
            <w:vMerge/>
            <w:shd w:val="clear" w:color="auto" w:fill="auto"/>
            <w:vAlign w:val="center"/>
          </w:tcPr>
          <w:p w14:paraId="523376D1"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1B61FE6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P7. A legislação prevê mecanismos de governança (Órgão Gestor, Conselho Gestor, transparência, prestação de contas)?</w:t>
            </w:r>
          </w:p>
        </w:tc>
        <w:tc>
          <w:tcPr>
            <w:tcW w:w="495" w:type="dxa"/>
            <w:shd w:val="clear" w:color="auto" w:fill="auto"/>
            <w:vAlign w:val="center"/>
          </w:tcPr>
          <w:p w14:paraId="19688989"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E36C09"/>
            <w:vAlign w:val="center"/>
          </w:tcPr>
          <w:p w14:paraId="5A710C6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R7. Governança inoperante; decisões opacas; captura política.</w:t>
            </w:r>
          </w:p>
        </w:tc>
        <w:tc>
          <w:tcPr>
            <w:tcW w:w="1875" w:type="dxa"/>
            <w:shd w:val="clear" w:color="auto" w:fill="E36C09"/>
            <w:vAlign w:val="center"/>
          </w:tcPr>
          <w:p w14:paraId="3DF4ED9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784C439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Compromete a legitimidade e o controle.</w:t>
            </w:r>
          </w:p>
        </w:tc>
        <w:tc>
          <w:tcPr>
            <w:tcW w:w="945" w:type="dxa"/>
            <w:vAlign w:val="center"/>
          </w:tcPr>
          <w:p w14:paraId="20CB35AE"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2ED7250F"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36</w:t>
            </w:r>
          </w:p>
        </w:tc>
        <w:tc>
          <w:tcPr>
            <w:tcW w:w="1920" w:type="dxa"/>
            <w:shd w:val="clear" w:color="auto" w:fill="auto"/>
            <w:vAlign w:val="center"/>
          </w:tcPr>
          <w:p w14:paraId="0EB589E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Prever em lei OGF/CGF com ritos, quóruns e prestação de contas.</w:t>
            </w:r>
          </w:p>
        </w:tc>
        <w:tc>
          <w:tcPr>
            <w:tcW w:w="1695" w:type="dxa"/>
            <w:shd w:val="clear" w:color="auto" w:fill="auto"/>
            <w:vAlign w:val="center"/>
          </w:tcPr>
          <w:p w14:paraId="6578AB3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Instituir comitê provisório e resoluções até ajuste legal.</w:t>
            </w:r>
          </w:p>
        </w:tc>
        <w:tc>
          <w:tcPr>
            <w:tcW w:w="1680" w:type="dxa"/>
            <w:shd w:val="clear" w:color="auto" w:fill="auto"/>
            <w:vAlign w:val="center"/>
          </w:tcPr>
          <w:p w14:paraId="614CB18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 CI</w:t>
            </w:r>
          </w:p>
        </w:tc>
      </w:tr>
      <w:tr w:rsidR="00DB0181" w:rsidRPr="00A04B57" w14:paraId="114E26DA" w14:textId="77777777" w:rsidTr="003926FC">
        <w:trPr>
          <w:trHeight w:val="20"/>
        </w:trPr>
        <w:tc>
          <w:tcPr>
            <w:tcW w:w="990" w:type="dxa"/>
            <w:vMerge/>
            <w:shd w:val="clear" w:color="auto" w:fill="auto"/>
            <w:vAlign w:val="center"/>
          </w:tcPr>
          <w:p w14:paraId="6A49C644"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2B4804F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P8. Existe previsão legal de vinculação de alíquotas de ICMS (até 2%) ou ISS (até 0,5%) para o Fundo?</w:t>
            </w:r>
          </w:p>
        </w:tc>
        <w:tc>
          <w:tcPr>
            <w:tcW w:w="495" w:type="dxa"/>
            <w:shd w:val="clear" w:color="auto" w:fill="auto"/>
            <w:vAlign w:val="center"/>
          </w:tcPr>
          <w:p w14:paraId="04F3E8B4"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C00000"/>
            <w:vAlign w:val="center"/>
          </w:tcPr>
          <w:p w14:paraId="1C32FAD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R8. Ausência de vinculação clara reduz a previsibilidade da receita.</w:t>
            </w:r>
          </w:p>
        </w:tc>
        <w:tc>
          <w:tcPr>
            <w:tcW w:w="1875" w:type="dxa"/>
            <w:shd w:val="clear" w:color="auto" w:fill="C00000"/>
            <w:vAlign w:val="center"/>
          </w:tcPr>
          <w:p w14:paraId="6ACEAFF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5 – MUITO ALTO</w:t>
            </w:r>
          </w:p>
          <w:p w14:paraId="1641CC6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Dependência de transferências discricionárias e risco de perdas na arrecadação.</w:t>
            </w:r>
          </w:p>
        </w:tc>
        <w:tc>
          <w:tcPr>
            <w:tcW w:w="945" w:type="dxa"/>
            <w:vAlign w:val="center"/>
          </w:tcPr>
          <w:p w14:paraId="754C843B"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1379B75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30</w:t>
            </w:r>
          </w:p>
        </w:tc>
        <w:tc>
          <w:tcPr>
            <w:tcW w:w="1920" w:type="dxa"/>
            <w:shd w:val="clear" w:color="auto" w:fill="auto"/>
            <w:vAlign w:val="center"/>
          </w:tcPr>
          <w:p w14:paraId="3F7B00E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Inserir dispositivo legal fixando o adicional e sua destinação ao Fundo.</w:t>
            </w:r>
          </w:p>
        </w:tc>
        <w:tc>
          <w:tcPr>
            <w:tcW w:w="1695" w:type="dxa"/>
            <w:shd w:val="clear" w:color="auto" w:fill="auto"/>
            <w:vAlign w:val="center"/>
          </w:tcPr>
          <w:p w14:paraId="6CDFAE7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Ajustar LOA e pactuar repasses compensatórios; plano de recomposição.</w:t>
            </w:r>
          </w:p>
        </w:tc>
        <w:tc>
          <w:tcPr>
            <w:tcW w:w="1680" w:type="dxa"/>
            <w:shd w:val="clear" w:color="auto" w:fill="auto"/>
            <w:vAlign w:val="center"/>
          </w:tcPr>
          <w:p w14:paraId="5C35A6D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SEFAZ; Procuradoria; Legislativo; OGF</w:t>
            </w:r>
          </w:p>
        </w:tc>
      </w:tr>
      <w:tr w:rsidR="00DB0181" w:rsidRPr="00A04B57" w14:paraId="35111656" w14:textId="77777777" w:rsidTr="003926FC">
        <w:trPr>
          <w:trHeight w:val="20"/>
        </w:trPr>
        <w:tc>
          <w:tcPr>
            <w:tcW w:w="990" w:type="dxa"/>
            <w:vMerge/>
            <w:shd w:val="clear" w:color="auto" w:fill="auto"/>
            <w:vAlign w:val="center"/>
          </w:tcPr>
          <w:p w14:paraId="7E353B21"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5B2A5B3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P16. A legislação do Fundo define o que são e/ou quais as áreas das ações de combate à pobreza?</w:t>
            </w:r>
          </w:p>
        </w:tc>
        <w:tc>
          <w:tcPr>
            <w:tcW w:w="495" w:type="dxa"/>
            <w:shd w:val="clear" w:color="auto" w:fill="auto"/>
            <w:vAlign w:val="center"/>
          </w:tcPr>
          <w:p w14:paraId="02F970E6"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C00000"/>
            <w:vAlign w:val="center"/>
          </w:tcPr>
          <w:p w14:paraId="366CD1F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R9. Indefinição legal do escopo das ações de combate à pobreza – abre espaço para desvio de finalidade, pulverização de gastos, sobreposição com despesas ordinárias das secretarias, baixa efetividade social e questionamentos jurídicos</w:t>
            </w:r>
          </w:p>
        </w:tc>
        <w:tc>
          <w:tcPr>
            <w:tcW w:w="1875" w:type="dxa"/>
            <w:shd w:val="clear" w:color="auto" w:fill="C00000"/>
            <w:vAlign w:val="center"/>
          </w:tcPr>
          <w:p w14:paraId="07BFC33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5 – MUITO ALTO</w:t>
            </w:r>
          </w:p>
          <w:p w14:paraId="62B1786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 ausência de definição compromete a legitimidade do Fundo, enfraquece sua função redistributiva, aumenta o risco de responsabilização por desvio de finalidade e pode inviabilizar políticas prioritárias.</w:t>
            </w:r>
          </w:p>
        </w:tc>
        <w:tc>
          <w:tcPr>
            <w:tcW w:w="945" w:type="dxa"/>
            <w:vAlign w:val="center"/>
          </w:tcPr>
          <w:p w14:paraId="4D64528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1CBE8904"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549B29F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Alterar a lei para inserir rol exemplificativo ou taxativo das áreas elegíveis (educação, saúde, assistência social, habitação, saneamento etc.), vinculadas a indicadores de pobreza e alinhadas ao PPA/LDO/LOA. Prever vedação expressa ao custeio de despesas ordinárias.</w:t>
            </w:r>
          </w:p>
        </w:tc>
        <w:tc>
          <w:tcPr>
            <w:tcW w:w="1695" w:type="dxa"/>
            <w:shd w:val="clear" w:color="auto" w:fill="auto"/>
            <w:vAlign w:val="center"/>
          </w:tcPr>
          <w:p w14:paraId="5FA65F9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Suspender ou reprogramar despesas que não estejam claramente ligadas a ações de combate à pobreza; emitir parecer jurídico e deliberação do Conselho Gestor registrando a necessidade de adequação da despesa; priorizar execução em áreas mais </w:t>
            </w:r>
            <w:r w:rsidRPr="00A04B57">
              <w:rPr>
                <w:rFonts w:ascii="Times New Roman" w:hAnsi="Times New Roman" w:cs="Times New Roman"/>
                <w:sz w:val="14"/>
                <w:szCs w:val="14"/>
              </w:rPr>
              <w:lastRenderedPageBreak/>
              <w:t>vulneráveis até ajuste legal.</w:t>
            </w:r>
          </w:p>
        </w:tc>
        <w:tc>
          <w:tcPr>
            <w:tcW w:w="1680" w:type="dxa"/>
            <w:shd w:val="clear" w:color="auto" w:fill="auto"/>
            <w:vAlign w:val="center"/>
          </w:tcPr>
          <w:p w14:paraId="0CAF1DA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lastRenderedPageBreak/>
              <w:t>OGF; CGF; Procuradoria; SEPLAG; CI</w:t>
            </w:r>
          </w:p>
        </w:tc>
      </w:tr>
      <w:tr w:rsidR="00DB0181" w:rsidRPr="00A04B57" w14:paraId="3B2754E9" w14:textId="77777777" w:rsidTr="003926FC">
        <w:trPr>
          <w:trHeight w:val="20"/>
        </w:trPr>
        <w:tc>
          <w:tcPr>
            <w:tcW w:w="990" w:type="dxa"/>
            <w:vMerge/>
            <w:shd w:val="clear" w:color="auto" w:fill="auto"/>
            <w:vAlign w:val="center"/>
          </w:tcPr>
          <w:p w14:paraId="6B92C173"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78143B4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P17. Existe previsão obrigatória para elaboração de Plano de Ação (PA) pelo Conselho Gestor do Fundo?</w:t>
            </w:r>
          </w:p>
        </w:tc>
        <w:tc>
          <w:tcPr>
            <w:tcW w:w="495" w:type="dxa"/>
            <w:shd w:val="clear" w:color="auto" w:fill="auto"/>
            <w:vAlign w:val="center"/>
          </w:tcPr>
          <w:p w14:paraId="3B341A2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E36C09"/>
            <w:vAlign w:val="center"/>
          </w:tcPr>
          <w:p w14:paraId="58DBCC3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R10. Execução sem plano.</w:t>
            </w:r>
          </w:p>
        </w:tc>
        <w:tc>
          <w:tcPr>
            <w:tcW w:w="1875" w:type="dxa"/>
            <w:shd w:val="clear" w:color="auto" w:fill="E36C09"/>
            <w:vAlign w:val="center"/>
          </w:tcPr>
          <w:p w14:paraId="033549F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2E63849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Fragiliza governança e </w:t>
            </w:r>
            <w:r w:rsidRPr="00A04B57">
              <w:rPr>
                <w:rFonts w:ascii="Times New Roman" w:hAnsi="Times New Roman" w:cs="Times New Roman"/>
                <w:i/>
                <w:sz w:val="14"/>
                <w:szCs w:val="14"/>
              </w:rPr>
              <w:t>accountability</w:t>
            </w:r>
            <w:r w:rsidRPr="00A04B57">
              <w:rPr>
                <w:rFonts w:ascii="Times New Roman" w:hAnsi="Times New Roman" w:cs="Times New Roman"/>
                <w:sz w:val="14"/>
                <w:szCs w:val="14"/>
              </w:rPr>
              <w:t>. Possibilidade de desvio de finalidade.</w:t>
            </w:r>
          </w:p>
        </w:tc>
        <w:tc>
          <w:tcPr>
            <w:tcW w:w="945" w:type="dxa"/>
            <w:vAlign w:val="center"/>
          </w:tcPr>
          <w:p w14:paraId="3AE25200"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17709CE0"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36</w:t>
            </w:r>
          </w:p>
        </w:tc>
        <w:tc>
          <w:tcPr>
            <w:tcW w:w="1920" w:type="dxa"/>
            <w:shd w:val="clear" w:color="auto" w:fill="auto"/>
            <w:vAlign w:val="center"/>
          </w:tcPr>
          <w:p w14:paraId="563EECC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Obrigatoriedade legal do PA.</w:t>
            </w:r>
          </w:p>
        </w:tc>
        <w:tc>
          <w:tcPr>
            <w:tcW w:w="1695" w:type="dxa"/>
            <w:shd w:val="clear" w:color="auto" w:fill="auto"/>
            <w:vAlign w:val="center"/>
          </w:tcPr>
          <w:p w14:paraId="470F73D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PA emergencial (para um quadrimestre, por exemplo).</w:t>
            </w:r>
          </w:p>
        </w:tc>
        <w:tc>
          <w:tcPr>
            <w:tcW w:w="1680" w:type="dxa"/>
            <w:shd w:val="clear" w:color="auto" w:fill="auto"/>
            <w:vAlign w:val="center"/>
          </w:tcPr>
          <w:p w14:paraId="36DC43F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CGF.</w:t>
            </w:r>
          </w:p>
        </w:tc>
      </w:tr>
      <w:tr w:rsidR="00DB0181" w:rsidRPr="00A04B57" w14:paraId="6AF0F689" w14:textId="77777777" w:rsidTr="003926FC">
        <w:trPr>
          <w:trHeight w:val="20"/>
        </w:trPr>
        <w:tc>
          <w:tcPr>
            <w:tcW w:w="990" w:type="dxa"/>
            <w:vMerge/>
            <w:shd w:val="clear" w:color="auto" w:fill="auto"/>
            <w:vAlign w:val="center"/>
          </w:tcPr>
          <w:p w14:paraId="6EF138BF"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371AE9E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P18. O Plano de Ação (PA) define metas e objetivos claros para cada área temática de política pública?</w:t>
            </w:r>
          </w:p>
        </w:tc>
        <w:tc>
          <w:tcPr>
            <w:tcW w:w="495" w:type="dxa"/>
            <w:shd w:val="clear" w:color="auto" w:fill="auto"/>
            <w:vAlign w:val="center"/>
          </w:tcPr>
          <w:p w14:paraId="1E8B253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FFFF00"/>
            <w:vAlign w:val="center"/>
          </w:tcPr>
          <w:p w14:paraId="5B1EBB7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R11. Avaliação inviabilizada.</w:t>
            </w:r>
          </w:p>
        </w:tc>
        <w:tc>
          <w:tcPr>
            <w:tcW w:w="1875" w:type="dxa"/>
            <w:shd w:val="clear" w:color="auto" w:fill="FFFF00"/>
            <w:vAlign w:val="center"/>
          </w:tcPr>
          <w:p w14:paraId="4509B47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3 – MÉDIO </w:t>
            </w:r>
          </w:p>
          <w:p w14:paraId="205C3D7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Impede medir resultados e fragiliza o controle social.</w:t>
            </w:r>
          </w:p>
        </w:tc>
        <w:tc>
          <w:tcPr>
            <w:tcW w:w="945" w:type="dxa"/>
            <w:vAlign w:val="center"/>
          </w:tcPr>
          <w:p w14:paraId="0DAE3BE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703D89B9"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27</w:t>
            </w:r>
          </w:p>
        </w:tc>
        <w:tc>
          <w:tcPr>
            <w:tcW w:w="1920" w:type="dxa"/>
            <w:shd w:val="clear" w:color="auto" w:fill="auto"/>
            <w:vAlign w:val="center"/>
          </w:tcPr>
          <w:p w14:paraId="03D978D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Metodologia de indicadores.</w:t>
            </w:r>
          </w:p>
        </w:tc>
        <w:tc>
          <w:tcPr>
            <w:tcW w:w="1695" w:type="dxa"/>
            <w:shd w:val="clear" w:color="auto" w:fill="auto"/>
            <w:vAlign w:val="center"/>
          </w:tcPr>
          <w:p w14:paraId="48FE9D7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Revisão técnica com ata do CGF.</w:t>
            </w:r>
          </w:p>
        </w:tc>
        <w:tc>
          <w:tcPr>
            <w:tcW w:w="1680" w:type="dxa"/>
            <w:shd w:val="clear" w:color="auto" w:fill="auto"/>
            <w:vAlign w:val="center"/>
          </w:tcPr>
          <w:p w14:paraId="6AEB964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w:t>
            </w:r>
          </w:p>
        </w:tc>
      </w:tr>
      <w:tr w:rsidR="00DB0181" w:rsidRPr="00A04B57" w14:paraId="1B08B8D9" w14:textId="77777777" w:rsidTr="003926FC">
        <w:trPr>
          <w:trHeight w:val="20"/>
        </w:trPr>
        <w:tc>
          <w:tcPr>
            <w:tcW w:w="990" w:type="dxa"/>
            <w:vMerge/>
            <w:shd w:val="clear" w:color="auto" w:fill="auto"/>
            <w:vAlign w:val="center"/>
          </w:tcPr>
          <w:p w14:paraId="392ED065"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53FD787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P19. O Plano de Ação (PA) está alinhado ao Plano Plurianual (PPA)?</w:t>
            </w:r>
          </w:p>
        </w:tc>
        <w:tc>
          <w:tcPr>
            <w:tcW w:w="495" w:type="dxa"/>
            <w:shd w:val="clear" w:color="auto" w:fill="auto"/>
            <w:vAlign w:val="center"/>
          </w:tcPr>
          <w:p w14:paraId="3E02B1BD"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086970F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R12. Desconexão com o planejamento governamental e metas plurianuais.</w:t>
            </w:r>
          </w:p>
        </w:tc>
        <w:tc>
          <w:tcPr>
            <w:tcW w:w="1875" w:type="dxa"/>
            <w:shd w:val="clear" w:color="auto" w:fill="E36C09"/>
            <w:vAlign w:val="center"/>
          </w:tcPr>
          <w:p w14:paraId="501F43E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5A7D4AD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Compromete a integração orçamentária, a coerência programática e a implementação das ações de combate à pobreza deliberadas pelo CGF.</w:t>
            </w:r>
          </w:p>
        </w:tc>
        <w:tc>
          <w:tcPr>
            <w:tcW w:w="945" w:type="dxa"/>
            <w:vAlign w:val="center"/>
          </w:tcPr>
          <w:p w14:paraId="13ACE3FD"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6AB31821"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73B1A52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Exigir alinhamento formal do PA com o PPA; trilha de compatibilização na SEPLAG.</w:t>
            </w:r>
          </w:p>
        </w:tc>
        <w:tc>
          <w:tcPr>
            <w:tcW w:w="1695" w:type="dxa"/>
            <w:shd w:val="clear" w:color="auto" w:fill="auto"/>
            <w:vAlign w:val="center"/>
          </w:tcPr>
          <w:p w14:paraId="011A542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Revisar o PA com notas técnicas e deliberação do CGF.</w:t>
            </w:r>
          </w:p>
        </w:tc>
        <w:tc>
          <w:tcPr>
            <w:tcW w:w="1680" w:type="dxa"/>
            <w:shd w:val="clear" w:color="auto" w:fill="auto"/>
            <w:vAlign w:val="center"/>
          </w:tcPr>
          <w:p w14:paraId="6A1AA3B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SEPLAG; OGF; CGF</w:t>
            </w:r>
          </w:p>
        </w:tc>
      </w:tr>
      <w:tr w:rsidR="00DB0181" w:rsidRPr="00A04B57" w14:paraId="621ECA77" w14:textId="77777777" w:rsidTr="003926FC">
        <w:trPr>
          <w:trHeight w:val="20"/>
        </w:trPr>
        <w:tc>
          <w:tcPr>
            <w:tcW w:w="990" w:type="dxa"/>
            <w:vMerge/>
            <w:shd w:val="clear" w:color="auto" w:fill="auto"/>
            <w:vAlign w:val="center"/>
          </w:tcPr>
          <w:p w14:paraId="38A80F56"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22611A0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P20. Existe previsão obrigatória para elaboração de Plano de Aplicação Financeira (PAF) pelo Conselho Gestor do Fundo?</w:t>
            </w:r>
          </w:p>
        </w:tc>
        <w:tc>
          <w:tcPr>
            <w:tcW w:w="495" w:type="dxa"/>
            <w:shd w:val="clear" w:color="auto" w:fill="auto"/>
            <w:vAlign w:val="center"/>
          </w:tcPr>
          <w:p w14:paraId="02314D54"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C00000"/>
            <w:vAlign w:val="center"/>
          </w:tcPr>
          <w:p w14:paraId="3870328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R13. Autorização de despesas sem cobertura financeira.</w:t>
            </w:r>
          </w:p>
        </w:tc>
        <w:tc>
          <w:tcPr>
            <w:tcW w:w="1875" w:type="dxa"/>
            <w:shd w:val="clear" w:color="auto" w:fill="C00000"/>
            <w:vAlign w:val="center"/>
          </w:tcPr>
          <w:p w14:paraId="434E786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5 – MUITO ALTO</w:t>
            </w:r>
          </w:p>
          <w:p w14:paraId="346DC35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Gera insegurança jurídica, inscrição de despesas em Restos a Pagar e descontrole fiscal.</w:t>
            </w:r>
          </w:p>
        </w:tc>
        <w:tc>
          <w:tcPr>
            <w:tcW w:w="945" w:type="dxa"/>
            <w:vAlign w:val="center"/>
          </w:tcPr>
          <w:p w14:paraId="71EC863F"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19E7195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51C3312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Obrigatoriedade legal de PAF.</w:t>
            </w:r>
          </w:p>
        </w:tc>
        <w:tc>
          <w:tcPr>
            <w:tcW w:w="1695" w:type="dxa"/>
            <w:shd w:val="clear" w:color="auto" w:fill="auto"/>
            <w:vAlign w:val="center"/>
          </w:tcPr>
          <w:p w14:paraId="4840D71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PAF provisório com tetos.</w:t>
            </w:r>
          </w:p>
        </w:tc>
        <w:tc>
          <w:tcPr>
            <w:tcW w:w="1680" w:type="dxa"/>
            <w:shd w:val="clear" w:color="auto" w:fill="auto"/>
            <w:vAlign w:val="center"/>
          </w:tcPr>
          <w:p w14:paraId="7A88833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 SEPLAG</w:t>
            </w:r>
          </w:p>
        </w:tc>
      </w:tr>
      <w:tr w:rsidR="00DB0181" w:rsidRPr="00A04B57" w14:paraId="38BF0454" w14:textId="77777777" w:rsidTr="003926FC">
        <w:trPr>
          <w:trHeight w:val="20"/>
        </w:trPr>
        <w:tc>
          <w:tcPr>
            <w:tcW w:w="990" w:type="dxa"/>
            <w:vMerge w:val="restart"/>
            <w:shd w:val="clear" w:color="auto" w:fill="auto"/>
            <w:vAlign w:val="center"/>
          </w:tcPr>
          <w:p w14:paraId="524A303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Financeira e Orçamentária</w:t>
            </w:r>
          </w:p>
        </w:tc>
        <w:tc>
          <w:tcPr>
            <w:tcW w:w="1860" w:type="dxa"/>
            <w:shd w:val="clear" w:color="auto" w:fill="auto"/>
            <w:vAlign w:val="center"/>
          </w:tcPr>
          <w:p w14:paraId="03297B6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P9. O Fundo apresentou previsão de receitas discriminadas (por natureza) na LOA?</w:t>
            </w:r>
          </w:p>
        </w:tc>
        <w:tc>
          <w:tcPr>
            <w:tcW w:w="495" w:type="dxa"/>
            <w:shd w:val="clear" w:color="auto" w:fill="auto"/>
            <w:vAlign w:val="center"/>
          </w:tcPr>
          <w:p w14:paraId="6970508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14CDF54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R14. Omissão na LOA dificulta rastreabilidade da previsão e da compatibilidade alocativa.</w:t>
            </w:r>
          </w:p>
        </w:tc>
        <w:tc>
          <w:tcPr>
            <w:tcW w:w="1875" w:type="dxa"/>
            <w:shd w:val="clear" w:color="auto" w:fill="E36C09"/>
            <w:vAlign w:val="center"/>
          </w:tcPr>
          <w:p w14:paraId="3C488CE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4 – ALTO </w:t>
            </w:r>
          </w:p>
          <w:p w14:paraId="46522C0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Fragiliza transparência e controle social.</w:t>
            </w:r>
          </w:p>
        </w:tc>
        <w:tc>
          <w:tcPr>
            <w:tcW w:w="945" w:type="dxa"/>
            <w:vAlign w:val="center"/>
          </w:tcPr>
          <w:p w14:paraId="59708FB1"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4E455024"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542062E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Classificar por natureza/fonte e identificar a fonte específica do Fundo no SIAF.</w:t>
            </w:r>
          </w:p>
        </w:tc>
        <w:tc>
          <w:tcPr>
            <w:tcW w:w="1695" w:type="dxa"/>
            <w:shd w:val="clear" w:color="auto" w:fill="auto"/>
            <w:vAlign w:val="center"/>
          </w:tcPr>
          <w:p w14:paraId="797FDC8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Emitir nota técnica de mapeamento retroativo e ajustes por decreto/CRÉDITO.</w:t>
            </w:r>
          </w:p>
        </w:tc>
        <w:tc>
          <w:tcPr>
            <w:tcW w:w="1680" w:type="dxa"/>
            <w:shd w:val="clear" w:color="auto" w:fill="auto"/>
            <w:vAlign w:val="center"/>
          </w:tcPr>
          <w:p w14:paraId="393B733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SEPLAG; SEFAZ; CI; OGF</w:t>
            </w:r>
          </w:p>
        </w:tc>
      </w:tr>
      <w:tr w:rsidR="00DB0181" w:rsidRPr="00A04B57" w14:paraId="671EA87D" w14:textId="77777777" w:rsidTr="003926FC">
        <w:trPr>
          <w:trHeight w:val="20"/>
        </w:trPr>
        <w:tc>
          <w:tcPr>
            <w:tcW w:w="990" w:type="dxa"/>
            <w:vMerge/>
            <w:shd w:val="clear" w:color="auto" w:fill="auto"/>
            <w:vAlign w:val="center"/>
          </w:tcPr>
          <w:p w14:paraId="1315E914"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4A9B609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P10. A arrecadação do Fundo é regular ao longo do exercício?</w:t>
            </w:r>
          </w:p>
        </w:tc>
        <w:tc>
          <w:tcPr>
            <w:tcW w:w="495" w:type="dxa"/>
            <w:shd w:val="clear" w:color="auto" w:fill="auto"/>
            <w:vAlign w:val="center"/>
          </w:tcPr>
          <w:p w14:paraId="45D5166F"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1ACA862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R15. Oscilações e volatilidade nos fluxos; imprevisibilidade de caixa.</w:t>
            </w:r>
          </w:p>
        </w:tc>
        <w:tc>
          <w:tcPr>
            <w:tcW w:w="1875" w:type="dxa"/>
            <w:shd w:val="clear" w:color="auto" w:fill="E36C09"/>
            <w:vAlign w:val="center"/>
          </w:tcPr>
          <w:p w14:paraId="66895A3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3E57A85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Risco de atraso de pagamentos e paralisação de ações.</w:t>
            </w:r>
          </w:p>
        </w:tc>
        <w:tc>
          <w:tcPr>
            <w:tcW w:w="945" w:type="dxa"/>
            <w:vAlign w:val="center"/>
          </w:tcPr>
          <w:p w14:paraId="43E28EDD"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658F8C06"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4EFBB6E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Monitoramento mensal com gatilhos de alerta e previsão conservadora na LOA.</w:t>
            </w:r>
          </w:p>
        </w:tc>
        <w:tc>
          <w:tcPr>
            <w:tcW w:w="1695" w:type="dxa"/>
            <w:shd w:val="clear" w:color="auto" w:fill="auto"/>
            <w:vAlign w:val="center"/>
          </w:tcPr>
          <w:p w14:paraId="29A52F1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Revisar PAF; reprogramar despesas; priorizar ações finalísticas.</w:t>
            </w:r>
          </w:p>
        </w:tc>
        <w:tc>
          <w:tcPr>
            <w:tcW w:w="1680" w:type="dxa"/>
            <w:shd w:val="clear" w:color="auto" w:fill="auto"/>
            <w:vAlign w:val="center"/>
          </w:tcPr>
          <w:p w14:paraId="410B3C8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SEFAZ; OGF</w:t>
            </w:r>
          </w:p>
        </w:tc>
      </w:tr>
      <w:tr w:rsidR="00DB0181" w:rsidRPr="00A04B57" w14:paraId="7686F39D" w14:textId="77777777" w:rsidTr="003926FC">
        <w:trPr>
          <w:trHeight w:val="20"/>
        </w:trPr>
        <w:tc>
          <w:tcPr>
            <w:tcW w:w="990" w:type="dxa"/>
            <w:vMerge/>
            <w:shd w:val="clear" w:color="auto" w:fill="auto"/>
            <w:vAlign w:val="center"/>
          </w:tcPr>
          <w:p w14:paraId="1E32B740"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1AACE50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P11. O Fundo recebeu repasses sem atrasos, interrupções ou perdas significativas?</w:t>
            </w:r>
          </w:p>
        </w:tc>
        <w:tc>
          <w:tcPr>
            <w:tcW w:w="495" w:type="dxa"/>
            <w:shd w:val="clear" w:color="auto" w:fill="auto"/>
            <w:vAlign w:val="center"/>
          </w:tcPr>
          <w:p w14:paraId="75DBCC2E"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0C35043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R16. Atrasos ou interrupções de repasses desorganizam a execução.</w:t>
            </w:r>
          </w:p>
        </w:tc>
        <w:tc>
          <w:tcPr>
            <w:tcW w:w="1875" w:type="dxa"/>
            <w:shd w:val="clear" w:color="auto" w:fill="E36C09"/>
            <w:vAlign w:val="center"/>
          </w:tcPr>
          <w:p w14:paraId="68EF5D1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41D219A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Pode paralisar serviços essenciais.</w:t>
            </w:r>
          </w:p>
        </w:tc>
        <w:tc>
          <w:tcPr>
            <w:tcW w:w="945" w:type="dxa"/>
            <w:vAlign w:val="center"/>
          </w:tcPr>
          <w:p w14:paraId="342F42F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1429882E"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1859FCE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Fixar cronograma legal de repasses e rotinas de conciliação bancária.</w:t>
            </w:r>
          </w:p>
        </w:tc>
        <w:tc>
          <w:tcPr>
            <w:tcW w:w="1695" w:type="dxa"/>
            <w:shd w:val="clear" w:color="auto" w:fill="auto"/>
            <w:vAlign w:val="center"/>
          </w:tcPr>
          <w:p w14:paraId="4F4788C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Plano de pagamentos escalonados com foco nas ações essenciais.</w:t>
            </w:r>
          </w:p>
        </w:tc>
        <w:tc>
          <w:tcPr>
            <w:tcW w:w="1680" w:type="dxa"/>
            <w:shd w:val="clear" w:color="auto" w:fill="auto"/>
            <w:vAlign w:val="center"/>
          </w:tcPr>
          <w:p w14:paraId="0657EF6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SEFAZ; OGF; Unidade Contábil</w:t>
            </w:r>
          </w:p>
        </w:tc>
      </w:tr>
      <w:tr w:rsidR="00DB0181" w:rsidRPr="00A04B57" w14:paraId="62E55505" w14:textId="77777777" w:rsidTr="003926FC">
        <w:trPr>
          <w:trHeight w:val="20"/>
        </w:trPr>
        <w:tc>
          <w:tcPr>
            <w:tcW w:w="990" w:type="dxa"/>
            <w:vMerge/>
            <w:shd w:val="clear" w:color="auto" w:fill="auto"/>
            <w:vAlign w:val="center"/>
          </w:tcPr>
          <w:p w14:paraId="323CC1A7"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5FDDE1A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P33. O Fundo possui Unidade Orçamentária própria ou está classificado por Fonte de Recursos na LOA?</w:t>
            </w:r>
          </w:p>
        </w:tc>
        <w:tc>
          <w:tcPr>
            <w:tcW w:w="495" w:type="dxa"/>
            <w:shd w:val="clear" w:color="auto" w:fill="auto"/>
            <w:vAlign w:val="center"/>
          </w:tcPr>
          <w:p w14:paraId="5E25E60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C00000"/>
            <w:vAlign w:val="center"/>
          </w:tcPr>
          <w:p w14:paraId="6EF5B29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R17. Dificuldade de rastrear recursos e ações do Fundo.</w:t>
            </w:r>
          </w:p>
        </w:tc>
        <w:tc>
          <w:tcPr>
            <w:tcW w:w="1875" w:type="dxa"/>
            <w:shd w:val="clear" w:color="auto" w:fill="C00000"/>
            <w:vAlign w:val="center"/>
          </w:tcPr>
          <w:p w14:paraId="62D233B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5 – MUITO ALTO</w:t>
            </w:r>
          </w:p>
          <w:p w14:paraId="35169E9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Transparência e controle fragilizados. Risco de inexecução.</w:t>
            </w:r>
          </w:p>
        </w:tc>
        <w:tc>
          <w:tcPr>
            <w:tcW w:w="945" w:type="dxa"/>
            <w:vAlign w:val="center"/>
          </w:tcPr>
          <w:p w14:paraId="3FCDE529"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58DD307B"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30</w:t>
            </w:r>
          </w:p>
        </w:tc>
        <w:tc>
          <w:tcPr>
            <w:tcW w:w="1920" w:type="dxa"/>
            <w:shd w:val="clear" w:color="auto" w:fill="auto"/>
            <w:vAlign w:val="center"/>
          </w:tcPr>
          <w:p w14:paraId="3899CFA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Criar uma UO específica ou, no mínimo, fonte de recursos exclusiva.</w:t>
            </w:r>
          </w:p>
        </w:tc>
        <w:tc>
          <w:tcPr>
            <w:tcW w:w="1695" w:type="dxa"/>
            <w:shd w:val="clear" w:color="auto" w:fill="auto"/>
            <w:vAlign w:val="center"/>
          </w:tcPr>
          <w:p w14:paraId="7FC0F66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Adequar a classificação por fonte na LOA do exercício seguinte.</w:t>
            </w:r>
          </w:p>
        </w:tc>
        <w:tc>
          <w:tcPr>
            <w:tcW w:w="1680" w:type="dxa"/>
            <w:shd w:val="clear" w:color="auto" w:fill="auto"/>
            <w:vAlign w:val="center"/>
          </w:tcPr>
          <w:p w14:paraId="28B92C4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SEPLAG; Unidade Contábil; OGF</w:t>
            </w:r>
          </w:p>
        </w:tc>
      </w:tr>
      <w:tr w:rsidR="00DB0181" w:rsidRPr="00A04B57" w14:paraId="712EB2E3" w14:textId="77777777" w:rsidTr="003926FC">
        <w:trPr>
          <w:trHeight w:val="20"/>
        </w:trPr>
        <w:tc>
          <w:tcPr>
            <w:tcW w:w="990" w:type="dxa"/>
            <w:vMerge/>
            <w:shd w:val="clear" w:color="auto" w:fill="auto"/>
            <w:vAlign w:val="center"/>
          </w:tcPr>
          <w:p w14:paraId="12FB92DC"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583DC6E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P34. É possível identificar quais ações governamentais são custeadas com recursos do Fundo de Combate à Pobreza nas peças orçamentárias?</w:t>
            </w:r>
          </w:p>
        </w:tc>
        <w:tc>
          <w:tcPr>
            <w:tcW w:w="495" w:type="dxa"/>
            <w:shd w:val="clear" w:color="auto" w:fill="auto"/>
            <w:vAlign w:val="center"/>
          </w:tcPr>
          <w:p w14:paraId="55057D77"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C00000"/>
            <w:vAlign w:val="center"/>
          </w:tcPr>
          <w:p w14:paraId="4EAB126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R18. Impossibilidade de rastrear a finalidade dos gastos do Fundo.</w:t>
            </w:r>
          </w:p>
        </w:tc>
        <w:tc>
          <w:tcPr>
            <w:tcW w:w="1875" w:type="dxa"/>
            <w:shd w:val="clear" w:color="auto" w:fill="C00000"/>
            <w:vAlign w:val="center"/>
          </w:tcPr>
          <w:p w14:paraId="13ECC60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5 – MUITO ALTO</w:t>
            </w:r>
          </w:p>
          <w:p w14:paraId="7D764D5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Impossibilita prestar contas e aumenta o risco de desvios.</w:t>
            </w:r>
          </w:p>
        </w:tc>
        <w:tc>
          <w:tcPr>
            <w:tcW w:w="945" w:type="dxa"/>
            <w:vAlign w:val="center"/>
          </w:tcPr>
          <w:p w14:paraId="3E80F48B"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74324359"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474E98C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Fonte de Recursos específica ou Unidade Orçamentária definida para o Fundo.</w:t>
            </w:r>
          </w:p>
        </w:tc>
        <w:tc>
          <w:tcPr>
            <w:tcW w:w="1695" w:type="dxa"/>
            <w:shd w:val="clear" w:color="auto" w:fill="auto"/>
            <w:vAlign w:val="center"/>
          </w:tcPr>
          <w:p w14:paraId="2D47F66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Nota técnica de mapeamento retroativo.</w:t>
            </w:r>
          </w:p>
        </w:tc>
        <w:tc>
          <w:tcPr>
            <w:tcW w:w="1680" w:type="dxa"/>
            <w:shd w:val="clear" w:color="auto" w:fill="auto"/>
            <w:vAlign w:val="center"/>
          </w:tcPr>
          <w:p w14:paraId="3CC51E7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SEPLAG; OGF</w:t>
            </w:r>
          </w:p>
        </w:tc>
      </w:tr>
      <w:tr w:rsidR="00DB0181" w:rsidRPr="00A04B57" w14:paraId="60F75912" w14:textId="77777777" w:rsidTr="003926FC">
        <w:trPr>
          <w:trHeight w:val="20"/>
        </w:trPr>
        <w:tc>
          <w:tcPr>
            <w:tcW w:w="990" w:type="dxa"/>
            <w:vMerge/>
            <w:shd w:val="clear" w:color="auto" w:fill="auto"/>
            <w:vAlign w:val="center"/>
          </w:tcPr>
          <w:p w14:paraId="2791B1BE"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1B5C827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P35. Há metas no PPA ou na LDO que dependem de recursos do Fundo de Combate à Pobreza para serem cumpridas?</w:t>
            </w:r>
          </w:p>
        </w:tc>
        <w:tc>
          <w:tcPr>
            <w:tcW w:w="495" w:type="dxa"/>
            <w:shd w:val="clear" w:color="auto" w:fill="auto"/>
            <w:vAlign w:val="center"/>
          </w:tcPr>
          <w:p w14:paraId="4706E5A7"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FFFF00"/>
            <w:vAlign w:val="center"/>
          </w:tcPr>
          <w:p w14:paraId="6EA5154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R19. Metas de governo sem lastro financeiro do Fundo.</w:t>
            </w:r>
          </w:p>
        </w:tc>
        <w:tc>
          <w:tcPr>
            <w:tcW w:w="1875" w:type="dxa"/>
            <w:shd w:val="clear" w:color="auto" w:fill="FFFF00"/>
            <w:vAlign w:val="center"/>
          </w:tcPr>
          <w:p w14:paraId="4E2D336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3 – MÉDIO</w:t>
            </w:r>
          </w:p>
          <w:p w14:paraId="371AF47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Inviabiliza políticas estratégicas ou posterga entregas.</w:t>
            </w:r>
          </w:p>
        </w:tc>
        <w:tc>
          <w:tcPr>
            <w:tcW w:w="945" w:type="dxa"/>
            <w:vAlign w:val="center"/>
          </w:tcPr>
          <w:p w14:paraId="2021CD4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4BCCF84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18</w:t>
            </w:r>
          </w:p>
        </w:tc>
        <w:tc>
          <w:tcPr>
            <w:tcW w:w="1920" w:type="dxa"/>
            <w:shd w:val="clear" w:color="auto" w:fill="auto"/>
            <w:vAlign w:val="center"/>
          </w:tcPr>
          <w:p w14:paraId="115DB3A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Vincular metas às fontes; explicitar dependência do Fundo.</w:t>
            </w:r>
          </w:p>
        </w:tc>
        <w:tc>
          <w:tcPr>
            <w:tcW w:w="1695" w:type="dxa"/>
            <w:shd w:val="clear" w:color="auto" w:fill="auto"/>
            <w:vAlign w:val="center"/>
          </w:tcPr>
          <w:p w14:paraId="52C2E5A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Revisar metas e/ou suplementar dotação.</w:t>
            </w:r>
          </w:p>
        </w:tc>
        <w:tc>
          <w:tcPr>
            <w:tcW w:w="1680" w:type="dxa"/>
            <w:shd w:val="clear" w:color="auto" w:fill="auto"/>
            <w:vAlign w:val="center"/>
          </w:tcPr>
          <w:p w14:paraId="19F1813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SEPLAG; OGF</w:t>
            </w:r>
          </w:p>
        </w:tc>
      </w:tr>
      <w:tr w:rsidR="00DB0181" w:rsidRPr="00A04B57" w14:paraId="36B463D0" w14:textId="77777777" w:rsidTr="003926FC">
        <w:trPr>
          <w:trHeight w:val="20"/>
        </w:trPr>
        <w:tc>
          <w:tcPr>
            <w:tcW w:w="990" w:type="dxa"/>
            <w:vMerge/>
            <w:shd w:val="clear" w:color="auto" w:fill="auto"/>
            <w:vAlign w:val="center"/>
          </w:tcPr>
          <w:p w14:paraId="0C2100ED"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692D417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P44. O Fundo arrecadou ≥ 85% do valor programado no último ano?</w:t>
            </w:r>
          </w:p>
        </w:tc>
        <w:tc>
          <w:tcPr>
            <w:tcW w:w="495" w:type="dxa"/>
            <w:shd w:val="clear" w:color="auto" w:fill="auto"/>
            <w:vAlign w:val="center"/>
          </w:tcPr>
          <w:p w14:paraId="0835430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E36C09"/>
            <w:vAlign w:val="center"/>
          </w:tcPr>
          <w:p w14:paraId="7E584FD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R20. Frustração de receita; insuficiência de lastro para execução.</w:t>
            </w:r>
          </w:p>
        </w:tc>
        <w:tc>
          <w:tcPr>
            <w:tcW w:w="1875" w:type="dxa"/>
            <w:shd w:val="clear" w:color="auto" w:fill="E36C09"/>
            <w:vAlign w:val="center"/>
          </w:tcPr>
          <w:p w14:paraId="1CFC843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1E69DF6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Paralisa programas e aumenta a inscrição de despesas em Restos a Pagar.</w:t>
            </w:r>
          </w:p>
        </w:tc>
        <w:tc>
          <w:tcPr>
            <w:tcW w:w="945" w:type="dxa"/>
            <w:vAlign w:val="center"/>
          </w:tcPr>
          <w:p w14:paraId="5EACDBBE"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2876F9FE"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36</w:t>
            </w:r>
          </w:p>
        </w:tc>
        <w:tc>
          <w:tcPr>
            <w:tcW w:w="1920" w:type="dxa"/>
            <w:shd w:val="clear" w:color="auto" w:fill="auto"/>
            <w:vAlign w:val="center"/>
          </w:tcPr>
          <w:p w14:paraId="7761435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Projeções conservadoras; acompanhamento mensal e cobrança ativa.</w:t>
            </w:r>
          </w:p>
        </w:tc>
        <w:tc>
          <w:tcPr>
            <w:tcW w:w="1695" w:type="dxa"/>
            <w:shd w:val="clear" w:color="auto" w:fill="auto"/>
            <w:vAlign w:val="center"/>
          </w:tcPr>
          <w:p w14:paraId="69603D2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Plano de recomposição com priorização finalística e corte de custeio.</w:t>
            </w:r>
          </w:p>
        </w:tc>
        <w:tc>
          <w:tcPr>
            <w:tcW w:w="1680" w:type="dxa"/>
            <w:shd w:val="clear" w:color="auto" w:fill="auto"/>
            <w:vAlign w:val="center"/>
          </w:tcPr>
          <w:p w14:paraId="2C182E4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SEFAZ; SEPLAG; OGF</w:t>
            </w:r>
          </w:p>
        </w:tc>
      </w:tr>
      <w:tr w:rsidR="00DB0181" w:rsidRPr="00A04B57" w14:paraId="74F8096A" w14:textId="77777777" w:rsidTr="003926FC">
        <w:trPr>
          <w:trHeight w:val="20"/>
        </w:trPr>
        <w:tc>
          <w:tcPr>
            <w:tcW w:w="990" w:type="dxa"/>
            <w:vMerge/>
            <w:shd w:val="clear" w:color="auto" w:fill="auto"/>
            <w:vAlign w:val="center"/>
          </w:tcPr>
          <w:p w14:paraId="4165EC5E"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7E29A8C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P45. O Fundo executou (saldo liquidado) ≥ 85% do valor fixado para as despesas no último ano?</w:t>
            </w:r>
          </w:p>
        </w:tc>
        <w:tc>
          <w:tcPr>
            <w:tcW w:w="495" w:type="dxa"/>
            <w:shd w:val="clear" w:color="auto" w:fill="auto"/>
            <w:vAlign w:val="center"/>
          </w:tcPr>
          <w:p w14:paraId="1F3C402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C00000"/>
            <w:vAlign w:val="center"/>
          </w:tcPr>
          <w:p w14:paraId="6575964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R21. Subexecução orçamentária e física; saldo financeiro inativo.</w:t>
            </w:r>
          </w:p>
        </w:tc>
        <w:tc>
          <w:tcPr>
            <w:tcW w:w="1875" w:type="dxa"/>
            <w:shd w:val="clear" w:color="auto" w:fill="C00000"/>
            <w:vAlign w:val="center"/>
          </w:tcPr>
          <w:p w14:paraId="6B13A6B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5 – MUITO ALTO </w:t>
            </w:r>
          </w:p>
          <w:p w14:paraId="6BEEC04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Baixa entrega social e perda de legitimidade.</w:t>
            </w:r>
          </w:p>
        </w:tc>
        <w:tc>
          <w:tcPr>
            <w:tcW w:w="945" w:type="dxa"/>
            <w:vAlign w:val="center"/>
          </w:tcPr>
          <w:p w14:paraId="41530D87"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2A3AD4A1"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2DFBDD2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Carteira de projetos pronta e cronograma físico-financeiro.</w:t>
            </w:r>
          </w:p>
        </w:tc>
        <w:tc>
          <w:tcPr>
            <w:tcW w:w="1695" w:type="dxa"/>
            <w:shd w:val="clear" w:color="auto" w:fill="auto"/>
            <w:vAlign w:val="center"/>
          </w:tcPr>
          <w:p w14:paraId="325F477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Reprogramação com foco em ações de alto impacto.</w:t>
            </w:r>
          </w:p>
        </w:tc>
        <w:tc>
          <w:tcPr>
            <w:tcW w:w="1680" w:type="dxa"/>
            <w:shd w:val="clear" w:color="auto" w:fill="auto"/>
            <w:vAlign w:val="center"/>
          </w:tcPr>
          <w:p w14:paraId="0C46034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CGF; OGF; Unidades Executoras; SEPLAG</w:t>
            </w:r>
          </w:p>
        </w:tc>
      </w:tr>
      <w:tr w:rsidR="00DB0181" w:rsidRPr="00A04B57" w14:paraId="416296AE" w14:textId="77777777" w:rsidTr="003926FC">
        <w:trPr>
          <w:trHeight w:val="20"/>
        </w:trPr>
        <w:tc>
          <w:tcPr>
            <w:tcW w:w="990" w:type="dxa"/>
            <w:vMerge/>
            <w:shd w:val="clear" w:color="auto" w:fill="auto"/>
            <w:vAlign w:val="center"/>
          </w:tcPr>
          <w:p w14:paraId="6A8E0CCF"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668E513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P46. O saldo financeiro não ultrapassou 25% da arrecadação anual, salvo mediante reserva legal prevista?</w:t>
            </w:r>
          </w:p>
        </w:tc>
        <w:tc>
          <w:tcPr>
            <w:tcW w:w="495" w:type="dxa"/>
            <w:shd w:val="clear" w:color="auto" w:fill="auto"/>
            <w:vAlign w:val="center"/>
          </w:tcPr>
          <w:p w14:paraId="7CCE9A0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1CF7B95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R22. Acúmulo de recursos inativos e ineficiência fiscal.</w:t>
            </w:r>
          </w:p>
        </w:tc>
        <w:tc>
          <w:tcPr>
            <w:tcW w:w="1875" w:type="dxa"/>
            <w:shd w:val="clear" w:color="auto" w:fill="E36C09"/>
            <w:vAlign w:val="center"/>
          </w:tcPr>
          <w:p w14:paraId="668EEEE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146F6CF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Risco de desvinculação/uso indevido no médio ou longo prazo.</w:t>
            </w:r>
          </w:p>
        </w:tc>
        <w:tc>
          <w:tcPr>
            <w:tcW w:w="945" w:type="dxa"/>
            <w:vAlign w:val="center"/>
          </w:tcPr>
          <w:p w14:paraId="11B3BB76"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372B6A2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1793E3D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Alinhar cronogramas de execução à arrecadação.</w:t>
            </w:r>
          </w:p>
        </w:tc>
        <w:tc>
          <w:tcPr>
            <w:tcW w:w="1695" w:type="dxa"/>
            <w:shd w:val="clear" w:color="auto" w:fill="auto"/>
            <w:vAlign w:val="center"/>
          </w:tcPr>
          <w:p w14:paraId="1F984CC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Plano de Aplicação Financeira com foco finalístico.</w:t>
            </w:r>
          </w:p>
        </w:tc>
        <w:tc>
          <w:tcPr>
            <w:tcW w:w="1680" w:type="dxa"/>
            <w:shd w:val="clear" w:color="auto" w:fill="auto"/>
            <w:vAlign w:val="center"/>
          </w:tcPr>
          <w:p w14:paraId="30C6457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SEPLAG</w:t>
            </w:r>
          </w:p>
        </w:tc>
      </w:tr>
      <w:tr w:rsidR="00DB0181" w:rsidRPr="00A04B57" w14:paraId="187E1D0E" w14:textId="77777777" w:rsidTr="003926FC">
        <w:trPr>
          <w:trHeight w:val="20"/>
        </w:trPr>
        <w:tc>
          <w:tcPr>
            <w:tcW w:w="990" w:type="dxa"/>
            <w:vMerge/>
            <w:shd w:val="clear" w:color="auto" w:fill="auto"/>
            <w:vAlign w:val="center"/>
          </w:tcPr>
          <w:p w14:paraId="7E3B6580"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47B1ECF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P47. A execução financeira (despesas pagas) foi proporcional à arrecadação no último ano?</w:t>
            </w:r>
          </w:p>
        </w:tc>
        <w:tc>
          <w:tcPr>
            <w:tcW w:w="495" w:type="dxa"/>
            <w:shd w:val="clear" w:color="auto" w:fill="auto"/>
            <w:vAlign w:val="center"/>
          </w:tcPr>
          <w:p w14:paraId="0FDC972D"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C00000"/>
            <w:vAlign w:val="center"/>
          </w:tcPr>
          <w:p w14:paraId="1CA04BD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R23. Descompasso arrecadação × gasto; formação de saldo financeiro inativo elevado.</w:t>
            </w:r>
          </w:p>
        </w:tc>
        <w:tc>
          <w:tcPr>
            <w:tcW w:w="1875" w:type="dxa"/>
            <w:shd w:val="clear" w:color="auto" w:fill="C00000"/>
            <w:vAlign w:val="center"/>
          </w:tcPr>
          <w:p w14:paraId="4C8AAE0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5 – MUITO ALTO</w:t>
            </w:r>
          </w:p>
          <w:p w14:paraId="7F4244F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Fragilidade no planejamento financeiro e risco de ineficiência, além do risco de desvinculação/uso indevido no médio ou longo prazo.</w:t>
            </w:r>
          </w:p>
        </w:tc>
        <w:tc>
          <w:tcPr>
            <w:tcW w:w="945" w:type="dxa"/>
            <w:vAlign w:val="center"/>
          </w:tcPr>
          <w:p w14:paraId="2C5C8116"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73D0FC3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30</w:t>
            </w:r>
          </w:p>
        </w:tc>
        <w:tc>
          <w:tcPr>
            <w:tcW w:w="1920" w:type="dxa"/>
            <w:shd w:val="clear" w:color="auto" w:fill="auto"/>
            <w:vAlign w:val="center"/>
          </w:tcPr>
          <w:p w14:paraId="3369826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Planejamento quadrimestral de pagamentos; cronograma de desembolso mensal.</w:t>
            </w:r>
          </w:p>
        </w:tc>
        <w:tc>
          <w:tcPr>
            <w:tcW w:w="1695" w:type="dxa"/>
            <w:shd w:val="clear" w:color="auto" w:fill="auto"/>
            <w:vAlign w:val="center"/>
          </w:tcPr>
          <w:p w14:paraId="71BDA0E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Ajustar cronograma e reprogramar priorizando entregas.</w:t>
            </w:r>
          </w:p>
        </w:tc>
        <w:tc>
          <w:tcPr>
            <w:tcW w:w="1680" w:type="dxa"/>
            <w:shd w:val="clear" w:color="auto" w:fill="auto"/>
            <w:vAlign w:val="center"/>
          </w:tcPr>
          <w:p w14:paraId="12D1DFA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CGF; OGF; SEFAZ</w:t>
            </w:r>
          </w:p>
        </w:tc>
      </w:tr>
      <w:tr w:rsidR="00DB0181" w:rsidRPr="00A04B57" w14:paraId="6DF60CE5" w14:textId="77777777" w:rsidTr="003926FC">
        <w:trPr>
          <w:trHeight w:val="20"/>
        </w:trPr>
        <w:tc>
          <w:tcPr>
            <w:tcW w:w="990" w:type="dxa"/>
            <w:vMerge/>
            <w:shd w:val="clear" w:color="auto" w:fill="auto"/>
            <w:vAlign w:val="center"/>
          </w:tcPr>
          <w:p w14:paraId="392D6094"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1CDED3F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P48. O estoque de Restos a Pagar é inferior a 10% da receita arrecadada anual?</w:t>
            </w:r>
          </w:p>
        </w:tc>
        <w:tc>
          <w:tcPr>
            <w:tcW w:w="495" w:type="dxa"/>
            <w:shd w:val="clear" w:color="auto" w:fill="auto"/>
            <w:vAlign w:val="center"/>
          </w:tcPr>
          <w:p w14:paraId="2B76D8DE"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096A753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R24. Acúmulo de obrigações; pressão financeira sobre exercícios futuros.</w:t>
            </w:r>
          </w:p>
        </w:tc>
        <w:tc>
          <w:tcPr>
            <w:tcW w:w="1875" w:type="dxa"/>
            <w:shd w:val="clear" w:color="auto" w:fill="E36C09"/>
            <w:vAlign w:val="center"/>
          </w:tcPr>
          <w:p w14:paraId="541FC48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4 – ALTO </w:t>
            </w:r>
          </w:p>
          <w:p w14:paraId="61C2569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Risco de calote e judicialização.</w:t>
            </w:r>
          </w:p>
        </w:tc>
        <w:tc>
          <w:tcPr>
            <w:tcW w:w="945" w:type="dxa"/>
            <w:vAlign w:val="center"/>
          </w:tcPr>
          <w:p w14:paraId="777FBA03"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7A0FEDE9"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5027085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Revisão periódica e rigorosa das inscrições liquidadas. Cumprimento da ordem cronológica de pagamento.</w:t>
            </w:r>
          </w:p>
        </w:tc>
        <w:tc>
          <w:tcPr>
            <w:tcW w:w="1695" w:type="dxa"/>
            <w:shd w:val="clear" w:color="auto" w:fill="auto"/>
            <w:vAlign w:val="center"/>
          </w:tcPr>
          <w:p w14:paraId="0477E5D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Plano de pagamento escalonado.</w:t>
            </w:r>
          </w:p>
        </w:tc>
        <w:tc>
          <w:tcPr>
            <w:tcW w:w="1680" w:type="dxa"/>
            <w:shd w:val="clear" w:color="auto" w:fill="auto"/>
            <w:vAlign w:val="center"/>
          </w:tcPr>
          <w:p w14:paraId="06B8789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CI; SEFAZ</w:t>
            </w:r>
          </w:p>
        </w:tc>
      </w:tr>
      <w:tr w:rsidR="00DB0181" w:rsidRPr="00A04B57" w14:paraId="240265FF" w14:textId="77777777" w:rsidTr="003926FC">
        <w:trPr>
          <w:trHeight w:val="20"/>
        </w:trPr>
        <w:tc>
          <w:tcPr>
            <w:tcW w:w="990" w:type="dxa"/>
            <w:vMerge/>
            <w:shd w:val="clear" w:color="auto" w:fill="auto"/>
            <w:vAlign w:val="center"/>
          </w:tcPr>
          <w:p w14:paraId="13598C34"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6D6466A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P49. Não houve contingenciamento de despesas autorizadas?</w:t>
            </w:r>
          </w:p>
        </w:tc>
        <w:tc>
          <w:tcPr>
            <w:tcW w:w="495" w:type="dxa"/>
            <w:shd w:val="clear" w:color="auto" w:fill="auto"/>
            <w:vAlign w:val="center"/>
          </w:tcPr>
          <w:p w14:paraId="3FC3049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C00000"/>
            <w:vAlign w:val="center"/>
          </w:tcPr>
          <w:p w14:paraId="3794BCE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R25. Interrupção de ações governamentais essenciais por bloqueios.</w:t>
            </w:r>
          </w:p>
        </w:tc>
        <w:tc>
          <w:tcPr>
            <w:tcW w:w="1875" w:type="dxa"/>
            <w:shd w:val="clear" w:color="auto" w:fill="C00000"/>
            <w:vAlign w:val="center"/>
          </w:tcPr>
          <w:p w14:paraId="601F906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5 – MUITO ALTO </w:t>
            </w:r>
          </w:p>
          <w:p w14:paraId="35F4B3B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Risco direto à execução de políticas e judicialização.</w:t>
            </w:r>
          </w:p>
        </w:tc>
        <w:tc>
          <w:tcPr>
            <w:tcW w:w="945" w:type="dxa"/>
            <w:vAlign w:val="center"/>
          </w:tcPr>
          <w:p w14:paraId="07A0231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256F037F"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2EE5E65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Regras claras de contingenciamento com áreas blindadas e gatilhos.</w:t>
            </w:r>
          </w:p>
        </w:tc>
        <w:tc>
          <w:tcPr>
            <w:tcW w:w="1695" w:type="dxa"/>
            <w:shd w:val="clear" w:color="auto" w:fill="auto"/>
            <w:vAlign w:val="center"/>
          </w:tcPr>
          <w:p w14:paraId="44C1A0B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Plano mínimo de continuidade e cronograma de desbloqueio.</w:t>
            </w:r>
          </w:p>
        </w:tc>
        <w:tc>
          <w:tcPr>
            <w:tcW w:w="1680" w:type="dxa"/>
            <w:shd w:val="clear" w:color="auto" w:fill="auto"/>
            <w:vAlign w:val="center"/>
          </w:tcPr>
          <w:p w14:paraId="533E9C6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SEFAZ; OGF; CGF</w:t>
            </w:r>
          </w:p>
        </w:tc>
      </w:tr>
      <w:tr w:rsidR="00DB0181" w:rsidRPr="00A04B57" w14:paraId="0804BD1A" w14:textId="77777777" w:rsidTr="003926FC">
        <w:trPr>
          <w:trHeight w:val="20"/>
        </w:trPr>
        <w:tc>
          <w:tcPr>
            <w:tcW w:w="990" w:type="dxa"/>
            <w:vMerge/>
            <w:shd w:val="clear" w:color="auto" w:fill="auto"/>
            <w:vAlign w:val="center"/>
          </w:tcPr>
          <w:p w14:paraId="0B0FADEC"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738FF8B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P50. Não houve desvinculação de recursos?</w:t>
            </w:r>
          </w:p>
        </w:tc>
        <w:tc>
          <w:tcPr>
            <w:tcW w:w="495" w:type="dxa"/>
            <w:shd w:val="clear" w:color="auto" w:fill="auto"/>
            <w:vAlign w:val="center"/>
          </w:tcPr>
          <w:p w14:paraId="7546923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C00000"/>
            <w:vAlign w:val="center"/>
          </w:tcPr>
          <w:p w14:paraId="2F638E1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R26. Esvaziamento da finalidade do Fundo.</w:t>
            </w:r>
          </w:p>
        </w:tc>
        <w:tc>
          <w:tcPr>
            <w:tcW w:w="1875" w:type="dxa"/>
            <w:shd w:val="clear" w:color="auto" w:fill="C00000"/>
            <w:vAlign w:val="center"/>
          </w:tcPr>
          <w:p w14:paraId="194DC61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5 – MUITO ALTO </w:t>
            </w:r>
          </w:p>
          <w:p w14:paraId="57B4543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Perda de legitimidade.</w:t>
            </w:r>
          </w:p>
        </w:tc>
        <w:tc>
          <w:tcPr>
            <w:tcW w:w="945" w:type="dxa"/>
            <w:vAlign w:val="center"/>
          </w:tcPr>
          <w:p w14:paraId="3C108EBD"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6240B5AF"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6786F04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Vedação legal expressa e cláusulas de proteção.</w:t>
            </w:r>
          </w:p>
        </w:tc>
        <w:tc>
          <w:tcPr>
            <w:tcW w:w="1695" w:type="dxa"/>
            <w:shd w:val="clear" w:color="auto" w:fill="auto"/>
            <w:vAlign w:val="center"/>
          </w:tcPr>
          <w:p w14:paraId="3EBD081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Ação judicial (ADI) e recomposição orçamentária.</w:t>
            </w:r>
          </w:p>
        </w:tc>
        <w:tc>
          <w:tcPr>
            <w:tcW w:w="1680" w:type="dxa"/>
            <w:shd w:val="clear" w:color="auto" w:fill="auto"/>
            <w:vAlign w:val="center"/>
          </w:tcPr>
          <w:p w14:paraId="74EB756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Procuradoria; OGF; SEFAZ; CGF</w:t>
            </w:r>
          </w:p>
        </w:tc>
      </w:tr>
      <w:tr w:rsidR="00DB0181" w:rsidRPr="00A04B57" w14:paraId="2AFC5490" w14:textId="77777777" w:rsidTr="003926FC">
        <w:trPr>
          <w:trHeight w:val="20"/>
        </w:trPr>
        <w:tc>
          <w:tcPr>
            <w:tcW w:w="990" w:type="dxa"/>
            <w:vMerge/>
            <w:shd w:val="clear" w:color="auto" w:fill="auto"/>
            <w:vAlign w:val="center"/>
          </w:tcPr>
          <w:p w14:paraId="38D75481"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37D1AC5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P51. Não houve remanejamento para ações fora do escopo do Fundo?</w:t>
            </w:r>
          </w:p>
        </w:tc>
        <w:tc>
          <w:tcPr>
            <w:tcW w:w="495" w:type="dxa"/>
            <w:shd w:val="clear" w:color="auto" w:fill="auto"/>
            <w:vAlign w:val="center"/>
          </w:tcPr>
          <w:p w14:paraId="01CD200F"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C00000"/>
            <w:vAlign w:val="center"/>
          </w:tcPr>
          <w:p w14:paraId="3553977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R27. Uso para fins alheios; desvio de finalidade.</w:t>
            </w:r>
          </w:p>
        </w:tc>
        <w:tc>
          <w:tcPr>
            <w:tcW w:w="1875" w:type="dxa"/>
            <w:shd w:val="clear" w:color="auto" w:fill="C00000"/>
            <w:vAlign w:val="center"/>
          </w:tcPr>
          <w:p w14:paraId="62E7B7E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5 – MUITO ALTO </w:t>
            </w:r>
          </w:p>
          <w:p w14:paraId="6E86344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Risco de responsabilização, judicialização e devolução.</w:t>
            </w:r>
          </w:p>
        </w:tc>
        <w:tc>
          <w:tcPr>
            <w:tcW w:w="945" w:type="dxa"/>
            <w:vAlign w:val="center"/>
          </w:tcPr>
          <w:p w14:paraId="2D90D6E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2890EB21"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30</w:t>
            </w:r>
          </w:p>
        </w:tc>
        <w:tc>
          <w:tcPr>
            <w:tcW w:w="1920" w:type="dxa"/>
            <w:shd w:val="clear" w:color="auto" w:fill="auto"/>
            <w:vAlign w:val="center"/>
          </w:tcPr>
          <w:p w14:paraId="5A9925F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Trâmite jurídico prévio de elegibilidade.</w:t>
            </w:r>
          </w:p>
        </w:tc>
        <w:tc>
          <w:tcPr>
            <w:tcW w:w="1695" w:type="dxa"/>
            <w:shd w:val="clear" w:color="auto" w:fill="auto"/>
            <w:vAlign w:val="center"/>
          </w:tcPr>
          <w:p w14:paraId="4052011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Anular empenhos e restituir recursos à finalidade do Fundo.</w:t>
            </w:r>
          </w:p>
        </w:tc>
        <w:tc>
          <w:tcPr>
            <w:tcW w:w="1680" w:type="dxa"/>
            <w:shd w:val="clear" w:color="auto" w:fill="auto"/>
            <w:vAlign w:val="center"/>
          </w:tcPr>
          <w:p w14:paraId="2500CE7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 Procuradoria; CI</w:t>
            </w:r>
          </w:p>
        </w:tc>
      </w:tr>
      <w:tr w:rsidR="00DB0181" w:rsidRPr="00A04B57" w14:paraId="684AF9E4" w14:textId="77777777" w:rsidTr="003926FC">
        <w:trPr>
          <w:trHeight w:val="20"/>
        </w:trPr>
        <w:tc>
          <w:tcPr>
            <w:tcW w:w="990" w:type="dxa"/>
            <w:vMerge/>
            <w:shd w:val="clear" w:color="auto" w:fill="auto"/>
            <w:vAlign w:val="center"/>
          </w:tcPr>
          <w:p w14:paraId="2D44E2CB"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46BD4E5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P52. Não houve perda de arrecadação por desvinculação de receitas (≥20% do programado para as receitas no último ano)?</w:t>
            </w:r>
          </w:p>
        </w:tc>
        <w:tc>
          <w:tcPr>
            <w:tcW w:w="495" w:type="dxa"/>
            <w:shd w:val="clear" w:color="auto" w:fill="auto"/>
            <w:vAlign w:val="center"/>
          </w:tcPr>
          <w:p w14:paraId="6773ACE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C00000"/>
            <w:vAlign w:val="center"/>
          </w:tcPr>
          <w:p w14:paraId="5BBD34C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R28. Desvinculação relevante (de ≥20% da receita) gera comprometimento do lastro financeiro para pagar as ações de combate à pobreza.</w:t>
            </w:r>
          </w:p>
        </w:tc>
        <w:tc>
          <w:tcPr>
            <w:tcW w:w="1875" w:type="dxa"/>
            <w:shd w:val="clear" w:color="auto" w:fill="C00000"/>
            <w:vAlign w:val="center"/>
          </w:tcPr>
          <w:p w14:paraId="049F3AE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5 – MUITO ALTO </w:t>
            </w:r>
          </w:p>
          <w:p w14:paraId="6BA3334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Esvaziamento do Fundo e paralisações.</w:t>
            </w:r>
          </w:p>
        </w:tc>
        <w:tc>
          <w:tcPr>
            <w:tcW w:w="945" w:type="dxa"/>
            <w:vAlign w:val="center"/>
          </w:tcPr>
          <w:p w14:paraId="6EF37E63"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0E449A5F"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30</w:t>
            </w:r>
          </w:p>
        </w:tc>
        <w:tc>
          <w:tcPr>
            <w:tcW w:w="1920" w:type="dxa"/>
            <w:shd w:val="clear" w:color="auto" w:fill="auto"/>
            <w:vAlign w:val="center"/>
          </w:tcPr>
          <w:p w14:paraId="78E2F27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Vedação legal; pactos de preservação do adicional.</w:t>
            </w:r>
          </w:p>
        </w:tc>
        <w:tc>
          <w:tcPr>
            <w:tcW w:w="1695" w:type="dxa"/>
            <w:shd w:val="clear" w:color="auto" w:fill="auto"/>
            <w:vAlign w:val="center"/>
          </w:tcPr>
          <w:p w14:paraId="357CDC2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Recomposição via suplementação e priorização finalística.</w:t>
            </w:r>
          </w:p>
        </w:tc>
        <w:tc>
          <w:tcPr>
            <w:tcW w:w="1680" w:type="dxa"/>
            <w:shd w:val="clear" w:color="auto" w:fill="auto"/>
            <w:vAlign w:val="center"/>
          </w:tcPr>
          <w:p w14:paraId="1215C59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Procuradoria; SEFAZ; OGF</w:t>
            </w:r>
          </w:p>
        </w:tc>
      </w:tr>
      <w:tr w:rsidR="00DB0181" w:rsidRPr="00A04B57" w14:paraId="235808AF" w14:textId="77777777" w:rsidTr="003926FC">
        <w:trPr>
          <w:trHeight w:val="20"/>
        </w:trPr>
        <w:tc>
          <w:tcPr>
            <w:tcW w:w="990" w:type="dxa"/>
            <w:vMerge w:val="restart"/>
            <w:shd w:val="clear" w:color="auto" w:fill="auto"/>
            <w:vAlign w:val="center"/>
          </w:tcPr>
          <w:p w14:paraId="1F61823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Político-Institucional</w:t>
            </w:r>
          </w:p>
        </w:tc>
        <w:tc>
          <w:tcPr>
            <w:tcW w:w="1860" w:type="dxa"/>
            <w:shd w:val="clear" w:color="auto" w:fill="auto"/>
            <w:vAlign w:val="center"/>
          </w:tcPr>
          <w:p w14:paraId="7ACD180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P12. O Fundo atua de forma complementar às dotações ordinárias das secretarias, sem substituí-las?</w:t>
            </w:r>
          </w:p>
        </w:tc>
        <w:tc>
          <w:tcPr>
            <w:tcW w:w="495" w:type="dxa"/>
            <w:shd w:val="clear" w:color="auto" w:fill="auto"/>
            <w:vAlign w:val="center"/>
          </w:tcPr>
          <w:p w14:paraId="29207AA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5E0EEB2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R29. Substituição de despesas obrigatórias que deveriam ser pagas com recursos do Tesouro.</w:t>
            </w:r>
          </w:p>
        </w:tc>
        <w:tc>
          <w:tcPr>
            <w:tcW w:w="1875" w:type="dxa"/>
            <w:shd w:val="clear" w:color="auto" w:fill="E36C09"/>
            <w:vAlign w:val="center"/>
          </w:tcPr>
          <w:p w14:paraId="7D5F383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48FD618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Desvio de finalidade e erosão do orçamento de combate à pobreza.</w:t>
            </w:r>
          </w:p>
        </w:tc>
        <w:tc>
          <w:tcPr>
            <w:tcW w:w="945" w:type="dxa"/>
            <w:vAlign w:val="center"/>
          </w:tcPr>
          <w:p w14:paraId="3B93BBD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2D99A5E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7A7E92B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Definir regras de elegibilidade e vedações; conferência prévia por item a ser custeado pelo Fundo.</w:t>
            </w:r>
          </w:p>
        </w:tc>
        <w:tc>
          <w:tcPr>
            <w:tcW w:w="1695" w:type="dxa"/>
            <w:shd w:val="clear" w:color="auto" w:fill="auto"/>
            <w:vAlign w:val="center"/>
          </w:tcPr>
          <w:p w14:paraId="64CF63B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Cancelar empenhos indevidos; reforçar dotações via remanejamento adequado.</w:t>
            </w:r>
          </w:p>
        </w:tc>
        <w:tc>
          <w:tcPr>
            <w:tcW w:w="1680" w:type="dxa"/>
            <w:shd w:val="clear" w:color="auto" w:fill="auto"/>
            <w:vAlign w:val="center"/>
          </w:tcPr>
          <w:p w14:paraId="0331AA1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 CI; Procuradoria</w:t>
            </w:r>
          </w:p>
        </w:tc>
      </w:tr>
      <w:tr w:rsidR="00DB0181" w:rsidRPr="00A04B57" w14:paraId="4DA3127D" w14:textId="77777777" w:rsidTr="003926FC">
        <w:trPr>
          <w:trHeight w:val="20"/>
        </w:trPr>
        <w:tc>
          <w:tcPr>
            <w:tcW w:w="990" w:type="dxa"/>
            <w:vMerge/>
            <w:shd w:val="clear" w:color="auto" w:fill="auto"/>
            <w:vAlign w:val="center"/>
          </w:tcPr>
          <w:p w14:paraId="0351D582"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75787B9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P28. Os recursos do Fundo atendem prioritariamente áreas mais pobres ou vulneráveis do território? Ou seja, os critérios regionais (ex: IDH, CADÚnico, mapa de pobreza) para as ações custeadas estão bem definidos?</w:t>
            </w:r>
          </w:p>
        </w:tc>
        <w:tc>
          <w:tcPr>
            <w:tcW w:w="495" w:type="dxa"/>
            <w:shd w:val="clear" w:color="auto" w:fill="auto"/>
            <w:vAlign w:val="center"/>
          </w:tcPr>
          <w:p w14:paraId="2A2B60BA"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5D2A819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R30. Alocação sem critérios técnicos; iniquidades territoriais.</w:t>
            </w:r>
          </w:p>
        </w:tc>
        <w:tc>
          <w:tcPr>
            <w:tcW w:w="1875" w:type="dxa"/>
            <w:shd w:val="clear" w:color="auto" w:fill="E36C09"/>
            <w:vAlign w:val="center"/>
          </w:tcPr>
          <w:p w14:paraId="42BA0BF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7668FC1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Perda de equidade e menor impacto social.</w:t>
            </w:r>
          </w:p>
        </w:tc>
        <w:tc>
          <w:tcPr>
            <w:tcW w:w="945" w:type="dxa"/>
            <w:vAlign w:val="center"/>
          </w:tcPr>
          <w:p w14:paraId="349BA22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51A9453B"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65D1BAB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Adotar matriz de vulnerabilidade (IDH, CadÚnico, mapa de pobreza) e critérios objetivos.</w:t>
            </w:r>
          </w:p>
        </w:tc>
        <w:tc>
          <w:tcPr>
            <w:tcW w:w="1695" w:type="dxa"/>
            <w:shd w:val="clear" w:color="auto" w:fill="auto"/>
            <w:vAlign w:val="center"/>
          </w:tcPr>
          <w:p w14:paraId="39F4762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Repriorizar o PAF com foco territorial e registrar em ata do CGF.</w:t>
            </w:r>
          </w:p>
        </w:tc>
        <w:tc>
          <w:tcPr>
            <w:tcW w:w="1680" w:type="dxa"/>
            <w:shd w:val="clear" w:color="auto" w:fill="auto"/>
            <w:vAlign w:val="center"/>
          </w:tcPr>
          <w:p w14:paraId="7265FCE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SEPLAG; CGF</w:t>
            </w:r>
          </w:p>
        </w:tc>
      </w:tr>
      <w:tr w:rsidR="00DB0181" w:rsidRPr="00A04B57" w14:paraId="197E9E0B" w14:textId="77777777" w:rsidTr="003926FC">
        <w:trPr>
          <w:trHeight w:val="20"/>
        </w:trPr>
        <w:tc>
          <w:tcPr>
            <w:tcW w:w="990" w:type="dxa"/>
            <w:vMerge/>
            <w:shd w:val="clear" w:color="auto" w:fill="auto"/>
            <w:vAlign w:val="center"/>
          </w:tcPr>
          <w:p w14:paraId="04091BA8"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6C76B22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P29. O Conselho não foi desativado ou perdeu autonomia nos últimos 5 anos?</w:t>
            </w:r>
          </w:p>
        </w:tc>
        <w:tc>
          <w:tcPr>
            <w:tcW w:w="495" w:type="dxa"/>
            <w:shd w:val="clear" w:color="auto" w:fill="auto"/>
            <w:vAlign w:val="center"/>
          </w:tcPr>
          <w:p w14:paraId="209C7B60"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E36C09"/>
            <w:vAlign w:val="center"/>
          </w:tcPr>
          <w:p w14:paraId="2E35CE3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R31. Descontinuidade de governança.</w:t>
            </w:r>
          </w:p>
        </w:tc>
        <w:tc>
          <w:tcPr>
            <w:tcW w:w="1875" w:type="dxa"/>
            <w:shd w:val="clear" w:color="auto" w:fill="E36C09"/>
            <w:vAlign w:val="center"/>
          </w:tcPr>
          <w:p w14:paraId="6134101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255AC1A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Decisões políticas unilaterais, fragilizando a participação social.</w:t>
            </w:r>
          </w:p>
        </w:tc>
        <w:tc>
          <w:tcPr>
            <w:tcW w:w="945" w:type="dxa"/>
            <w:vAlign w:val="center"/>
          </w:tcPr>
          <w:p w14:paraId="25C35E49"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5304E8B7"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36</w:t>
            </w:r>
          </w:p>
        </w:tc>
        <w:tc>
          <w:tcPr>
            <w:tcW w:w="1920" w:type="dxa"/>
            <w:shd w:val="clear" w:color="auto" w:fill="auto"/>
            <w:vAlign w:val="center"/>
          </w:tcPr>
          <w:p w14:paraId="7E60984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Calendário fixo de mandatos. Recomposição automática para os ocupantes do poder público.</w:t>
            </w:r>
          </w:p>
        </w:tc>
        <w:tc>
          <w:tcPr>
            <w:tcW w:w="1695" w:type="dxa"/>
            <w:shd w:val="clear" w:color="auto" w:fill="auto"/>
            <w:vAlign w:val="center"/>
          </w:tcPr>
          <w:p w14:paraId="5ABF004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Reativação imediata.</w:t>
            </w:r>
          </w:p>
        </w:tc>
        <w:tc>
          <w:tcPr>
            <w:tcW w:w="1680" w:type="dxa"/>
            <w:shd w:val="clear" w:color="auto" w:fill="auto"/>
            <w:vAlign w:val="center"/>
          </w:tcPr>
          <w:p w14:paraId="6C79D8C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CGF; OGF</w:t>
            </w:r>
          </w:p>
        </w:tc>
      </w:tr>
      <w:tr w:rsidR="00DB0181" w:rsidRPr="00A04B57" w14:paraId="3B502B93" w14:textId="77777777" w:rsidTr="003926FC">
        <w:trPr>
          <w:trHeight w:val="20"/>
        </w:trPr>
        <w:tc>
          <w:tcPr>
            <w:tcW w:w="990" w:type="dxa"/>
            <w:vMerge/>
            <w:shd w:val="clear" w:color="auto" w:fill="auto"/>
            <w:vAlign w:val="center"/>
          </w:tcPr>
          <w:p w14:paraId="2981CBC3"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7372C16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P30. Há Plano de Ação (PA) e Plano de Aplicação Financeira (PAF) aprovado para o exercício atual?</w:t>
            </w:r>
          </w:p>
        </w:tc>
        <w:tc>
          <w:tcPr>
            <w:tcW w:w="495" w:type="dxa"/>
            <w:shd w:val="clear" w:color="auto" w:fill="auto"/>
            <w:vAlign w:val="center"/>
          </w:tcPr>
          <w:p w14:paraId="14730DF3"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E36C09"/>
            <w:vAlign w:val="center"/>
          </w:tcPr>
          <w:p w14:paraId="1CEAE24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R32. Execução orçamentária e financeira sem autorização colegiada e sem legitimidade para as alocações.</w:t>
            </w:r>
          </w:p>
        </w:tc>
        <w:tc>
          <w:tcPr>
            <w:tcW w:w="1875" w:type="dxa"/>
            <w:shd w:val="clear" w:color="auto" w:fill="E36C09"/>
            <w:vAlign w:val="center"/>
          </w:tcPr>
          <w:p w14:paraId="79F827D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401E5A9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Ausência de legitimidade e desvio de prioridades.</w:t>
            </w:r>
          </w:p>
        </w:tc>
        <w:tc>
          <w:tcPr>
            <w:tcW w:w="945" w:type="dxa"/>
            <w:vAlign w:val="center"/>
          </w:tcPr>
          <w:p w14:paraId="678574AB"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05D9B7F7"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36</w:t>
            </w:r>
          </w:p>
        </w:tc>
        <w:tc>
          <w:tcPr>
            <w:tcW w:w="1920" w:type="dxa"/>
            <w:shd w:val="clear" w:color="auto" w:fill="auto"/>
            <w:vAlign w:val="center"/>
          </w:tcPr>
          <w:p w14:paraId="0C732B2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Calendário fixo para aprovação, com apoio técnico devido pelo OGF.</w:t>
            </w:r>
          </w:p>
        </w:tc>
        <w:tc>
          <w:tcPr>
            <w:tcW w:w="1695" w:type="dxa"/>
            <w:shd w:val="clear" w:color="auto" w:fill="auto"/>
            <w:vAlign w:val="center"/>
          </w:tcPr>
          <w:p w14:paraId="394BB91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PA/PAF simplificado.</w:t>
            </w:r>
          </w:p>
        </w:tc>
        <w:tc>
          <w:tcPr>
            <w:tcW w:w="1680" w:type="dxa"/>
            <w:shd w:val="clear" w:color="auto" w:fill="auto"/>
            <w:vAlign w:val="center"/>
          </w:tcPr>
          <w:p w14:paraId="290837C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CGF; OGF</w:t>
            </w:r>
          </w:p>
        </w:tc>
      </w:tr>
      <w:tr w:rsidR="00DB0181" w:rsidRPr="00A04B57" w14:paraId="6F616CCD" w14:textId="77777777" w:rsidTr="003926FC">
        <w:trPr>
          <w:trHeight w:val="20"/>
        </w:trPr>
        <w:tc>
          <w:tcPr>
            <w:tcW w:w="990" w:type="dxa"/>
            <w:vMerge/>
            <w:shd w:val="clear" w:color="auto" w:fill="auto"/>
            <w:vAlign w:val="center"/>
          </w:tcPr>
          <w:p w14:paraId="0DA48A49"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7C59CAD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P31. O total de despesas autorizadas no Plano de Aplicação Financeira (PAF) é compatível com a previsão anual de receitas para o Fundo?</w:t>
            </w:r>
          </w:p>
        </w:tc>
        <w:tc>
          <w:tcPr>
            <w:tcW w:w="495" w:type="dxa"/>
            <w:shd w:val="clear" w:color="auto" w:fill="auto"/>
            <w:vAlign w:val="center"/>
          </w:tcPr>
          <w:p w14:paraId="1BC870E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C00000"/>
            <w:vAlign w:val="center"/>
          </w:tcPr>
          <w:p w14:paraId="73A0280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R33. Superestimação de despesas.</w:t>
            </w:r>
          </w:p>
        </w:tc>
        <w:tc>
          <w:tcPr>
            <w:tcW w:w="1875" w:type="dxa"/>
            <w:shd w:val="clear" w:color="auto" w:fill="C00000"/>
            <w:vAlign w:val="center"/>
          </w:tcPr>
          <w:p w14:paraId="622D8EA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5 – MUITO ALTO</w:t>
            </w:r>
          </w:p>
          <w:p w14:paraId="08C5A5E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Gera expectativa de direito, inscrição de despesas em Restos a Pagar e frustração de metas.</w:t>
            </w:r>
          </w:p>
        </w:tc>
        <w:tc>
          <w:tcPr>
            <w:tcW w:w="945" w:type="dxa"/>
            <w:vAlign w:val="center"/>
          </w:tcPr>
          <w:p w14:paraId="217A92F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76640356"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30</w:t>
            </w:r>
          </w:p>
        </w:tc>
        <w:tc>
          <w:tcPr>
            <w:tcW w:w="1920" w:type="dxa"/>
            <w:shd w:val="clear" w:color="auto" w:fill="auto"/>
            <w:vAlign w:val="center"/>
          </w:tcPr>
          <w:p w14:paraId="75E0E7A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Compatibilização PA, PAF e LOA.</w:t>
            </w:r>
          </w:p>
        </w:tc>
        <w:tc>
          <w:tcPr>
            <w:tcW w:w="1695" w:type="dxa"/>
            <w:shd w:val="clear" w:color="auto" w:fill="auto"/>
            <w:vAlign w:val="center"/>
          </w:tcPr>
          <w:p w14:paraId="5023398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Avaliação periódica do PAF.</w:t>
            </w:r>
          </w:p>
        </w:tc>
        <w:tc>
          <w:tcPr>
            <w:tcW w:w="1680" w:type="dxa"/>
            <w:shd w:val="clear" w:color="auto" w:fill="auto"/>
            <w:vAlign w:val="center"/>
          </w:tcPr>
          <w:p w14:paraId="726387E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CGF; OGF; SEPLAG</w:t>
            </w:r>
          </w:p>
        </w:tc>
      </w:tr>
      <w:tr w:rsidR="00DB0181" w:rsidRPr="00A04B57" w14:paraId="0FC9F18C" w14:textId="77777777" w:rsidTr="003926FC">
        <w:trPr>
          <w:trHeight w:val="20"/>
        </w:trPr>
        <w:tc>
          <w:tcPr>
            <w:tcW w:w="990" w:type="dxa"/>
            <w:vMerge/>
            <w:shd w:val="clear" w:color="auto" w:fill="auto"/>
            <w:vAlign w:val="center"/>
          </w:tcPr>
          <w:p w14:paraId="0797E432"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6919FF0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P54. As principais instâncias executoras estão concentradas nas áreas-fim (Educação, Saúde, Assistência Social)?</w:t>
            </w:r>
          </w:p>
        </w:tc>
        <w:tc>
          <w:tcPr>
            <w:tcW w:w="495" w:type="dxa"/>
            <w:shd w:val="clear" w:color="auto" w:fill="auto"/>
            <w:vAlign w:val="center"/>
          </w:tcPr>
          <w:p w14:paraId="255A41A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FFFF00"/>
            <w:vAlign w:val="center"/>
          </w:tcPr>
          <w:p w14:paraId="1294A84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R34. Alocação em estruturas-meio reduz impacto social.</w:t>
            </w:r>
          </w:p>
        </w:tc>
        <w:tc>
          <w:tcPr>
            <w:tcW w:w="1875" w:type="dxa"/>
            <w:shd w:val="clear" w:color="auto" w:fill="FFFF00"/>
            <w:vAlign w:val="center"/>
          </w:tcPr>
          <w:p w14:paraId="6C07E5F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3 – MÉDIO</w:t>
            </w:r>
          </w:p>
          <w:p w14:paraId="060DDD1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Menor efetividade e dispersão de resultados.</w:t>
            </w:r>
          </w:p>
        </w:tc>
        <w:tc>
          <w:tcPr>
            <w:tcW w:w="945" w:type="dxa"/>
            <w:vAlign w:val="center"/>
          </w:tcPr>
          <w:p w14:paraId="5CE89E24"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6307A78A"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18</w:t>
            </w:r>
          </w:p>
        </w:tc>
        <w:tc>
          <w:tcPr>
            <w:tcW w:w="1920" w:type="dxa"/>
            <w:shd w:val="clear" w:color="auto" w:fill="auto"/>
            <w:vAlign w:val="center"/>
          </w:tcPr>
          <w:p w14:paraId="37B3388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Priorizar áreas-fim nas deliberações do PA/PAF.</w:t>
            </w:r>
          </w:p>
        </w:tc>
        <w:tc>
          <w:tcPr>
            <w:tcW w:w="1695" w:type="dxa"/>
            <w:shd w:val="clear" w:color="auto" w:fill="auto"/>
            <w:vAlign w:val="center"/>
          </w:tcPr>
          <w:p w14:paraId="718C028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Redirecionar execuções para unidades finalísticas.</w:t>
            </w:r>
          </w:p>
        </w:tc>
        <w:tc>
          <w:tcPr>
            <w:tcW w:w="1680" w:type="dxa"/>
            <w:shd w:val="clear" w:color="auto" w:fill="auto"/>
            <w:vAlign w:val="center"/>
          </w:tcPr>
          <w:p w14:paraId="234B034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 SEPLAG; Secretarias Finalísticas</w:t>
            </w:r>
          </w:p>
        </w:tc>
      </w:tr>
      <w:tr w:rsidR="00DB0181" w:rsidRPr="00A04B57" w14:paraId="0E5AA746" w14:textId="77777777" w:rsidTr="003926FC">
        <w:trPr>
          <w:trHeight w:val="20"/>
        </w:trPr>
        <w:tc>
          <w:tcPr>
            <w:tcW w:w="990" w:type="dxa"/>
            <w:vMerge/>
            <w:shd w:val="clear" w:color="auto" w:fill="auto"/>
            <w:vAlign w:val="center"/>
          </w:tcPr>
          <w:p w14:paraId="51443C29"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41C4C27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P55. Entidades privadas sem fins lucrativos só recebem recursos mediante critérios técnicos transparentes?</w:t>
            </w:r>
          </w:p>
        </w:tc>
        <w:tc>
          <w:tcPr>
            <w:tcW w:w="495" w:type="dxa"/>
            <w:shd w:val="clear" w:color="auto" w:fill="auto"/>
            <w:vAlign w:val="center"/>
          </w:tcPr>
          <w:p w14:paraId="34662E3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4F07068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R35. Alocação clientelista; baixa rastreabilidade.</w:t>
            </w:r>
          </w:p>
        </w:tc>
        <w:tc>
          <w:tcPr>
            <w:tcW w:w="1875" w:type="dxa"/>
            <w:shd w:val="clear" w:color="auto" w:fill="E36C09"/>
            <w:vAlign w:val="center"/>
          </w:tcPr>
          <w:p w14:paraId="5B919AF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7BF2EB9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Risco de fraude, improbidade e suspensão de repasses.</w:t>
            </w:r>
          </w:p>
        </w:tc>
        <w:tc>
          <w:tcPr>
            <w:tcW w:w="945" w:type="dxa"/>
            <w:vAlign w:val="center"/>
          </w:tcPr>
          <w:p w14:paraId="3144F55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3D85039D"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32E8854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Editais com critérios técnicos e </w:t>
            </w:r>
            <w:r w:rsidRPr="00A04B57">
              <w:rPr>
                <w:rFonts w:ascii="Times New Roman" w:hAnsi="Times New Roman" w:cs="Times New Roman"/>
                <w:i/>
                <w:sz w:val="14"/>
                <w:szCs w:val="14"/>
              </w:rPr>
              <w:t>due diligence</w:t>
            </w:r>
            <w:r w:rsidRPr="00A04B57">
              <w:rPr>
                <w:rFonts w:ascii="Times New Roman" w:hAnsi="Times New Roman" w:cs="Times New Roman"/>
                <w:sz w:val="14"/>
                <w:szCs w:val="14"/>
              </w:rPr>
              <w:t xml:space="preserve"> dos parceiros.</w:t>
            </w:r>
          </w:p>
        </w:tc>
        <w:tc>
          <w:tcPr>
            <w:tcW w:w="1695" w:type="dxa"/>
            <w:shd w:val="clear" w:color="auto" w:fill="auto"/>
            <w:vAlign w:val="center"/>
          </w:tcPr>
          <w:p w14:paraId="1D4E26E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Suspender repasses; instaurar auditoria e apuração.</w:t>
            </w:r>
          </w:p>
        </w:tc>
        <w:tc>
          <w:tcPr>
            <w:tcW w:w="1680" w:type="dxa"/>
            <w:shd w:val="clear" w:color="auto" w:fill="auto"/>
            <w:vAlign w:val="center"/>
          </w:tcPr>
          <w:p w14:paraId="5A37162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 Procuradoria; CI; Tribunal de Contas</w:t>
            </w:r>
          </w:p>
        </w:tc>
      </w:tr>
      <w:tr w:rsidR="00DB0181" w:rsidRPr="00A04B57" w14:paraId="7F38DA58" w14:textId="77777777" w:rsidTr="003926FC">
        <w:trPr>
          <w:trHeight w:val="20"/>
        </w:trPr>
        <w:tc>
          <w:tcPr>
            <w:tcW w:w="990" w:type="dxa"/>
            <w:vMerge w:val="restart"/>
            <w:shd w:val="clear" w:color="auto" w:fill="auto"/>
            <w:vAlign w:val="center"/>
          </w:tcPr>
          <w:p w14:paraId="46CFE39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Participativa </w:t>
            </w:r>
          </w:p>
          <w:p w14:paraId="305C37A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e de Transparência</w:t>
            </w:r>
          </w:p>
        </w:tc>
        <w:tc>
          <w:tcPr>
            <w:tcW w:w="1860" w:type="dxa"/>
            <w:shd w:val="clear" w:color="auto" w:fill="auto"/>
            <w:vAlign w:val="center"/>
          </w:tcPr>
          <w:p w14:paraId="5CCF18C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P14. Há transparência ativa dos dados de arrecadação do Fundo?</w:t>
            </w:r>
          </w:p>
        </w:tc>
        <w:tc>
          <w:tcPr>
            <w:tcW w:w="495" w:type="dxa"/>
            <w:shd w:val="clear" w:color="auto" w:fill="auto"/>
            <w:vAlign w:val="center"/>
          </w:tcPr>
          <w:p w14:paraId="0FF60C0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FFFF00"/>
            <w:vAlign w:val="center"/>
          </w:tcPr>
          <w:p w14:paraId="6D37D61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R36. Dados não divulgados reduzem </w:t>
            </w:r>
            <w:r w:rsidRPr="00A04B57">
              <w:rPr>
                <w:rFonts w:ascii="Times New Roman" w:hAnsi="Times New Roman" w:cs="Times New Roman"/>
                <w:i/>
                <w:sz w:val="14"/>
                <w:szCs w:val="14"/>
              </w:rPr>
              <w:t>accountability</w:t>
            </w:r>
            <w:r w:rsidRPr="00A04B57">
              <w:rPr>
                <w:rFonts w:ascii="Times New Roman" w:hAnsi="Times New Roman" w:cs="Times New Roman"/>
                <w:sz w:val="14"/>
                <w:szCs w:val="14"/>
              </w:rPr>
              <w:t xml:space="preserve"> e controle social.</w:t>
            </w:r>
          </w:p>
        </w:tc>
        <w:tc>
          <w:tcPr>
            <w:tcW w:w="1875" w:type="dxa"/>
            <w:shd w:val="clear" w:color="auto" w:fill="FFFF00"/>
            <w:vAlign w:val="center"/>
          </w:tcPr>
          <w:p w14:paraId="121DD62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3 – MÉDIO</w:t>
            </w:r>
          </w:p>
          <w:p w14:paraId="1DAD51E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Aumenta a vulnerabilidade a desvios.</w:t>
            </w:r>
          </w:p>
        </w:tc>
        <w:tc>
          <w:tcPr>
            <w:tcW w:w="945" w:type="dxa"/>
            <w:vAlign w:val="center"/>
          </w:tcPr>
          <w:p w14:paraId="1D2B4264"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1F9EB066"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18</w:t>
            </w:r>
          </w:p>
        </w:tc>
        <w:tc>
          <w:tcPr>
            <w:tcW w:w="1920" w:type="dxa"/>
            <w:shd w:val="clear" w:color="auto" w:fill="auto"/>
            <w:vAlign w:val="center"/>
          </w:tcPr>
          <w:p w14:paraId="25E20A2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Publicar portal/painel de arrecadação por fonte de recursos com dados abertos.</w:t>
            </w:r>
          </w:p>
        </w:tc>
        <w:tc>
          <w:tcPr>
            <w:tcW w:w="1695" w:type="dxa"/>
            <w:shd w:val="clear" w:color="auto" w:fill="auto"/>
            <w:vAlign w:val="center"/>
          </w:tcPr>
          <w:p w14:paraId="6BAB5BF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Emitir boletins e relatórios extraordinários com série histórica.</w:t>
            </w:r>
          </w:p>
        </w:tc>
        <w:tc>
          <w:tcPr>
            <w:tcW w:w="1680" w:type="dxa"/>
            <w:shd w:val="clear" w:color="auto" w:fill="auto"/>
            <w:vAlign w:val="center"/>
          </w:tcPr>
          <w:p w14:paraId="27F50E7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Unidade de Transparência/TI; CGF</w:t>
            </w:r>
          </w:p>
        </w:tc>
      </w:tr>
      <w:tr w:rsidR="00DB0181" w:rsidRPr="00A04B57" w14:paraId="6D2EA578" w14:textId="77777777" w:rsidTr="003926FC">
        <w:trPr>
          <w:trHeight w:val="20"/>
        </w:trPr>
        <w:tc>
          <w:tcPr>
            <w:tcW w:w="990" w:type="dxa"/>
            <w:vMerge/>
            <w:shd w:val="clear" w:color="auto" w:fill="auto"/>
            <w:vAlign w:val="center"/>
          </w:tcPr>
          <w:p w14:paraId="431D707C"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5B710B1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P62. Os dados de execução (empenho, liquidação e pagamento) são públicos e atualizados?</w:t>
            </w:r>
          </w:p>
        </w:tc>
        <w:tc>
          <w:tcPr>
            <w:tcW w:w="495" w:type="dxa"/>
            <w:shd w:val="clear" w:color="auto" w:fill="auto"/>
            <w:vAlign w:val="center"/>
          </w:tcPr>
          <w:p w14:paraId="1AC3DE4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E36C09"/>
            <w:vAlign w:val="center"/>
          </w:tcPr>
          <w:p w14:paraId="673330F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R37. Falta de transparência; opacidade e captura política.</w:t>
            </w:r>
          </w:p>
        </w:tc>
        <w:tc>
          <w:tcPr>
            <w:tcW w:w="1875" w:type="dxa"/>
            <w:shd w:val="clear" w:color="auto" w:fill="E36C09"/>
            <w:vAlign w:val="center"/>
          </w:tcPr>
          <w:p w14:paraId="31EA788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4 - ALTO </w:t>
            </w:r>
          </w:p>
          <w:p w14:paraId="0B1DC19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Reduz controle social e confiança pública.</w:t>
            </w:r>
          </w:p>
        </w:tc>
        <w:tc>
          <w:tcPr>
            <w:tcW w:w="945" w:type="dxa"/>
            <w:vAlign w:val="center"/>
          </w:tcPr>
          <w:p w14:paraId="0F9941D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058053A4"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36</w:t>
            </w:r>
          </w:p>
        </w:tc>
        <w:tc>
          <w:tcPr>
            <w:tcW w:w="1920" w:type="dxa"/>
            <w:shd w:val="clear" w:color="auto" w:fill="auto"/>
            <w:vAlign w:val="center"/>
          </w:tcPr>
          <w:p w14:paraId="27156F5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Portal de dados abertos com atualizações mensais.</w:t>
            </w:r>
          </w:p>
        </w:tc>
        <w:tc>
          <w:tcPr>
            <w:tcW w:w="1695" w:type="dxa"/>
            <w:shd w:val="clear" w:color="auto" w:fill="auto"/>
            <w:vAlign w:val="center"/>
          </w:tcPr>
          <w:p w14:paraId="7C5CBE8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Boletim extraordinário e plano de governo de dados.</w:t>
            </w:r>
          </w:p>
        </w:tc>
        <w:tc>
          <w:tcPr>
            <w:tcW w:w="1680" w:type="dxa"/>
            <w:shd w:val="clear" w:color="auto" w:fill="auto"/>
            <w:vAlign w:val="center"/>
          </w:tcPr>
          <w:p w14:paraId="0D07540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Unidade de Transparência/TI; CI</w:t>
            </w:r>
          </w:p>
        </w:tc>
      </w:tr>
      <w:tr w:rsidR="00DB0181" w:rsidRPr="00A04B57" w14:paraId="0716C329" w14:textId="77777777" w:rsidTr="003926FC">
        <w:trPr>
          <w:trHeight w:val="20"/>
        </w:trPr>
        <w:tc>
          <w:tcPr>
            <w:tcW w:w="990" w:type="dxa"/>
            <w:vMerge w:val="restart"/>
            <w:shd w:val="clear" w:color="auto" w:fill="auto"/>
            <w:vAlign w:val="center"/>
          </w:tcPr>
          <w:p w14:paraId="318ED72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Institucional e Organizacional</w:t>
            </w:r>
          </w:p>
        </w:tc>
        <w:tc>
          <w:tcPr>
            <w:tcW w:w="1860" w:type="dxa"/>
            <w:shd w:val="clear" w:color="auto" w:fill="auto"/>
            <w:vAlign w:val="center"/>
          </w:tcPr>
          <w:p w14:paraId="4FE0654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P21. O Conselho Gestor do Fundo está formalmente instituído?</w:t>
            </w:r>
          </w:p>
        </w:tc>
        <w:tc>
          <w:tcPr>
            <w:tcW w:w="495" w:type="dxa"/>
            <w:shd w:val="clear" w:color="auto" w:fill="auto"/>
            <w:vAlign w:val="center"/>
          </w:tcPr>
          <w:p w14:paraId="6E9B4A6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C00000"/>
            <w:vAlign w:val="center"/>
          </w:tcPr>
          <w:p w14:paraId="568184C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R38. Vácuo decisório.</w:t>
            </w:r>
          </w:p>
        </w:tc>
        <w:tc>
          <w:tcPr>
            <w:tcW w:w="1875" w:type="dxa"/>
            <w:shd w:val="clear" w:color="auto" w:fill="C00000"/>
            <w:vAlign w:val="center"/>
          </w:tcPr>
          <w:p w14:paraId="41CF341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5 – MUITO ALTO </w:t>
            </w:r>
          </w:p>
          <w:p w14:paraId="450E048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Sem Conselho, as decisões ficam centralizadas e sem legitimidade.</w:t>
            </w:r>
          </w:p>
        </w:tc>
        <w:tc>
          <w:tcPr>
            <w:tcW w:w="945" w:type="dxa"/>
            <w:vAlign w:val="center"/>
          </w:tcPr>
          <w:p w14:paraId="45CFEB3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548027E0"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5386965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Ato de instituição formal.</w:t>
            </w:r>
          </w:p>
        </w:tc>
        <w:tc>
          <w:tcPr>
            <w:tcW w:w="1695" w:type="dxa"/>
            <w:shd w:val="clear" w:color="auto" w:fill="auto"/>
            <w:vAlign w:val="center"/>
          </w:tcPr>
          <w:p w14:paraId="6D434D6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Recomposição imediata.</w:t>
            </w:r>
          </w:p>
        </w:tc>
        <w:tc>
          <w:tcPr>
            <w:tcW w:w="1680" w:type="dxa"/>
            <w:shd w:val="clear" w:color="auto" w:fill="auto"/>
            <w:vAlign w:val="center"/>
          </w:tcPr>
          <w:p w14:paraId="49FCECD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Casa Civil</w:t>
            </w:r>
          </w:p>
        </w:tc>
      </w:tr>
      <w:tr w:rsidR="00DB0181" w:rsidRPr="00A04B57" w14:paraId="4FF55052" w14:textId="77777777" w:rsidTr="003926FC">
        <w:trPr>
          <w:trHeight w:val="20"/>
        </w:trPr>
        <w:tc>
          <w:tcPr>
            <w:tcW w:w="990" w:type="dxa"/>
            <w:vMerge/>
            <w:shd w:val="clear" w:color="auto" w:fill="auto"/>
            <w:vAlign w:val="center"/>
          </w:tcPr>
          <w:p w14:paraId="0F49A136"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16BA59A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P22. Os gestores (Ordenadores do Fundo e Conselheiros) possuem capacitação em planejamento, orçamento e avaliação das políticas de combate à pobreza?</w:t>
            </w:r>
          </w:p>
        </w:tc>
        <w:tc>
          <w:tcPr>
            <w:tcW w:w="495" w:type="dxa"/>
            <w:shd w:val="clear" w:color="auto" w:fill="auto"/>
            <w:vAlign w:val="center"/>
          </w:tcPr>
          <w:p w14:paraId="060D342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4395AA2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R39. Baixa capacidade técnica; erros na elaboração do PA/PAF; falhas de execução.</w:t>
            </w:r>
          </w:p>
        </w:tc>
        <w:tc>
          <w:tcPr>
            <w:tcW w:w="1875" w:type="dxa"/>
            <w:shd w:val="clear" w:color="auto" w:fill="E36C09"/>
            <w:vAlign w:val="center"/>
          </w:tcPr>
          <w:p w14:paraId="5FACB38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7F6FAEA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Afeta qualidade da gestão e a entrega de resultados.</w:t>
            </w:r>
          </w:p>
        </w:tc>
        <w:tc>
          <w:tcPr>
            <w:tcW w:w="945" w:type="dxa"/>
            <w:vAlign w:val="center"/>
          </w:tcPr>
          <w:p w14:paraId="7A8B7B54"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540736BB"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33CB8F7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Programa anual de capacitação via Escola de Governo; trilhas específicas para OGF/CGF.</w:t>
            </w:r>
          </w:p>
        </w:tc>
        <w:tc>
          <w:tcPr>
            <w:tcW w:w="1695" w:type="dxa"/>
            <w:shd w:val="clear" w:color="auto" w:fill="auto"/>
            <w:vAlign w:val="center"/>
          </w:tcPr>
          <w:p w14:paraId="234B481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Capacitação emergencial; contratação de apoio técnico/cooperação.</w:t>
            </w:r>
          </w:p>
        </w:tc>
        <w:tc>
          <w:tcPr>
            <w:tcW w:w="1680" w:type="dxa"/>
            <w:shd w:val="clear" w:color="auto" w:fill="auto"/>
            <w:vAlign w:val="center"/>
          </w:tcPr>
          <w:p w14:paraId="1A19198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Escola de Governo; CGF; SEPLAG</w:t>
            </w:r>
          </w:p>
        </w:tc>
      </w:tr>
      <w:tr w:rsidR="00DB0181" w:rsidRPr="00A04B57" w14:paraId="7B89178A" w14:textId="77777777" w:rsidTr="003926FC">
        <w:trPr>
          <w:trHeight w:val="20"/>
        </w:trPr>
        <w:tc>
          <w:tcPr>
            <w:tcW w:w="990" w:type="dxa"/>
            <w:vMerge/>
            <w:shd w:val="clear" w:color="auto" w:fill="auto"/>
            <w:vAlign w:val="center"/>
          </w:tcPr>
          <w:p w14:paraId="1117326F"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41F67B3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P23. A composição do Conselho Gestor do Fundo é paritária entre governo e sociedade civil?</w:t>
            </w:r>
          </w:p>
        </w:tc>
        <w:tc>
          <w:tcPr>
            <w:tcW w:w="495" w:type="dxa"/>
            <w:shd w:val="clear" w:color="auto" w:fill="auto"/>
            <w:vAlign w:val="center"/>
          </w:tcPr>
          <w:p w14:paraId="27E25509"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30E5028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R40. Assimetria de representação; inconstitucionalidade da medida; perda de legitimidade e risco de captura.</w:t>
            </w:r>
          </w:p>
        </w:tc>
        <w:tc>
          <w:tcPr>
            <w:tcW w:w="1875" w:type="dxa"/>
            <w:shd w:val="clear" w:color="auto" w:fill="E36C09"/>
            <w:vAlign w:val="center"/>
          </w:tcPr>
          <w:p w14:paraId="5C9DC63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2BCACE8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Fragiliza participação e controle social.</w:t>
            </w:r>
          </w:p>
        </w:tc>
        <w:tc>
          <w:tcPr>
            <w:tcW w:w="945" w:type="dxa"/>
            <w:vAlign w:val="center"/>
          </w:tcPr>
          <w:p w14:paraId="1E62E080"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524B49D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2D5CB7E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Estabelecer paridade em lei e regimento; critérios públicos de escolha.</w:t>
            </w:r>
          </w:p>
        </w:tc>
        <w:tc>
          <w:tcPr>
            <w:tcW w:w="1695" w:type="dxa"/>
            <w:shd w:val="clear" w:color="auto" w:fill="auto"/>
            <w:vAlign w:val="center"/>
          </w:tcPr>
          <w:p w14:paraId="59085AA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Recompor cadeiras; convocar processo seletivo/indicações conforme regras.</w:t>
            </w:r>
          </w:p>
        </w:tc>
        <w:tc>
          <w:tcPr>
            <w:tcW w:w="1680" w:type="dxa"/>
            <w:shd w:val="clear" w:color="auto" w:fill="auto"/>
            <w:vAlign w:val="center"/>
          </w:tcPr>
          <w:p w14:paraId="308BBAC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Casa Civil; CGF; Sociedade Civil</w:t>
            </w:r>
          </w:p>
        </w:tc>
      </w:tr>
      <w:tr w:rsidR="00DB0181" w:rsidRPr="00A04B57" w14:paraId="44C9CB00" w14:textId="77777777" w:rsidTr="003926FC">
        <w:trPr>
          <w:trHeight w:val="20"/>
        </w:trPr>
        <w:tc>
          <w:tcPr>
            <w:tcW w:w="990" w:type="dxa"/>
            <w:vMerge/>
            <w:shd w:val="clear" w:color="auto" w:fill="auto"/>
            <w:vAlign w:val="center"/>
          </w:tcPr>
          <w:p w14:paraId="555912A0"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552C69F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P25. O Conselho Gestor do Fundo possui poder deliberativo sobre o uso dos recursos?</w:t>
            </w:r>
          </w:p>
        </w:tc>
        <w:tc>
          <w:tcPr>
            <w:tcW w:w="495" w:type="dxa"/>
            <w:shd w:val="clear" w:color="auto" w:fill="auto"/>
            <w:vAlign w:val="center"/>
          </w:tcPr>
          <w:p w14:paraId="23E989B6"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E36C09"/>
            <w:vAlign w:val="center"/>
          </w:tcPr>
          <w:p w14:paraId="5154DD5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R41. Conselho apenas consultivo.</w:t>
            </w:r>
          </w:p>
        </w:tc>
        <w:tc>
          <w:tcPr>
            <w:tcW w:w="1875" w:type="dxa"/>
            <w:shd w:val="clear" w:color="auto" w:fill="E36C09"/>
            <w:vAlign w:val="center"/>
          </w:tcPr>
          <w:p w14:paraId="3FBB29D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0A42016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Reduz força institucional e transparência decisória.</w:t>
            </w:r>
          </w:p>
        </w:tc>
        <w:tc>
          <w:tcPr>
            <w:tcW w:w="945" w:type="dxa"/>
            <w:vAlign w:val="center"/>
          </w:tcPr>
          <w:p w14:paraId="213C27B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1BCBFE1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36</w:t>
            </w:r>
          </w:p>
        </w:tc>
        <w:tc>
          <w:tcPr>
            <w:tcW w:w="1920" w:type="dxa"/>
            <w:shd w:val="clear" w:color="auto" w:fill="auto"/>
            <w:vAlign w:val="center"/>
          </w:tcPr>
          <w:p w14:paraId="7BDF2F5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Reforma legal atribuindo deliberação.</w:t>
            </w:r>
          </w:p>
        </w:tc>
        <w:tc>
          <w:tcPr>
            <w:tcW w:w="1695" w:type="dxa"/>
            <w:shd w:val="clear" w:color="auto" w:fill="auto"/>
            <w:vAlign w:val="center"/>
          </w:tcPr>
          <w:p w14:paraId="3C28E46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Resolução vinculante provisória.</w:t>
            </w:r>
          </w:p>
        </w:tc>
        <w:tc>
          <w:tcPr>
            <w:tcW w:w="1680" w:type="dxa"/>
            <w:shd w:val="clear" w:color="auto" w:fill="auto"/>
            <w:vAlign w:val="center"/>
          </w:tcPr>
          <w:p w14:paraId="07CFAA6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w:t>
            </w:r>
          </w:p>
        </w:tc>
      </w:tr>
      <w:tr w:rsidR="00DB0181" w:rsidRPr="00A04B57" w14:paraId="6399F396" w14:textId="77777777" w:rsidTr="003926FC">
        <w:trPr>
          <w:trHeight w:val="20"/>
        </w:trPr>
        <w:tc>
          <w:tcPr>
            <w:tcW w:w="990" w:type="dxa"/>
            <w:vMerge/>
            <w:shd w:val="clear" w:color="auto" w:fill="auto"/>
            <w:vAlign w:val="center"/>
          </w:tcPr>
          <w:p w14:paraId="0C7D89B5"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47189BE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P27. Existe prestação de contas periódica e pública específica do Fundo?</w:t>
            </w:r>
          </w:p>
        </w:tc>
        <w:tc>
          <w:tcPr>
            <w:tcW w:w="495" w:type="dxa"/>
            <w:shd w:val="clear" w:color="auto" w:fill="auto"/>
            <w:vAlign w:val="center"/>
          </w:tcPr>
          <w:p w14:paraId="1621BAC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2706E6D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R42. Ausência de </w:t>
            </w:r>
            <w:r w:rsidRPr="00A04B57">
              <w:rPr>
                <w:rFonts w:ascii="Times New Roman" w:hAnsi="Times New Roman" w:cs="Times New Roman"/>
                <w:i/>
                <w:sz w:val="14"/>
                <w:szCs w:val="14"/>
              </w:rPr>
              <w:t>accountability</w:t>
            </w:r>
            <w:r w:rsidRPr="00A04B57">
              <w:rPr>
                <w:rFonts w:ascii="Times New Roman" w:hAnsi="Times New Roman" w:cs="Times New Roman"/>
                <w:sz w:val="14"/>
                <w:szCs w:val="14"/>
              </w:rPr>
              <w:t>; risco de sanções.</w:t>
            </w:r>
          </w:p>
        </w:tc>
        <w:tc>
          <w:tcPr>
            <w:tcW w:w="1875" w:type="dxa"/>
            <w:shd w:val="clear" w:color="auto" w:fill="E36C09"/>
            <w:vAlign w:val="center"/>
          </w:tcPr>
          <w:p w14:paraId="4ED2A6B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02518CF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Reduz confiança institucional e transparência.</w:t>
            </w:r>
          </w:p>
        </w:tc>
        <w:tc>
          <w:tcPr>
            <w:tcW w:w="945" w:type="dxa"/>
            <w:vAlign w:val="center"/>
          </w:tcPr>
          <w:p w14:paraId="0D99060B"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42899D94"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346F0F7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Publicar relatórios quadrimestrais e anuais do Fundo, com dados abertos.</w:t>
            </w:r>
          </w:p>
        </w:tc>
        <w:tc>
          <w:tcPr>
            <w:tcW w:w="1695" w:type="dxa"/>
            <w:shd w:val="clear" w:color="auto" w:fill="auto"/>
            <w:vAlign w:val="center"/>
          </w:tcPr>
          <w:p w14:paraId="23B1BDE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Produzir relatórios retroativos e plano de regularização.</w:t>
            </w:r>
          </w:p>
        </w:tc>
        <w:tc>
          <w:tcPr>
            <w:tcW w:w="1680" w:type="dxa"/>
            <w:shd w:val="clear" w:color="auto" w:fill="auto"/>
            <w:vAlign w:val="center"/>
          </w:tcPr>
          <w:p w14:paraId="74CFD13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CI; CGF; Unidade de Transparência/TI</w:t>
            </w:r>
          </w:p>
        </w:tc>
      </w:tr>
      <w:tr w:rsidR="00DB0181" w:rsidRPr="00A04B57" w14:paraId="2C98AD8A" w14:textId="77777777" w:rsidTr="003926FC">
        <w:trPr>
          <w:trHeight w:val="20"/>
        </w:trPr>
        <w:tc>
          <w:tcPr>
            <w:tcW w:w="990" w:type="dxa"/>
            <w:vMerge/>
            <w:shd w:val="clear" w:color="auto" w:fill="auto"/>
            <w:vAlign w:val="center"/>
          </w:tcPr>
          <w:p w14:paraId="24229BC8"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5EBF1CC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P68. Há equipe técnica dedicada à gestão do Fundo?</w:t>
            </w:r>
          </w:p>
        </w:tc>
        <w:tc>
          <w:tcPr>
            <w:tcW w:w="495" w:type="dxa"/>
            <w:shd w:val="clear" w:color="auto" w:fill="auto"/>
            <w:vAlign w:val="center"/>
          </w:tcPr>
          <w:p w14:paraId="64BFBEF4"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2B0D8D7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R43. Falta de capacidade técnica contínua; rotatividade; improviso.</w:t>
            </w:r>
          </w:p>
        </w:tc>
        <w:tc>
          <w:tcPr>
            <w:tcW w:w="1875" w:type="dxa"/>
            <w:shd w:val="clear" w:color="auto" w:fill="E36C09"/>
            <w:vAlign w:val="center"/>
          </w:tcPr>
          <w:p w14:paraId="41F95E4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16A3C02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Queda de qualidade na gestão e riscos operacionais.</w:t>
            </w:r>
          </w:p>
        </w:tc>
        <w:tc>
          <w:tcPr>
            <w:tcW w:w="945" w:type="dxa"/>
            <w:vAlign w:val="center"/>
          </w:tcPr>
          <w:p w14:paraId="230EC47A"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089433E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38988FA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Instituir equipe permanente com atribuições claras, inclusive com apoio ao CGF.</w:t>
            </w:r>
          </w:p>
        </w:tc>
        <w:tc>
          <w:tcPr>
            <w:tcW w:w="1695" w:type="dxa"/>
            <w:shd w:val="clear" w:color="auto" w:fill="auto"/>
            <w:vAlign w:val="center"/>
          </w:tcPr>
          <w:p w14:paraId="4FCC700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Contratar temporariamente; firmar cooperação técnica.</w:t>
            </w:r>
          </w:p>
        </w:tc>
        <w:tc>
          <w:tcPr>
            <w:tcW w:w="1680" w:type="dxa"/>
            <w:shd w:val="clear" w:color="auto" w:fill="auto"/>
            <w:vAlign w:val="center"/>
          </w:tcPr>
          <w:p w14:paraId="70F2C5B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 Casa Civil; SEPLAG</w:t>
            </w:r>
          </w:p>
        </w:tc>
      </w:tr>
      <w:tr w:rsidR="00DB0181" w:rsidRPr="00A04B57" w14:paraId="7B05F037" w14:textId="77777777" w:rsidTr="003926FC">
        <w:trPr>
          <w:trHeight w:val="20"/>
        </w:trPr>
        <w:tc>
          <w:tcPr>
            <w:tcW w:w="990" w:type="dxa"/>
            <w:vMerge/>
            <w:shd w:val="clear" w:color="auto" w:fill="auto"/>
            <w:vAlign w:val="center"/>
          </w:tcPr>
          <w:p w14:paraId="784664DD"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3F987B6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P69. Há programa de integridade ou mecanismos anticorrupção aplicáveis à execução dos recursos do Fundo?</w:t>
            </w:r>
          </w:p>
        </w:tc>
        <w:tc>
          <w:tcPr>
            <w:tcW w:w="495" w:type="dxa"/>
            <w:shd w:val="clear" w:color="auto" w:fill="auto"/>
            <w:vAlign w:val="center"/>
          </w:tcPr>
          <w:p w14:paraId="57C307D7"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FFFF00"/>
            <w:vAlign w:val="center"/>
          </w:tcPr>
          <w:p w14:paraId="7010B2B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R44. Vulnerabilidade à fraude e corrupção.</w:t>
            </w:r>
          </w:p>
        </w:tc>
        <w:tc>
          <w:tcPr>
            <w:tcW w:w="1875" w:type="dxa"/>
            <w:shd w:val="clear" w:color="auto" w:fill="FFFF00"/>
            <w:vAlign w:val="center"/>
          </w:tcPr>
          <w:p w14:paraId="4BA63BF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3 – MÉDIO</w:t>
            </w:r>
          </w:p>
          <w:p w14:paraId="4356CF2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Risco de judicialização e bloqueios.</w:t>
            </w:r>
          </w:p>
        </w:tc>
        <w:tc>
          <w:tcPr>
            <w:tcW w:w="945" w:type="dxa"/>
            <w:vAlign w:val="center"/>
          </w:tcPr>
          <w:p w14:paraId="74556733"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0B65088A"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18</w:t>
            </w:r>
          </w:p>
        </w:tc>
        <w:tc>
          <w:tcPr>
            <w:tcW w:w="1920" w:type="dxa"/>
            <w:shd w:val="clear" w:color="auto" w:fill="auto"/>
            <w:vAlign w:val="center"/>
          </w:tcPr>
          <w:p w14:paraId="3E05571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Implantar Programa de Integridade; matriz de riscos; segregação de funções.</w:t>
            </w:r>
          </w:p>
        </w:tc>
        <w:tc>
          <w:tcPr>
            <w:tcW w:w="1695" w:type="dxa"/>
            <w:shd w:val="clear" w:color="auto" w:fill="auto"/>
            <w:vAlign w:val="center"/>
          </w:tcPr>
          <w:p w14:paraId="6DEB201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Apuração imediata; medidas corretivas e comunicação aos órgãos de controle.</w:t>
            </w:r>
          </w:p>
        </w:tc>
        <w:tc>
          <w:tcPr>
            <w:tcW w:w="1680" w:type="dxa"/>
            <w:shd w:val="clear" w:color="auto" w:fill="auto"/>
            <w:vAlign w:val="center"/>
          </w:tcPr>
          <w:p w14:paraId="7039F8A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CI; OGF; Procuradoria; Tribunal de Contas; Ministério Público</w:t>
            </w:r>
          </w:p>
        </w:tc>
      </w:tr>
      <w:tr w:rsidR="00DB0181" w:rsidRPr="00A04B57" w14:paraId="207ACBBE" w14:textId="77777777" w:rsidTr="003926FC">
        <w:trPr>
          <w:trHeight w:val="20"/>
        </w:trPr>
        <w:tc>
          <w:tcPr>
            <w:tcW w:w="990" w:type="dxa"/>
            <w:vMerge/>
            <w:shd w:val="clear" w:color="auto" w:fill="auto"/>
            <w:vAlign w:val="center"/>
          </w:tcPr>
          <w:p w14:paraId="2DDD796C"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2487FF6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P70. A Controladoria Interna não identificou irregularidades ou riscos no uso do Fundo nos últimos 5 anos?</w:t>
            </w:r>
          </w:p>
        </w:tc>
        <w:tc>
          <w:tcPr>
            <w:tcW w:w="495" w:type="dxa"/>
            <w:shd w:val="clear" w:color="auto" w:fill="auto"/>
            <w:vAlign w:val="center"/>
          </w:tcPr>
          <w:p w14:paraId="105EAE40"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FFFF00"/>
            <w:vAlign w:val="center"/>
          </w:tcPr>
          <w:p w14:paraId="1B4F82D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R45. Fragilidade no controle interno e auditoria insuficiente.</w:t>
            </w:r>
          </w:p>
        </w:tc>
        <w:tc>
          <w:tcPr>
            <w:tcW w:w="1875" w:type="dxa"/>
            <w:shd w:val="clear" w:color="auto" w:fill="FFFF00"/>
            <w:vAlign w:val="center"/>
          </w:tcPr>
          <w:p w14:paraId="545AAD9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3 – MÉDIO</w:t>
            </w:r>
          </w:p>
          <w:p w14:paraId="35C385D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Reduz confiança e pode ocultar problemas.</w:t>
            </w:r>
          </w:p>
        </w:tc>
        <w:tc>
          <w:tcPr>
            <w:tcW w:w="945" w:type="dxa"/>
            <w:vAlign w:val="center"/>
          </w:tcPr>
          <w:p w14:paraId="28F2D4EA"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06DECAE3"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18</w:t>
            </w:r>
          </w:p>
        </w:tc>
        <w:tc>
          <w:tcPr>
            <w:tcW w:w="1920" w:type="dxa"/>
            <w:shd w:val="clear" w:color="auto" w:fill="auto"/>
            <w:vAlign w:val="center"/>
          </w:tcPr>
          <w:p w14:paraId="2C1A0A9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Auditorias periódicas independentes com plano anual.</w:t>
            </w:r>
          </w:p>
        </w:tc>
        <w:tc>
          <w:tcPr>
            <w:tcW w:w="1695" w:type="dxa"/>
            <w:shd w:val="clear" w:color="auto" w:fill="auto"/>
            <w:vAlign w:val="center"/>
          </w:tcPr>
          <w:p w14:paraId="7E14BEB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Revisar controles; implementar recomendações com prazos.</w:t>
            </w:r>
          </w:p>
        </w:tc>
        <w:tc>
          <w:tcPr>
            <w:tcW w:w="1680" w:type="dxa"/>
            <w:shd w:val="clear" w:color="auto" w:fill="auto"/>
            <w:vAlign w:val="center"/>
          </w:tcPr>
          <w:p w14:paraId="7CE60C8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CI; OGF</w:t>
            </w:r>
          </w:p>
        </w:tc>
      </w:tr>
      <w:tr w:rsidR="00DB0181" w:rsidRPr="00A04B57" w14:paraId="7201FCDC" w14:textId="77777777" w:rsidTr="003926FC">
        <w:trPr>
          <w:trHeight w:val="20"/>
        </w:trPr>
        <w:tc>
          <w:tcPr>
            <w:tcW w:w="990" w:type="dxa"/>
            <w:vMerge/>
            <w:shd w:val="clear" w:color="auto" w:fill="auto"/>
            <w:vAlign w:val="center"/>
          </w:tcPr>
          <w:p w14:paraId="21E6FCE2"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3580412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P71. O Tribunal de Contas não identificou irregularidades ou riscos no uso do Fundo nos últimos 5 anos?</w:t>
            </w:r>
          </w:p>
        </w:tc>
        <w:tc>
          <w:tcPr>
            <w:tcW w:w="495" w:type="dxa"/>
            <w:shd w:val="clear" w:color="auto" w:fill="auto"/>
            <w:vAlign w:val="center"/>
          </w:tcPr>
          <w:p w14:paraId="1450EB03"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FFFF00"/>
            <w:vAlign w:val="center"/>
          </w:tcPr>
          <w:p w14:paraId="7F54842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R46. Fragilidade no controle externo; risco de sanções.</w:t>
            </w:r>
          </w:p>
        </w:tc>
        <w:tc>
          <w:tcPr>
            <w:tcW w:w="1875" w:type="dxa"/>
            <w:shd w:val="clear" w:color="auto" w:fill="FFFF00"/>
            <w:vAlign w:val="center"/>
          </w:tcPr>
          <w:p w14:paraId="685E3FC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3 – MÉDIO</w:t>
            </w:r>
          </w:p>
          <w:p w14:paraId="02C29CE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Responsabilização posterior e glosas futuras.</w:t>
            </w:r>
          </w:p>
        </w:tc>
        <w:tc>
          <w:tcPr>
            <w:tcW w:w="945" w:type="dxa"/>
            <w:vAlign w:val="center"/>
          </w:tcPr>
          <w:p w14:paraId="7F090B7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19091EF6"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18</w:t>
            </w:r>
          </w:p>
        </w:tc>
        <w:tc>
          <w:tcPr>
            <w:tcW w:w="1920" w:type="dxa"/>
            <w:shd w:val="clear" w:color="auto" w:fill="auto"/>
            <w:vAlign w:val="center"/>
          </w:tcPr>
          <w:p w14:paraId="0DF5883B"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Fortalecer controles internos; cooperação técnica com TC.</w:t>
            </w:r>
          </w:p>
        </w:tc>
        <w:tc>
          <w:tcPr>
            <w:tcW w:w="1695" w:type="dxa"/>
            <w:shd w:val="clear" w:color="auto" w:fill="auto"/>
            <w:vAlign w:val="center"/>
          </w:tcPr>
          <w:p w14:paraId="1F77F02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Plano de saneamento com prazos e evidências.</w:t>
            </w:r>
          </w:p>
        </w:tc>
        <w:tc>
          <w:tcPr>
            <w:tcW w:w="1680" w:type="dxa"/>
            <w:shd w:val="clear" w:color="auto" w:fill="auto"/>
            <w:vAlign w:val="center"/>
          </w:tcPr>
          <w:p w14:paraId="57444B1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CI; TC</w:t>
            </w:r>
          </w:p>
        </w:tc>
      </w:tr>
      <w:tr w:rsidR="00DB0181" w:rsidRPr="00A04B57" w14:paraId="1A8EA51D" w14:textId="77777777" w:rsidTr="003926FC">
        <w:trPr>
          <w:trHeight w:val="20"/>
        </w:trPr>
        <w:tc>
          <w:tcPr>
            <w:tcW w:w="990" w:type="dxa"/>
            <w:vMerge/>
            <w:shd w:val="clear" w:color="auto" w:fill="auto"/>
            <w:vAlign w:val="center"/>
          </w:tcPr>
          <w:p w14:paraId="514E6AA6"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485E3D5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P72. O Ministério Público (Estadual ou de Contas) não identificou irregularidades ou riscos no uso do Fundo nos últimos 5 anos?</w:t>
            </w:r>
          </w:p>
        </w:tc>
        <w:tc>
          <w:tcPr>
            <w:tcW w:w="495" w:type="dxa"/>
            <w:shd w:val="clear" w:color="auto" w:fill="auto"/>
            <w:vAlign w:val="center"/>
          </w:tcPr>
          <w:p w14:paraId="6264270B"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E36C09"/>
            <w:vAlign w:val="center"/>
          </w:tcPr>
          <w:p w14:paraId="373AB52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R47. Judicialização por irregularidades/ilegalidades.</w:t>
            </w:r>
          </w:p>
        </w:tc>
        <w:tc>
          <w:tcPr>
            <w:tcW w:w="1875" w:type="dxa"/>
            <w:shd w:val="clear" w:color="auto" w:fill="E36C09"/>
            <w:vAlign w:val="center"/>
          </w:tcPr>
          <w:p w14:paraId="6245539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18A3C1D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Pode paralisar políticas públicas e gerar bloqueios.</w:t>
            </w:r>
          </w:p>
        </w:tc>
        <w:tc>
          <w:tcPr>
            <w:tcW w:w="945" w:type="dxa"/>
            <w:vAlign w:val="center"/>
          </w:tcPr>
          <w:p w14:paraId="5D4EFDC3"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3A69FA5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24</w:t>
            </w:r>
          </w:p>
        </w:tc>
        <w:tc>
          <w:tcPr>
            <w:tcW w:w="1920" w:type="dxa"/>
            <w:shd w:val="clear" w:color="auto" w:fill="auto"/>
            <w:vAlign w:val="center"/>
          </w:tcPr>
          <w:p w14:paraId="0EB5563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Prestação de contas proativa e transparência ativa.</w:t>
            </w:r>
          </w:p>
        </w:tc>
        <w:tc>
          <w:tcPr>
            <w:tcW w:w="1695" w:type="dxa"/>
            <w:shd w:val="clear" w:color="auto" w:fill="auto"/>
            <w:vAlign w:val="center"/>
          </w:tcPr>
          <w:p w14:paraId="5DB92C7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Firmar TAC/ajuste de conduta; corrigir falhas identificadas.</w:t>
            </w:r>
          </w:p>
        </w:tc>
        <w:tc>
          <w:tcPr>
            <w:tcW w:w="1680" w:type="dxa"/>
            <w:shd w:val="clear" w:color="auto" w:fill="auto"/>
            <w:vAlign w:val="center"/>
          </w:tcPr>
          <w:p w14:paraId="23EB725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Ministério Público; Procuradoria; CI</w:t>
            </w:r>
          </w:p>
        </w:tc>
      </w:tr>
      <w:tr w:rsidR="00DB0181" w:rsidRPr="00A04B57" w14:paraId="78BACC62" w14:textId="77777777" w:rsidTr="003926FC">
        <w:trPr>
          <w:trHeight w:val="20"/>
        </w:trPr>
        <w:tc>
          <w:tcPr>
            <w:tcW w:w="990" w:type="dxa"/>
            <w:vMerge/>
            <w:shd w:val="clear" w:color="auto" w:fill="auto"/>
            <w:vAlign w:val="center"/>
          </w:tcPr>
          <w:p w14:paraId="6D6108C6"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3E9A797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P73. Não foram identificadas fraudes ou ações judiciais relacionadas ao uso do Fundo?</w:t>
            </w:r>
          </w:p>
        </w:tc>
        <w:tc>
          <w:tcPr>
            <w:tcW w:w="495" w:type="dxa"/>
            <w:shd w:val="clear" w:color="auto" w:fill="auto"/>
            <w:vAlign w:val="center"/>
          </w:tcPr>
          <w:p w14:paraId="47325C23"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C00000"/>
            <w:vAlign w:val="center"/>
          </w:tcPr>
          <w:p w14:paraId="7205945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R48. Integridade comprometida; litígios e sanções.</w:t>
            </w:r>
          </w:p>
        </w:tc>
        <w:tc>
          <w:tcPr>
            <w:tcW w:w="1875" w:type="dxa"/>
            <w:shd w:val="clear" w:color="auto" w:fill="C00000"/>
            <w:vAlign w:val="center"/>
          </w:tcPr>
          <w:p w14:paraId="5B1991F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5 – MUITO ALTO </w:t>
            </w:r>
          </w:p>
          <w:p w14:paraId="7F01BD5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Bloqueios judiciais e crise institucional.</w:t>
            </w:r>
          </w:p>
        </w:tc>
        <w:tc>
          <w:tcPr>
            <w:tcW w:w="945" w:type="dxa"/>
            <w:vAlign w:val="center"/>
          </w:tcPr>
          <w:p w14:paraId="00CABD0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7CC2955F"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4FE969E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Programa de Integridade; canais de denúncia; controles preventivos.</w:t>
            </w:r>
          </w:p>
        </w:tc>
        <w:tc>
          <w:tcPr>
            <w:tcW w:w="1695" w:type="dxa"/>
            <w:shd w:val="clear" w:color="auto" w:fill="auto"/>
            <w:vAlign w:val="center"/>
          </w:tcPr>
          <w:p w14:paraId="48919D9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Protocolo anticorrupção: suspensão cautelar, apuração e saneamento.</w:t>
            </w:r>
          </w:p>
        </w:tc>
        <w:tc>
          <w:tcPr>
            <w:tcW w:w="1680" w:type="dxa"/>
            <w:shd w:val="clear" w:color="auto" w:fill="auto"/>
            <w:vAlign w:val="center"/>
          </w:tcPr>
          <w:p w14:paraId="155854D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CI; OGF; Procuradoria</w:t>
            </w:r>
          </w:p>
        </w:tc>
      </w:tr>
      <w:tr w:rsidR="00DB0181" w:rsidRPr="00A04B57" w14:paraId="4CEA3010" w14:textId="77777777" w:rsidTr="003926FC">
        <w:trPr>
          <w:trHeight w:val="20"/>
        </w:trPr>
        <w:tc>
          <w:tcPr>
            <w:tcW w:w="990" w:type="dxa"/>
            <w:vMerge w:val="restart"/>
            <w:shd w:val="clear" w:color="auto" w:fill="auto"/>
            <w:vAlign w:val="center"/>
          </w:tcPr>
          <w:p w14:paraId="313FD27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Avaliativa</w:t>
            </w:r>
          </w:p>
        </w:tc>
        <w:tc>
          <w:tcPr>
            <w:tcW w:w="1860" w:type="dxa"/>
            <w:shd w:val="clear" w:color="auto" w:fill="auto"/>
            <w:vAlign w:val="center"/>
          </w:tcPr>
          <w:p w14:paraId="787A43F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P36. Há mecanismos de monitoramento do cumprimento do Plano de Ação (PA) do Fundo?</w:t>
            </w:r>
          </w:p>
        </w:tc>
        <w:tc>
          <w:tcPr>
            <w:tcW w:w="495" w:type="dxa"/>
            <w:shd w:val="clear" w:color="auto" w:fill="auto"/>
            <w:vAlign w:val="center"/>
          </w:tcPr>
          <w:p w14:paraId="058F77E4"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FFFF00"/>
            <w:vAlign w:val="center"/>
          </w:tcPr>
          <w:p w14:paraId="6BF708D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R49. Ausência de acompanhamento contínuo e correção tempestiva.</w:t>
            </w:r>
          </w:p>
        </w:tc>
        <w:tc>
          <w:tcPr>
            <w:tcW w:w="1875" w:type="dxa"/>
            <w:shd w:val="clear" w:color="auto" w:fill="FFFF00"/>
            <w:vAlign w:val="center"/>
          </w:tcPr>
          <w:p w14:paraId="7F1A337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3 – MÉDIO</w:t>
            </w:r>
          </w:p>
          <w:p w14:paraId="2B35015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Execução sem ajustes de rota.</w:t>
            </w:r>
          </w:p>
        </w:tc>
        <w:tc>
          <w:tcPr>
            <w:tcW w:w="945" w:type="dxa"/>
            <w:vAlign w:val="center"/>
          </w:tcPr>
          <w:p w14:paraId="2B807D5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7B54F7D9"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18</w:t>
            </w:r>
          </w:p>
        </w:tc>
        <w:tc>
          <w:tcPr>
            <w:tcW w:w="1920" w:type="dxa"/>
            <w:shd w:val="clear" w:color="auto" w:fill="auto"/>
            <w:vAlign w:val="center"/>
          </w:tcPr>
          <w:p w14:paraId="05B5351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Implantar painel de monitoramento com metas físicas e financeiras, prazos e responsáveis.</w:t>
            </w:r>
          </w:p>
        </w:tc>
        <w:tc>
          <w:tcPr>
            <w:tcW w:w="1695" w:type="dxa"/>
            <w:shd w:val="clear" w:color="auto" w:fill="auto"/>
            <w:vAlign w:val="center"/>
          </w:tcPr>
          <w:p w14:paraId="13C2BDE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Emitir relatórios extraordinários e planos de ação corretiva.</w:t>
            </w:r>
          </w:p>
        </w:tc>
        <w:tc>
          <w:tcPr>
            <w:tcW w:w="1680" w:type="dxa"/>
            <w:shd w:val="clear" w:color="auto" w:fill="auto"/>
            <w:vAlign w:val="center"/>
          </w:tcPr>
          <w:p w14:paraId="30FBF4C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Unidade de Monitoramento/Avaliação; CGF</w:t>
            </w:r>
          </w:p>
        </w:tc>
      </w:tr>
      <w:tr w:rsidR="00DB0181" w:rsidRPr="00A04B57" w14:paraId="34B76809" w14:textId="77777777" w:rsidTr="003926FC">
        <w:trPr>
          <w:trHeight w:val="20"/>
        </w:trPr>
        <w:tc>
          <w:tcPr>
            <w:tcW w:w="990" w:type="dxa"/>
            <w:vMerge/>
            <w:shd w:val="clear" w:color="auto" w:fill="auto"/>
            <w:vAlign w:val="center"/>
          </w:tcPr>
          <w:p w14:paraId="4F42B160"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4C9B885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P56. As ações planejadas foram executadas (totais liquidados por ação) em ≥ 85% do valor autorizado?</w:t>
            </w:r>
          </w:p>
        </w:tc>
        <w:tc>
          <w:tcPr>
            <w:tcW w:w="495" w:type="dxa"/>
            <w:shd w:val="clear" w:color="auto" w:fill="auto"/>
            <w:vAlign w:val="center"/>
          </w:tcPr>
          <w:p w14:paraId="05CB457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E36C09"/>
            <w:vAlign w:val="center"/>
          </w:tcPr>
          <w:p w14:paraId="6235568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R50. Metas de entrega física não cumpridas.</w:t>
            </w:r>
          </w:p>
        </w:tc>
        <w:tc>
          <w:tcPr>
            <w:tcW w:w="1875" w:type="dxa"/>
            <w:shd w:val="clear" w:color="auto" w:fill="E36C09"/>
            <w:vAlign w:val="center"/>
          </w:tcPr>
          <w:p w14:paraId="3345408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02C9397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Compromete a eficácia do Fundo e dos direitos sociais.</w:t>
            </w:r>
          </w:p>
        </w:tc>
        <w:tc>
          <w:tcPr>
            <w:tcW w:w="945" w:type="dxa"/>
            <w:vAlign w:val="center"/>
          </w:tcPr>
          <w:p w14:paraId="7CAE231A"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3F85A857"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36</w:t>
            </w:r>
          </w:p>
        </w:tc>
        <w:tc>
          <w:tcPr>
            <w:tcW w:w="1920" w:type="dxa"/>
            <w:shd w:val="clear" w:color="auto" w:fill="auto"/>
            <w:vAlign w:val="center"/>
          </w:tcPr>
          <w:p w14:paraId="0597E0C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Elaborar planejamento com base no princípio do realismo orçamentário.</w:t>
            </w:r>
          </w:p>
        </w:tc>
        <w:tc>
          <w:tcPr>
            <w:tcW w:w="1695" w:type="dxa"/>
            <w:shd w:val="clear" w:color="auto" w:fill="auto"/>
            <w:vAlign w:val="center"/>
          </w:tcPr>
          <w:p w14:paraId="2E98187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Reprogramar ações com foco finalístico.</w:t>
            </w:r>
          </w:p>
        </w:tc>
        <w:tc>
          <w:tcPr>
            <w:tcW w:w="1680" w:type="dxa"/>
            <w:shd w:val="clear" w:color="auto" w:fill="auto"/>
            <w:vAlign w:val="center"/>
          </w:tcPr>
          <w:p w14:paraId="1BEED6E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w:t>
            </w:r>
          </w:p>
        </w:tc>
      </w:tr>
      <w:tr w:rsidR="00DB0181" w:rsidRPr="00A04B57" w14:paraId="59E52876" w14:textId="77777777" w:rsidTr="003926FC">
        <w:trPr>
          <w:trHeight w:val="20"/>
        </w:trPr>
        <w:tc>
          <w:tcPr>
            <w:tcW w:w="990" w:type="dxa"/>
            <w:vMerge/>
            <w:shd w:val="clear" w:color="auto" w:fill="auto"/>
            <w:vAlign w:val="center"/>
          </w:tcPr>
          <w:p w14:paraId="7B1EEE5E"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6CAB88D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P57. Não há indícios de desvio de finalidade?</w:t>
            </w:r>
          </w:p>
        </w:tc>
        <w:tc>
          <w:tcPr>
            <w:tcW w:w="495" w:type="dxa"/>
            <w:shd w:val="clear" w:color="auto" w:fill="auto"/>
            <w:vAlign w:val="center"/>
          </w:tcPr>
          <w:p w14:paraId="0BAD1073"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E36C09"/>
            <w:vAlign w:val="center"/>
          </w:tcPr>
          <w:p w14:paraId="095CC0C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R51. Uso indevido de recursos.</w:t>
            </w:r>
          </w:p>
        </w:tc>
        <w:tc>
          <w:tcPr>
            <w:tcW w:w="1875" w:type="dxa"/>
            <w:shd w:val="clear" w:color="auto" w:fill="E36C09"/>
            <w:vAlign w:val="center"/>
          </w:tcPr>
          <w:p w14:paraId="465B6FB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3CD8F9B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Risco de improbidade, devolução de valores ao Fundo e sanções.</w:t>
            </w:r>
          </w:p>
        </w:tc>
        <w:tc>
          <w:tcPr>
            <w:tcW w:w="945" w:type="dxa"/>
            <w:vAlign w:val="center"/>
          </w:tcPr>
          <w:p w14:paraId="6AF103E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3B306D25"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36</w:t>
            </w:r>
          </w:p>
        </w:tc>
        <w:tc>
          <w:tcPr>
            <w:tcW w:w="1920" w:type="dxa"/>
            <w:shd w:val="clear" w:color="auto" w:fill="auto"/>
            <w:vAlign w:val="center"/>
          </w:tcPr>
          <w:p w14:paraId="4BD7FA6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Trâmite jurídico prévio de elegibilidade.</w:t>
            </w:r>
          </w:p>
        </w:tc>
        <w:tc>
          <w:tcPr>
            <w:tcW w:w="1695" w:type="dxa"/>
            <w:shd w:val="clear" w:color="auto" w:fill="auto"/>
            <w:vAlign w:val="center"/>
          </w:tcPr>
          <w:p w14:paraId="37AD688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Anular empenhos e restituir recursos à finalidade do Fundo.</w:t>
            </w:r>
          </w:p>
        </w:tc>
        <w:tc>
          <w:tcPr>
            <w:tcW w:w="1680" w:type="dxa"/>
            <w:shd w:val="clear" w:color="auto" w:fill="auto"/>
            <w:vAlign w:val="center"/>
          </w:tcPr>
          <w:p w14:paraId="1290D91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 Procuradoria; CI</w:t>
            </w:r>
          </w:p>
        </w:tc>
      </w:tr>
      <w:tr w:rsidR="00DB0181" w:rsidRPr="00A04B57" w14:paraId="67D56E80" w14:textId="77777777" w:rsidTr="003926FC">
        <w:trPr>
          <w:trHeight w:val="20"/>
        </w:trPr>
        <w:tc>
          <w:tcPr>
            <w:tcW w:w="990" w:type="dxa"/>
            <w:vMerge/>
            <w:shd w:val="clear" w:color="auto" w:fill="auto"/>
            <w:vAlign w:val="center"/>
          </w:tcPr>
          <w:p w14:paraId="474E204B"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1B39A687"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P58. Há avaliação anual dos recursos com divulgação pública dos resultados?</w:t>
            </w:r>
          </w:p>
        </w:tc>
        <w:tc>
          <w:tcPr>
            <w:tcW w:w="495" w:type="dxa"/>
            <w:shd w:val="clear" w:color="auto" w:fill="auto"/>
            <w:vAlign w:val="center"/>
          </w:tcPr>
          <w:p w14:paraId="0DB65540"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FFFF00"/>
            <w:vAlign w:val="center"/>
          </w:tcPr>
          <w:p w14:paraId="26F1215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R52. Falta </w:t>
            </w:r>
            <w:r w:rsidRPr="00A04B57">
              <w:rPr>
                <w:rFonts w:ascii="Times New Roman" w:hAnsi="Times New Roman" w:cs="Times New Roman"/>
                <w:i/>
                <w:sz w:val="14"/>
                <w:szCs w:val="14"/>
              </w:rPr>
              <w:t>accountability</w:t>
            </w:r>
            <w:r w:rsidRPr="00A04B57">
              <w:rPr>
                <w:rFonts w:ascii="Times New Roman" w:hAnsi="Times New Roman" w:cs="Times New Roman"/>
                <w:sz w:val="14"/>
                <w:szCs w:val="14"/>
              </w:rPr>
              <w:t xml:space="preserve"> para os resultados e risco de desvio de finalidade.</w:t>
            </w:r>
          </w:p>
        </w:tc>
        <w:tc>
          <w:tcPr>
            <w:tcW w:w="1875" w:type="dxa"/>
            <w:shd w:val="clear" w:color="auto" w:fill="FFFF00"/>
            <w:vAlign w:val="center"/>
          </w:tcPr>
          <w:p w14:paraId="0B97C239"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3 – MÉDIO</w:t>
            </w:r>
          </w:p>
          <w:p w14:paraId="5802B51C"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Perda de confiança social.</w:t>
            </w:r>
          </w:p>
        </w:tc>
        <w:tc>
          <w:tcPr>
            <w:tcW w:w="945" w:type="dxa"/>
            <w:vAlign w:val="center"/>
          </w:tcPr>
          <w:p w14:paraId="7AEADA0C"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1EBBE743"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18</w:t>
            </w:r>
          </w:p>
        </w:tc>
        <w:tc>
          <w:tcPr>
            <w:tcW w:w="1920" w:type="dxa"/>
            <w:shd w:val="clear" w:color="auto" w:fill="auto"/>
            <w:vAlign w:val="center"/>
          </w:tcPr>
          <w:p w14:paraId="29A3B43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Tornar obrigatórios relatórios anuais com dados abertos.</w:t>
            </w:r>
          </w:p>
        </w:tc>
        <w:tc>
          <w:tcPr>
            <w:tcW w:w="1695" w:type="dxa"/>
            <w:shd w:val="clear" w:color="auto" w:fill="auto"/>
            <w:vAlign w:val="center"/>
          </w:tcPr>
          <w:p w14:paraId="084517F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Publicar avaliação retroativa e plano de melhorias.</w:t>
            </w:r>
          </w:p>
        </w:tc>
        <w:tc>
          <w:tcPr>
            <w:tcW w:w="1680" w:type="dxa"/>
            <w:shd w:val="clear" w:color="auto" w:fill="auto"/>
            <w:vAlign w:val="center"/>
          </w:tcPr>
          <w:p w14:paraId="5DB4455A"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Unidade de Avaliação; CGF; Unidade de Transparência/TI</w:t>
            </w:r>
          </w:p>
        </w:tc>
      </w:tr>
      <w:tr w:rsidR="00DB0181" w:rsidRPr="00A04B57" w14:paraId="371DB945" w14:textId="77777777" w:rsidTr="003926FC">
        <w:trPr>
          <w:trHeight w:val="20"/>
        </w:trPr>
        <w:tc>
          <w:tcPr>
            <w:tcW w:w="990" w:type="dxa"/>
            <w:vMerge/>
            <w:shd w:val="clear" w:color="auto" w:fill="auto"/>
            <w:vAlign w:val="center"/>
          </w:tcPr>
          <w:p w14:paraId="01FD186B"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659E7445"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P59. Indicadores de resultados vinculados à redução da pobreza são monitorados e demonstrados em relatórios de avaliação orçamentária?</w:t>
            </w:r>
          </w:p>
        </w:tc>
        <w:tc>
          <w:tcPr>
            <w:tcW w:w="495" w:type="dxa"/>
            <w:shd w:val="clear" w:color="auto" w:fill="auto"/>
            <w:vAlign w:val="center"/>
          </w:tcPr>
          <w:p w14:paraId="0ADF6C24"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2</w:t>
            </w:r>
          </w:p>
        </w:tc>
        <w:tc>
          <w:tcPr>
            <w:tcW w:w="1680" w:type="dxa"/>
            <w:shd w:val="clear" w:color="auto" w:fill="FFFF00"/>
            <w:vAlign w:val="center"/>
          </w:tcPr>
          <w:p w14:paraId="384448D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R53. Ausência de evidência do impacto social gerado.</w:t>
            </w:r>
          </w:p>
        </w:tc>
        <w:tc>
          <w:tcPr>
            <w:tcW w:w="1875" w:type="dxa"/>
            <w:shd w:val="clear" w:color="auto" w:fill="FFFF00"/>
            <w:vAlign w:val="center"/>
          </w:tcPr>
          <w:p w14:paraId="2EAC316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3 – MÉDIO</w:t>
            </w:r>
          </w:p>
          <w:p w14:paraId="1EF13F6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Dificulta justificar a cobrança do adicional para o Fundo e priorizar ações.</w:t>
            </w:r>
          </w:p>
        </w:tc>
        <w:tc>
          <w:tcPr>
            <w:tcW w:w="945" w:type="dxa"/>
            <w:vAlign w:val="center"/>
          </w:tcPr>
          <w:p w14:paraId="281AF2BE"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2CDF3B11"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18</w:t>
            </w:r>
          </w:p>
        </w:tc>
        <w:tc>
          <w:tcPr>
            <w:tcW w:w="1920" w:type="dxa"/>
            <w:shd w:val="clear" w:color="auto" w:fill="auto"/>
            <w:vAlign w:val="center"/>
          </w:tcPr>
          <w:p w14:paraId="0AE9BF10"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Implantar painel de indicadores com série histórica e metas.</w:t>
            </w:r>
          </w:p>
        </w:tc>
        <w:tc>
          <w:tcPr>
            <w:tcW w:w="1695" w:type="dxa"/>
            <w:shd w:val="clear" w:color="auto" w:fill="auto"/>
            <w:vAlign w:val="center"/>
          </w:tcPr>
          <w:p w14:paraId="4453920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Realizar estudos retrospectivos de impacto.</w:t>
            </w:r>
          </w:p>
        </w:tc>
        <w:tc>
          <w:tcPr>
            <w:tcW w:w="1680" w:type="dxa"/>
            <w:shd w:val="clear" w:color="auto" w:fill="auto"/>
            <w:vAlign w:val="center"/>
          </w:tcPr>
          <w:p w14:paraId="55158F0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Unidade de Avaliação; OGF; CGF; SEPLAG</w:t>
            </w:r>
          </w:p>
        </w:tc>
      </w:tr>
      <w:tr w:rsidR="00DB0181" w:rsidRPr="00A04B57" w14:paraId="6955584A" w14:textId="77777777" w:rsidTr="003926FC">
        <w:trPr>
          <w:trHeight w:val="20"/>
        </w:trPr>
        <w:tc>
          <w:tcPr>
            <w:tcW w:w="990" w:type="dxa"/>
            <w:vMerge/>
            <w:shd w:val="clear" w:color="auto" w:fill="auto"/>
            <w:vAlign w:val="center"/>
          </w:tcPr>
          <w:p w14:paraId="0A5953DA" w14:textId="77777777" w:rsidR="00DB0181" w:rsidRPr="00A04B57" w:rsidRDefault="00DB0181" w:rsidP="003926FC">
            <w:pPr>
              <w:widowControl w:val="0"/>
              <w:pBdr>
                <w:top w:val="nil"/>
                <w:left w:val="nil"/>
                <w:bottom w:val="nil"/>
                <w:right w:val="nil"/>
                <w:between w:val="nil"/>
              </w:pBdr>
              <w:spacing w:after="0"/>
              <w:rPr>
                <w:rFonts w:ascii="Times New Roman" w:hAnsi="Times New Roman" w:cs="Times New Roman"/>
                <w:sz w:val="14"/>
                <w:szCs w:val="14"/>
              </w:rPr>
            </w:pPr>
          </w:p>
        </w:tc>
        <w:tc>
          <w:tcPr>
            <w:tcW w:w="1860" w:type="dxa"/>
            <w:shd w:val="clear" w:color="auto" w:fill="auto"/>
            <w:vAlign w:val="center"/>
          </w:tcPr>
          <w:p w14:paraId="1FF2861F"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P61. Há evidências de impacto positivo em indicadores sociais (pobreza, renda e acesso a serviços)?</w:t>
            </w:r>
          </w:p>
        </w:tc>
        <w:tc>
          <w:tcPr>
            <w:tcW w:w="495" w:type="dxa"/>
            <w:shd w:val="clear" w:color="auto" w:fill="auto"/>
            <w:vAlign w:val="center"/>
          </w:tcPr>
          <w:p w14:paraId="3610286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1680" w:type="dxa"/>
            <w:shd w:val="clear" w:color="auto" w:fill="E36C09"/>
            <w:vAlign w:val="center"/>
          </w:tcPr>
          <w:p w14:paraId="24E9F84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R54. Irrelevância social do Fundo; baixa efetividade.</w:t>
            </w:r>
          </w:p>
        </w:tc>
        <w:tc>
          <w:tcPr>
            <w:tcW w:w="1875" w:type="dxa"/>
            <w:shd w:val="clear" w:color="auto" w:fill="E36C09"/>
            <w:vAlign w:val="center"/>
          </w:tcPr>
          <w:p w14:paraId="3EE6192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4 – ALTO</w:t>
            </w:r>
          </w:p>
          <w:p w14:paraId="1C60B05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Perda de legitimidade e risco de descontinuidade.</w:t>
            </w:r>
          </w:p>
        </w:tc>
        <w:tc>
          <w:tcPr>
            <w:tcW w:w="945" w:type="dxa"/>
            <w:vAlign w:val="center"/>
          </w:tcPr>
          <w:p w14:paraId="445996AD"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3BF656F8"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36</w:t>
            </w:r>
          </w:p>
        </w:tc>
        <w:tc>
          <w:tcPr>
            <w:tcW w:w="1920" w:type="dxa"/>
            <w:shd w:val="clear" w:color="auto" w:fill="auto"/>
            <w:vAlign w:val="center"/>
          </w:tcPr>
          <w:p w14:paraId="7473460D"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Marco lógico; indicadores consistentes; avaliações periódicas.</w:t>
            </w:r>
          </w:p>
        </w:tc>
        <w:tc>
          <w:tcPr>
            <w:tcW w:w="1695" w:type="dxa"/>
            <w:shd w:val="clear" w:color="auto" w:fill="auto"/>
            <w:vAlign w:val="center"/>
          </w:tcPr>
          <w:p w14:paraId="05535863"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Redesenhar políticas; pilotos e escalonamento com base em evidência.</w:t>
            </w:r>
          </w:p>
        </w:tc>
        <w:tc>
          <w:tcPr>
            <w:tcW w:w="1680" w:type="dxa"/>
            <w:shd w:val="clear" w:color="auto" w:fill="auto"/>
            <w:vAlign w:val="center"/>
          </w:tcPr>
          <w:p w14:paraId="69728496"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OGF; CGF; Unidade de Avaliação; Secretarias Finalísticas</w:t>
            </w:r>
          </w:p>
        </w:tc>
      </w:tr>
      <w:tr w:rsidR="00DB0181" w:rsidRPr="00A04B57" w14:paraId="135C7FB0" w14:textId="77777777" w:rsidTr="003926FC">
        <w:trPr>
          <w:trHeight w:val="20"/>
        </w:trPr>
        <w:tc>
          <w:tcPr>
            <w:tcW w:w="990" w:type="dxa"/>
            <w:shd w:val="clear" w:color="auto" w:fill="auto"/>
            <w:vAlign w:val="center"/>
          </w:tcPr>
          <w:p w14:paraId="0A28FB0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Histórico-Evolutiva</w:t>
            </w:r>
          </w:p>
        </w:tc>
        <w:tc>
          <w:tcPr>
            <w:tcW w:w="1860" w:type="dxa"/>
            <w:shd w:val="clear" w:color="auto" w:fill="auto"/>
            <w:vAlign w:val="center"/>
          </w:tcPr>
          <w:p w14:paraId="61323352"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P41. Nenhuma política financiada foi descontinuada por falta de programação </w:t>
            </w:r>
            <w:r w:rsidRPr="00A04B57">
              <w:rPr>
                <w:rFonts w:ascii="Times New Roman" w:hAnsi="Times New Roman" w:cs="Times New Roman"/>
                <w:sz w:val="14"/>
                <w:szCs w:val="14"/>
              </w:rPr>
              <w:lastRenderedPageBreak/>
              <w:t>orçamentária fixada com recursos do Fundo?</w:t>
            </w:r>
          </w:p>
        </w:tc>
        <w:tc>
          <w:tcPr>
            <w:tcW w:w="495" w:type="dxa"/>
            <w:shd w:val="clear" w:color="auto" w:fill="auto"/>
            <w:vAlign w:val="center"/>
          </w:tcPr>
          <w:p w14:paraId="5DE7C873"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lastRenderedPageBreak/>
              <w:t>2</w:t>
            </w:r>
          </w:p>
        </w:tc>
        <w:tc>
          <w:tcPr>
            <w:tcW w:w="1680" w:type="dxa"/>
            <w:shd w:val="clear" w:color="auto" w:fill="C00000"/>
            <w:vAlign w:val="center"/>
          </w:tcPr>
          <w:p w14:paraId="2001C0B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R55. Descontinuidade de serviços essenciais por falhas de programação.</w:t>
            </w:r>
          </w:p>
        </w:tc>
        <w:tc>
          <w:tcPr>
            <w:tcW w:w="1875" w:type="dxa"/>
            <w:shd w:val="clear" w:color="auto" w:fill="C00000"/>
            <w:vAlign w:val="center"/>
          </w:tcPr>
          <w:p w14:paraId="7E4A02C4"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5 – MUITO ALTO</w:t>
            </w:r>
          </w:p>
          <w:p w14:paraId="78590971"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Dano direto a populações vulneráveis.</w:t>
            </w:r>
          </w:p>
        </w:tc>
        <w:tc>
          <w:tcPr>
            <w:tcW w:w="945" w:type="dxa"/>
            <w:vAlign w:val="center"/>
          </w:tcPr>
          <w:p w14:paraId="0ACC3827"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3</w:t>
            </w:r>
          </w:p>
        </w:tc>
        <w:tc>
          <w:tcPr>
            <w:tcW w:w="825" w:type="dxa"/>
            <w:vAlign w:val="center"/>
          </w:tcPr>
          <w:p w14:paraId="5792ECA2" w14:textId="77777777" w:rsidR="00DB0181" w:rsidRPr="00A04B57" w:rsidRDefault="00DB0181" w:rsidP="003926FC">
            <w:pPr>
              <w:spacing w:after="0" w:line="240" w:lineRule="auto"/>
              <w:jc w:val="center"/>
              <w:rPr>
                <w:rFonts w:ascii="Times New Roman" w:hAnsi="Times New Roman" w:cs="Times New Roman"/>
                <w:sz w:val="14"/>
                <w:szCs w:val="14"/>
              </w:rPr>
            </w:pPr>
            <w:r w:rsidRPr="00A04B57">
              <w:rPr>
                <w:rFonts w:ascii="Times New Roman" w:hAnsi="Times New Roman" w:cs="Times New Roman"/>
                <w:sz w:val="14"/>
                <w:szCs w:val="14"/>
              </w:rPr>
              <w:t>45</w:t>
            </w:r>
          </w:p>
        </w:tc>
        <w:tc>
          <w:tcPr>
            <w:tcW w:w="1920" w:type="dxa"/>
            <w:shd w:val="clear" w:color="auto" w:fill="auto"/>
            <w:vAlign w:val="center"/>
          </w:tcPr>
          <w:p w14:paraId="3A8CF31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t xml:space="preserve">Reservar programação mínima para assegurar </w:t>
            </w:r>
            <w:r w:rsidRPr="00A04B57">
              <w:rPr>
                <w:rFonts w:ascii="Times New Roman" w:hAnsi="Times New Roman" w:cs="Times New Roman"/>
                <w:sz w:val="14"/>
                <w:szCs w:val="14"/>
              </w:rPr>
              <w:lastRenderedPageBreak/>
              <w:t>continuidade de serviços prestados.</w:t>
            </w:r>
          </w:p>
        </w:tc>
        <w:tc>
          <w:tcPr>
            <w:tcW w:w="1695" w:type="dxa"/>
            <w:shd w:val="clear" w:color="auto" w:fill="auto"/>
            <w:vAlign w:val="center"/>
          </w:tcPr>
          <w:p w14:paraId="4C56BD4E"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lastRenderedPageBreak/>
              <w:t xml:space="preserve">Plano emergencial de continuidade e </w:t>
            </w:r>
            <w:r w:rsidRPr="00A04B57">
              <w:rPr>
                <w:rFonts w:ascii="Times New Roman" w:hAnsi="Times New Roman" w:cs="Times New Roman"/>
                <w:sz w:val="14"/>
                <w:szCs w:val="14"/>
              </w:rPr>
              <w:lastRenderedPageBreak/>
              <w:t>recomposição orçamentária.</w:t>
            </w:r>
          </w:p>
        </w:tc>
        <w:tc>
          <w:tcPr>
            <w:tcW w:w="1680" w:type="dxa"/>
            <w:shd w:val="clear" w:color="auto" w:fill="auto"/>
            <w:vAlign w:val="center"/>
          </w:tcPr>
          <w:p w14:paraId="36A92E28" w14:textId="77777777" w:rsidR="00DB0181" w:rsidRPr="00A04B57" w:rsidRDefault="00DB0181" w:rsidP="003926FC">
            <w:pPr>
              <w:spacing w:after="0" w:line="240" w:lineRule="auto"/>
              <w:rPr>
                <w:rFonts w:ascii="Times New Roman" w:hAnsi="Times New Roman" w:cs="Times New Roman"/>
                <w:sz w:val="14"/>
                <w:szCs w:val="14"/>
              </w:rPr>
            </w:pPr>
            <w:r w:rsidRPr="00A04B57">
              <w:rPr>
                <w:rFonts w:ascii="Times New Roman" w:hAnsi="Times New Roman" w:cs="Times New Roman"/>
                <w:sz w:val="14"/>
                <w:szCs w:val="14"/>
              </w:rPr>
              <w:lastRenderedPageBreak/>
              <w:t>OGF; CGF; Secretarias Finalísticas</w:t>
            </w:r>
          </w:p>
        </w:tc>
      </w:tr>
    </w:tbl>
    <w:p w14:paraId="5E9B3D88" w14:textId="53C9082B" w:rsidR="00DB0181" w:rsidRDefault="00DB0181"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r w:rsidRPr="00A04B57">
        <w:rPr>
          <w:rFonts w:ascii="Times New Roman" w:eastAsia="Arial" w:hAnsi="Times New Roman" w:cs="Times New Roman"/>
          <w:color w:val="000000"/>
          <w:sz w:val="20"/>
          <w:szCs w:val="20"/>
        </w:rPr>
        <w:lastRenderedPageBreak/>
        <w:t>Fonte: Elaboração própria.</w:t>
      </w:r>
    </w:p>
    <w:p w14:paraId="624B3A94" w14:textId="7B131B40"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27095E23" w14:textId="2D6D302B"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50DDB816" w14:textId="64EC155B"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4FFC3D71" w14:textId="1ACDFBC8"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6B40F86D" w14:textId="36876675"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03726FE6" w14:textId="583B726A"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7BA13E9F" w14:textId="73EC4C19"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4B30627A" w14:textId="1A3EC4DB"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7512B390" w14:textId="697F8961"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5CC647FF" w14:textId="3DC4E1D8"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4518FE00" w14:textId="6AD51A5E"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0C617639" w14:textId="120115BE"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4EABD3DE" w14:textId="30EBCE2E"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14476B8E" w14:textId="477DB521" w:rsidR="001C7E6F" w:rsidRPr="001C7E6F" w:rsidRDefault="001C7E6F" w:rsidP="001C7E6F">
      <w:pPr>
        <w:keepNext/>
        <w:pBdr>
          <w:top w:val="nil"/>
          <w:left w:val="nil"/>
          <w:bottom w:val="nil"/>
          <w:right w:val="nil"/>
          <w:between w:val="nil"/>
        </w:pBdr>
        <w:spacing w:after="0" w:line="360" w:lineRule="auto"/>
        <w:jc w:val="center"/>
        <w:rPr>
          <w:rFonts w:ascii="Arial" w:eastAsia="Arial" w:hAnsi="Arial" w:cs="Arial"/>
          <w:color w:val="000000"/>
          <w:szCs w:val="20"/>
        </w:rPr>
      </w:pPr>
      <w:r w:rsidRPr="001C7E6F">
        <w:rPr>
          <w:rFonts w:ascii="Arial" w:eastAsia="Arial" w:hAnsi="Arial" w:cs="Arial"/>
          <w:color w:val="000000"/>
          <w:szCs w:val="20"/>
        </w:rPr>
        <w:lastRenderedPageBreak/>
        <w:t>ANEXO – MAPA DE CRITICIDADE E AVALIAÇÃO DOS RISCOS DO FECOEP-SP</w:t>
      </w:r>
    </w:p>
    <w:tbl>
      <w:tblPr>
        <w:tblW w:w="139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129"/>
        <w:gridCol w:w="1721"/>
        <w:gridCol w:w="495"/>
        <w:gridCol w:w="1680"/>
        <w:gridCol w:w="1875"/>
        <w:gridCol w:w="945"/>
        <w:gridCol w:w="825"/>
        <w:gridCol w:w="1920"/>
        <w:gridCol w:w="1695"/>
        <w:gridCol w:w="1680"/>
      </w:tblGrid>
      <w:tr w:rsidR="001C7E6F" w14:paraId="1BDB193A" w14:textId="77777777" w:rsidTr="00BD3046">
        <w:trPr>
          <w:trHeight w:val="20"/>
        </w:trPr>
        <w:tc>
          <w:tcPr>
            <w:tcW w:w="1129" w:type="dxa"/>
            <w:shd w:val="clear" w:color="auto" w:fill="auto"/>
            <w:vAlign w:val="center"/>
          </w:tcPr>
          <w:p w14:paraId="12F5E6E1" w14:textId="77777777" w:rsidR="001C7E6F" w:rsidRDefault="001C7E6F" w:rsidP="00BD3046">
            <w:pPr>
              <w:spacing w:after="0" w:line="240" w:lineRule="auto"/>
              <w:jc w:val="center"/>
              <w:rPr>
                <w:b/>
                <w:sz w:val="14"/>
                <w:szCs w:val="14"/>
              </w:rPr>
            </w:pPr>
            <w:r>
              <w:rPr>
                <w:b/>
                <w:sz w:val="14"/>
                <w:szCs w:val="14"/>
              </w:rPr>
              <w:t>Dimensão</w:t>
            </w:r>
          </w:p>
        </w:tc>
        <w:tc>
          <w:tcPr>
            <w:tcW w:w="1721" w:type="dxa"/>
            <w:shd w:val="clear" w:color="auto" w:fill="auto"/>
            <w:vAlign w:val="center"/>
          </w:tcPr>
          <w:p w14:paraId="7EA6F35E" w14:textId="77777777" w:rsidR="001C7E6F" w:rsidRDefault="001C7E6F" w:rsidP="00BD3046">
            <w:pPr>
              <w:spacing w:after="0" w:line="240" w:lineRule="auto"/>
              <w:jc w:val="center"/>
              <w:rPr>
                <w:b/>
                <w:sz w:val="14"/>
                <w:szCs w:val="14"/>
              </w:rPr>
            </w:pPr>
            <w:r>
              <w:rPr>
                <w:b/>
                <w:sz w:val="14"/>
                <w:szCs w:val="14"/>
              </w:rPr>
              <w:t>Pergunta</w:t>
            </w:r>
          </w:p>
        </w:tc>
        <w:tc>
          <w:tcPr>
            <w:tcW w:w="495" w:type="dxa"/>
            <w:shd w:val="clear" w:color="auto" w:fill="auto"/>
            <w:vAlign w:val="center"/>
          </w:tcPr>
          <w:p w14:paraId="65D34EBD" w14:textId="77777777" w:rsidR="001C7E6F" w:rsidRDefault="001C7E6F" w:rsidP="00BD3046">
            <w:pPr>
              <w:spacing w:after="0" w:line="240" w:lineRule="auto"/>
              <w:jc w:val="center"/>
              <w:rPr>
                <w:b/>
                <w:sz w:val="14"/>
                <w:szCs w:val="14"/>
              </w:rPr>
            </w:pPr>
            <w:r>
              <w:rPr>
                <w:b/>
                <w:sz w:val="14"/>
                <w:szCs w:val="14"/>
              </w:rPr>
              <w:t>Peso</w:t>
            </w:r>
          </w:p>
        </w:tc>
        <w:tc>
          <w:tcPr>
            <w:tcW w:w="1680" w:type="dxa"/>
            <w:shd w:val="clear" w:color="auto" w:fill="auto"/>
            <w:vAlign w:val="center"/>
          </w:tcPr>
          <w:p w14:paraId="76809095" w14:textId="77777777" w:rsidR="001C7E6F" w:rsidRDefault="001C7E6F" w:rsidP="00BD3046">
            <w:pPr>
              <w:spacing w:after="0" w:line="240" w:lineRule="auto"/>
              <w:jc w:val="center"/>
              <w:rPr>
                <w:b/>
                <w:sz w:val="14"/>
                <w:szCs w:val="14"/>
              </w:rPr>
            </w:pPr>
            <w:r>
              <w:rPr>
                <w:b/>
                <w:sz w:val="14"/>
                <w:szCs w:val="14"/>
              </w:rPr>
              <w:t>Risco</w:t>
            </w:r>
          </w:p>
        </w:tc>
        <w:tc>
          <w:tcPr>
            <w:tcW w:w="1875" w:type="dxa"/>
            <w:shd w:val="clear" w:color="auto" w:fill="auto"/>
            <w:vAlign w:val="center"/>
          </w:tcPr>
          <w:p w14:paraId="3D37A1DC" w14:textId="77777777" w:rsidR="001C7E6F" w:rsidRDefault="001C7E6F" w:rsidP="00BD3046">
            <w:pPr>
              <w:spacing w:after="0" w:line="240" w:lineRule="auto"/>
              <w:jc w:val="center"/>
              <w:rPr>
                <w:b/>
                <w:sz w:val="14"/>
                <w:szCs w:val="14"/>
              </w:rPr>
            </w:pPr>
            <w:r>
              <w:rPr>
                <w:b/>
                <w:sz w:val="14"/>
                <w:szCs w:val="14"/>
              </w:rPr>
              <w:t>Impacto (1 a 5)</w:t>
            </w:r>
          </w:p>
        </w:tc>
        <w:tc>
          <w:tcPr>
            <w:tcW w:w="945" w:type="dxa"/>
            <w:vAlign w:val="center"/>
          </w:tcPr>
          <w:p w14:paraId="1A4946F9" w14:textId="77777777" w:rsidR="001C7E6F" w:rsidRDefault="001C7E6F" w:rsidP="00BD3046">
            <w:pPr>
              <w:spacing w:after="0" w:line="240" w:lineRule="auto"/>
              <w:jc w:val="center"/>
              <w:rPr>
                <w:b/>
                <w:sz w:val="14"/>
                <w:szCs w:val="14"/>
              </w:rPr>
            </w:pPr>
            <w:r>
              <w:rPr>
                <w:b/>
                <w:sz w:val="14"/>
                <w:szCs w:val="14"/>
              </w:rPr>
              <w:t>Probabilidade (1 a 5)</w:t>
            </w:r>
          </w:p>
        </w:tc>
        <w:tc>
          <w:tcPr>
            <w:tcW w:w="825" w:type="dxa"/>
            <w:vAlign w:val="center"/>
          </w:tcPr>
          <w:p w14:paraId="08346DF7" w14:textId="77777777" w:rsidR="001C7E6F" w:rsidRDefault="001C7E6F" w:rsidP="00BD3046">
            <w:pPr>
              <w:spacing w:after="0" w:line="240" w:lineRule="auto"/>
              <w:jc w:val="center"/>
              <w:rPr>
                <w:b/>
                <w:sz w:val="14"/>
                <w:szCs w:val="14"/>
              </w:rPr>
            </w:pPr>
            <w:r>
              <w:rPr>
                <w:b/>
                <w:sz w:val="14"/>
                <w:szCs w:val="14"/>
              </w:rPr>
              <w:t>Criticidade</w:t>
            </w:r>
          </w:p>
          <w:p w14:paraId="5E6B5659" w14:textId="77777777" w:rsidR="001C7E6F" w:rsidRDefault="001C7E6F" w:rsidP="00BD3046">
            <w:pPr>
              <w:spacing w:after="0" w:line="240" w:lineRule="auto"/>
              <w:jc w:val="center"/>
              <w:rPr>
                <w:b/>
                <w:sz w:val="14"/>
                <w:szCs w:val="14"/>
              </w:rPr>
            </w:pPr>
            <w:r>
              <w:rPr>
                <w:b/>
                <w:sz w:val="14"/>
                <w:szCs w:val="14"/>
              </w:rPr>
              <w:t>(P x I x Prob.)</w:t>
            </w:r>
          </w:p>
        </w:tc>
        <w:tc>
          <w:tcPr>
            <w:tcW w:w="1920" w:type="dxa"/>
            <w:shd w:val="clear" w:color="auto" w:fill="auto"/>
            <w:vAlign w:val="center"/>
          </w:tcPr>
          <w:p w14:paraId="56DC8852" w14:textId="77777777" w:rsidR="001C7E6F" w:rsidRDefault="001C7E6F" w:rsidP="00BD3046">
            <w:pPr>
              <w:spacing w:after="0" w:line="240" w:lineRule="auto"/>
              <w:jc w:val="center"/>
              <w:rPr>
                <w:b/>
                <w:sz w:val="14"/>
                <w:szCs w:val="14"/>
              </w:rPr>
            </w:pPr>
            <w:r>
              <w:rPr>
                <w:b/>
                <w:sz w:val="14"/>
                <w:szCs w:val="14"/>
              </w:rPr>
              <w:t>Ação preventiva</w:t>
            </w:r>
          </w:p>
        </w:tc>
        <w:tc>
          <w:tcPr>
            <w:tcW w:w="1695" w:type="dxa"/>
            <w:shd w:val="clear" w:color="auto" w:fill="auto"/>
            <w:vAlign w:val="center"/>
          </w:tcPr>
          <w:p w14:paraId="65669285" w14:textId="77777777" w:rsidR="001C7E6F" w:rsidRDefault="001C7E6F" w:rsidP="00BD3046">
            <w:pPr>
              <w:spacing w:after="0" w:line="240" w:lineRule="auto"/>
              <w:jc w:val="center"/>
              <w:rPr>
                <w:b/>
                <w:sz w:val="14"/>
                <w:szCs w:val="14"/>
              </w:rPr>
            </w:pPr>
            <w:r>
              <w:rPr>
                <w:b/>
                <w:sz w:val="14"/>
                <w:szCs w:val="14"/>
              </w:rPr>
              <w:t>Ação de contingência</w:t>
            </w:r>
          </w:p>
        </w:tc>
        <w:tc>
          <w:tcPr>
            <w:tcW w:w="1680" w:type="dxa"/>
            <w:shd w:val="clear" w:color="auto" w:fill="auto"/>
            <w:vAlign w:val="center"/>
          </w:tcPr>
          <w:p w14:paraId="2B0FE544" w14:textId="77777777" w:rsidR="001C7E6F" w:rsidRDefault="001C7E6F" w:rsidP="00BD3046">
            <w:pPr>
              <w:spacing w:after="0" w:line="240" w:lineRule="auto"/>
              <w:jc w:val="center"/>
              <w:rPr>
                <w:b/>
                <w:sz w:val="14"/>
                <w:szCs w:val="14"/>
              </w:rPr>
            </w:pPr>
            <w:r>
              <w:rPr>
                <w:b/>
                <w:sz w:val="14"/>
                <w:szCs w:val="14"/>
              </w:rPr>
              <w:t>Responsáveis envolvidos</w:t>
            </w:r>
          </w:p>
        </w:tc>
      </w:tr>
      <w:tr w:rsidR="001C7E6F" w14:paraId="429D0A4C" w14:textId="77777777" w:rsidTr="00BD3046">
        <w:trPr>
          <w:trHeight w:val="20"/>
        </w:trPr>
        <w:tc>
          <w:tcPr>
            <w:tcW w:w="1129" w:type="dxa"/>
            <w:shd w:val="clear" w:color="auto" w:fill="auto"/>
            <w:vAlign w:val="center"/>
          </w:tcPr>
          <w:p w14:paraId="3F639066" w14:textId="77777777" w:rsidR="001C7E6F" w:rsidRDefault="001C7E6F" w:rsidP="00BD3046">
            <w:pPr>
              <w:widowControl w:val="0"/>
              <w:pBdr>
                <w:top w:val="nil"/>
                <w:left w:val="nil"/>
                <w:bottom w:val="nil"/>
                <w:right w:val="nil"/>
                <w:between w:val="nil"/>
              </w:pBdr>
              <w:spacing w:after="0"/>
              <w:rPr>
                <w:sz w:val="14"/>
                <w:szCs w:val="14"/>
              </w:rPr>
            </w:pPr>
            <w:r>
              <w:rPr>
                <w:sz w:val="14"/>
                <w:szCs w:val="14"/>
              </w:rPr>
              <w:t>Jurídico-Estrutural</w:t>
            </w:r>
          </w:p>
        </w:tc>
        <w:tc>
          <w:tcPr>
            <w:tcW w:w="1721" w:type="dxa"/>
            <w:shd w:val="clear" w:color="auto" w:fill="auto"/>
            <w:vAlign w:val="center"/>
          </w:tcPr>
          <w:p w14:paraId="69A77A16" w14:textId="77777777" w:rsidR="001C7E6F" w:rsidRPr="00290A4B" w:rsidRDefault="001C7E6F" w:rsidP="00BD3046">
            <w:pPr>
              <w:spacing w:after="0" w:line="240" w:lineRule="auto"/>
              <w:rPr>
                <w:sz w:val="14"/>
                <w:szCs w:val="14"/>
              </w:rPr>
            </w:pPr>
            <w:r w:rsidRPr="00290A4B">
              <w:rPr>
                <w:sz w:val="14"/>
                <w:szCs w:val="14"/>
              </w:rPr>
              <w:t>P17. Existe previsão obrigatória para elaboração de Plano de Ação (PA) pelo Conselho Gestor do Fundo?</w:t>
            </w:r>
          </w:p>
        </w:tc>
        <w:tc>
          <w:tcPr>
            <w:tcW w:w="495" w:type="dxa"/>
            <w:shd w:val="clear" w:color="auto" w:fill="auto"/>
            <w:vAlign w:val="center"/>
          </w:tcPr>
          <w:p w14:paraId="59038072"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E36C09"/>
            <w:vAlign w:val="center"/>
          </w:tcPr>
          <w:p w14:paraId="7663892D" w14:textId="77777777" w:rsidR="001C7E6F" w:rsidRDefault="001C7E6F" w:rsidP="00BD3046">
            <w:pPr>
              <w:spacing w:after="0" w:line="240" w:lineRule="auto"/>
              <w:rPr>
                <w:sz w:val="14"/>
                <w:szCs w:val="14"/>
              </w:rPr>
            </w:pPr>
            <w:r>
              <w:rPr>
                <w:sz w:val="14"/>
                <w:szCs w:val="14"/>
              </w:rPr>
              <w:t>R10. Execução sem plano.</w:t>
            </w:r>
          </w:p>
        </w:tc>
        <w:tc>
          <w:tcPr>
            <w:tcW w:w="1875" w:type="dxa"/>
            <w:shd w:val="clear" w:color="auto" w:fill="E36C09"/>
            <w:vAlign w:val="center"/>
          </w:tcPr>
          <w:p w14:paraId="63927589" w14:textId="77777777" w:rsidR="001C7E6F" w:rsidRDefault="001C7E6F" w:rsidP="00BD3046">
            <w:pPr>
              <w:spacing w:after="0" w:line="240" w:lineRule="auto"/>
              <w:rPr>
                <w:sz w:val="14"/>
                <w:szCs w:val="14"/>
              </w:rPr>
            </w:pPr>
            <w:r>
              <w:rPr>
                <w:sz w:val="14"/>
                <w:szCs w:val="14"/>
              </w:rPr>
              <w:t>4 – ALTO</w:t>
            </w:r>
          </w:p>
          <w:p w14:paraId="04B40215" w14:textId="77777777" w:rsidR="001C7E6F" w:rsidRDefault="001C7E6F" w:rsidP="00BD3046">
            <w:pPr>
              <w:spacing w:after="0" w:line="240" w:lineRule="auto"/>
              <w:rPr>
                <w:sz w:val="14"/>
                <w:szCs w:val="14"/>
              </w:rPr>
            </w:pPr>
            <w:r>
              <w:rPr>
                <w:sz w:val="14"/>
                <w:szCs w:val="14"/>
              </w:rPr>
              <w:t xml:space="preserve">Fragiliza governança e </w:t>
            </w:r>
            <w:r>
              <w:rPr>
                <w:i/>
                <w:sz w:val="14"/>
                <w:szCs w:val="14"/>
              </w:rPr>
              <w:t>accountability</w:t>
            </w:r>
            <w:r>
              <w:rPr>
                <w:sz w:val="14"/>
                <w:szCs w:val="14"/>
              </w:rPr>
              <w:t>. Possibilidade de desvio de finalidade.</w:t>
            </w:r>
          </w:p>
        </w:tc>
        <w:tc>
          <w:tcPr>
            <w:tcW w:w="945" w:type="dxa"/>
            <w:vAlign w:val="center"/>
          </w:tcPr>
          <w:p w14:paraId="08C09608"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5F485F6F" w14:textId="77777777" w:rsidR="001C7E6F" w:rsidRDefault="001C7E6F" w:rsidP="00BD3046">
            <w:pPr>
              <w:spacing w:after="0" w:line="240" w:lineRule="auto"/>
              <w:jc w:val="center"/>
              <w:rPr>
                <w:sz w:val="14"/>
                <w:szCs w:val="14"/>
              </w:rPr>
            </w:pPr>
            <w:r>
              <w:rPr>
                <w:sz w:val="14"/>
                <w:szCs w:val="14"/>
              </w:rPr>
              <w:t>36</w:t>
            </w:r>
          </w:p>
        </w:tc>
        <w:tc>
          <w:tcPr>
            <w:tcW w:w="1920" w:type="dxa"/>
            <w:shd w:val="clear" w:color="auto" w:fill="auto"/>
            <w:vAlign w:val="center"/>
          </w:tcPr>
          <w:p w14:paraId="76821DCE" w14:textId="77777777" w:rsidR="001C7E6F" w:rsidRDefault="001C7E6F" w:rsidP="00BD3046">
            <w:pPr>
              <w:spacing w:after="0" w:line="240" w:lineRule="auto"/>
              <w:rPr>
                <w:sz w:val="14"/>
                <w:szCs w:val="14"/>
              </w:rPr>
            </w:pPr>
            <w:r>
              <w:rPr>
                <w:sz w:val="14"/>
                <w:szCs w:val="14"/>
              </w:rPr>
              <w:t>Obrigatoriedade legal do PA.</w:t>
            </w:r>
          </w:p>
        </w:tc>
        <w:tc>
          <w:tcPr>
            <w:tcW w:w="1695" w:type="dxa"/>
            <w:shd w:val="clear" w:color="auto" w:fill="auto"/>
            <w:vAlign w:val="center"/>
          </w:tcPr>
          <w:p w14:paraId="78BE6B08" w14:textId="77777777" w:rsidR="001C7E6F" w:rsidRDefault="001C7E6F" w:rsidP="00BD3046">
            <w:pPr>
              <w:spacing w:after="0" w:line="240" w:lineRule="auto"/>
              <w:rPr>
                <w:sz w:val="14"/>
                <w:szCs w:val="14"/>
              </w:rPr>
            </w:pPr>
            <w:r>
              <w:rPr>
                <w:sz w:val="14"/>
                <w:szCs w:val="14"/>
              </w:rPr>
              <w:t>PA emergencial (para um quadrimestre, por exemplo).</w:t>
            </w:r>
          </w:p>
        </w:tc>
        <w:tc>
          <w:tcPr>
            <w:tcW w:w="1680" w:type="dxa"/>
            <w:shd w:val="clear" w:color="auto" w:fill="auto"/>
            <w:vAlign w:val="center"/>
          </w:tcPr>
          <w:p w14:paraId="3C1D1435" w14:textId="77777777" w:rsidR="001C7E6F" w:rsidRDefault="001C7E6F" w:rsidP="00BD3046">
            <w:pPr>
              <w:spacing w:after="0" w:line="240" w:lineRule="auto"/>
              <w:rPr>
                <w:sz w:val="14"/>
                <w:szCs w:val="14"/>
              </w:rPr>
            </w:pPr>
            <w:r>
              <w:rPr>
                <w:sz w:val="14"/>
                <w:szCs w:val="14"/>
              </w:rPr>
              <w:t>CGF.</w:t>
            </w:r>
          </w:p>
        </w:tc>
      </w:tr>
      <w:tr w:rsidR="001C7E6F" w14:paraId="7625954D" w14:textId="77777777" w:rsidTr="00BD3046">
        <w:trPr>
          <w:trHeight w:val="20"/>
        </w:trPr>
        <w:tc>
          <w:tcPr>
            <w:tcW w:w="1129" w:type="dxa"/>
            <w:vMerge w:val="restart"/>
            <w:shd w:val="clear" w:color="auto" w:fill="auto"/>
            <w:vAlign w:val="center"/>
          </w:tcPr>
          <w:p w14:paraId="1DA0E5AB" w14:textId="77777777" w:rsidR="001C7E6F" w:rsidRDefault="001C7E6F" w:rsidP="00BD3046">
            <w:pPr>
              <w:spacing w:after="0" w:line="240" w:lineRule="auto"/>
              <w:rPr>
                <w:sz w:val="14"/>
                <w:szCs w:val="14"/>
              </w:rPr>
            </w:pPr>
            <w:r>
              <w:rPr>
                <w:sz w:val="14"/>
                <w:szCs w:val="14"/>
              </w:rPr>
              <w:t>Financeira e Orçamentária</w:t>
            </w:r>
          </w:p>
        </w:tc>
        <w:tc>
          <w:tcPr>
            <w:tcW w:w="1721" w:type="dxa"/>
            <w:shd w:val="clear" w:color="auto" w:fill="auto"/>
            <w:vAlign w:val="center"/>
          </w:tcPr>
          <w:p w14:paraId="4097A5B7" w14:textId="77777777" w:rsidR="001C7E6F" w:rsidRPr="00290A4B" w:rsidRDefault="001C7E6F" w:rsidP="00BD3046">
            <w:pPr>
              <w:spacing w:after="0" w:line="240" w:lineRule="auto"/>
              <w:rPr>
                <w:sz w:val="14"/>
                <w:szCs w:val="14"/>
              </w:rPr>
            </w:pPr>
            <w:r w:rsidRPr="00290A4B">
              <w:rPr>
                <w:sz w:val="14"/>
                <w:szCs w:val="14"/>
              </w:rPr>
              <w:t>P9. O Fundo apresentou previsão de receitas discriminadas (por natureza) na LOA?</w:t>
            </w:r>
          </w:p>
        </w:tc>
        <w:tc>
          <w:tcPr>
            <w:tcW w:w="495" w:type="dxa"/>
            <w:shd w:val="clear" w:color="auto" w:fill="auto"/>
            <w:vAlign w:val="center"/>
          </w:tcPr>
          <w:p w14:paraId="14BD3A18"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E36C09"/>
            <w:vAlign w:val="center"/>
          </w:tcPr>
          <w:p w14:paraId="3A6A71AD" w14:textId="77777777" w:rsidR="001C7E6F" w:rsidRDefault="001C7E6F" w:rsidP="00BD3046">
            <w:pPr>
              <w:spacing w:after="0" w:line="240" w:lineRule="auto"/>
              <w:rPr>
                <w:sz w:val="14"/>
                <w:szCs w:val="14"/>
              </w:rPr>
            </w:pPr>
            <w:r>
              <w:rPr>
                <w:sz w:val="14"/>
                <w:szCs w:val="14"/>
              </w:rPr>
              <w:t>R14. Omissão na LOA dificulta rastreabilidade da previsão e da compatibilidade alocativa.</w:t>
            </w:r>
          </w:p>
        </w:tc>
        <w:tc>
          <w:tcPr>
            <w:tcW w:w="1875" w:type="dxa"/>
            <w:shd w:val="clear" w:color="auto" w:fill="E36C09"/>
            <w:vAlign w:val="center"/>
          </w:tcPr>
          <w:p w14:paraId="2097D437" w14:textId="77777777" w:rsidR="001C7E6F" w:rsidRDefault="001C7E6F" w:rsidP="00BD3046">
            <w:pPr>
              <w:spacing w:after="0" w:line="240" w:lineRule="auto"/>
              <w:rPr>
                <w:sz w:val="14"/>
                <w:szCs w:val="14"/>
              </w:rPr>
            </w:pPr>
            <w:r>
              <w:rPr>
                <w:sz w:val="14"/>
                <w:szCs w:val="14"/>
              </w:rPr>
              <w:t xml:space="preserve">4 – ALTO </w:t>
            </w:r>
          </w:p>
          <w:p w14:paraId="7BB4F7B3" w14:textId="77777777" w:rsidR="001C7E6F" w:rsidRDefault="001C7E6F" w:rsidP="00BD3046">
            <w:pPr>
              <w:spacing w:after="0" w:line="240" w:lineRule="auto"/>
              <w:rPr>
                <w:sz w:val="14"/>
                <w:szCs w:val="14"/>
              </w:rPr>
            </w:pPr>
            <w:r>
              <w:rPr>
                <w:sz w:val="14"/>
                <w:szCs w:val="14"/>
              </w:rPr>
              <w:t>Fragiliza transparência e controle social.</w:t>
            </w:r>
          </w:p>
        </w:tc>
        <w:tc>
          <w:tcPr>
            <w:tcW w:w="945" w:type="dxa"/>
            <w:vAlign w:val="center"/>
          </w:tcPr>
          <w:p w14:paraId="688F974B"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67AC0F74" w14:textId="77777777" w:rsidR="001C7E6F" w:rsidRDefault="001C7E6F" w:rsidP="00BD3046">
            <w:pPr>
              <w:spacing w:after="0" w:line="240" w:lineRule="auto"/>
              <w:jc w:val="center"/>
              <w:rPr>
                <w:sz w:val="14"/>
                <w:szCs w:val="14"/>
              </w:rPr>
            </w:pPr>
            <w:r>
              <w:rPr>
                <w:sz w:val="14"/>
                <w:szCs w:val="14"/>
              </w:rPr>
              <w:t>24</w:t>
            </w:r>
          </w:p>
        </w:tc>
        <w:tc>
          <w:tcPr>
            <w:tcW w:w="1920" w:type="dxa"/>
            <w:shd w:val="clear" w:color="auto" w:fill="auto"/>
            <w:vAlign w:val="center"/>
          </w:tcPr>
          <w:p w14:paraId="4ED9D4F8" w14:textId="77777777" w:rsidR="001C7E6F" w:rsidRDefault="001C7E6F" w:rsidP="00BD3046">
            <w:pPr>
              <w:spacing w:after="0" w:line="240" w:lineRule="auto"/>
              <w:rPr>
                <w:sz w:val="14"/>
                <w:szCs w:val="14"/>
              </w:rPr>
            </w:pPr>
            <w:r>
              <w:rPr>
                <w:sz w:val="14"/>
                <w:szCs w:val="14"/>
              </w:rPr>
              <w:t>Classificar por natureza/fonte e identificar a fonte específica do Fundo no SIAF.</w:t>
            </w:r>
          </w:p>
        </w:tc>
        <w:tc>
          <w:tcPr>
            <w:tcW w:w="1695" w:type="dxa"/>
            <w:shd w:val="clear" w:color="auto" w:fill="auto"/>
            <w:vAlign w:val="center"/>
          </w:tcPr>
          <w:p w14:paraId="15CC034A" w14:textId="77777777" w:rsidR="001C7E6F" w:rsidRDefault="001C7E6F" w:rsidP="00BD3046">
            <w:pPr>
              <w:spacing w:after="0" w:line="240" w:lineRule="auto"/>
              <w:rPr>
                <w:sz w:val="14"/>
                <w:szCs w:val="14"/>
              </w:rPr>
            </w:pPr>
            <w:r>
              <w:rPr>
                <w:sz w:val="14"/>
                <w:szCs w:val="14"/>
              </w:rPr>
              <w:t>Emitir nota técnica de mapeamento retroativo e ajustes por decreto/CRÉDITO.</w:t>
            </w:r>
          </w:p>
        </w:tc>
        <w:tc>
          <w:tcPr>
            <w:tcW w:w="1680" w:type="dxa"/>
            <w:shd w:val="clear" w:color="auto" w:fill="auto"/>
            <w:vAlign w:val="center"/>
          </w:tcPr>
          <w:p w14:paraId="4EA6F584" w14:textId="77777777" w:rsidR="001C7E6F" w:rsidRDefault="001C7E6F" w:rsidP="00BD3046">
            <w:pPr>
              <w:spacing w:after="0" w:line="240" w:lineRule="auto"/>
              <w:rPr>
                <w:sz w:val="14"/>
                <w:szCs w:val="14"/>
              </w:rPr>
            </w:pPr>
            <w:r>
              <w:rPr>
                <w:sz w:val="14"/>
                <w:szCs w:val="14"/>
              </w:rPr>
              <w:t>SEPLAG; SEFAZ; CI; OGF</w:t>
            </w:r>
          </w:p>
        </w:tc>
      </w:tr>
      <w:tr w:rsidR="001C7E6F" w14:paraId="17669D00" w14:textId="77777777" w:rsidTr="00BD3046">
        <w:trPr>
          <w:trHeight w:val="20"/>
        </w:trPr>
        <w:tc>
          <w:tcPr>
            <w:tcW w:w="1129" w:type="dxa"/>
            <w:vMerge/>
            <w:shd w:val="clear" w:color="auto" w:fill="auto"/>
            <w:vAlign w:val="center"/>
          </w:tcPr>
          <w:p w14:paraId="1ADDAEB3"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4583C917" w14:textId="77777777" w:rsidR="001C7E6F" w:rsidRPr="00290A4B" w:rsidRDefault="001C7E6F" w:rsidP="00BD3046">
            <w:pPr>
              <w:spacing w:after="0" w:line="240" w:lineRule="auto"/>
              <w:rPr>
                <w:sz w:val="14"/>
                <w:szCs w:val="14"/>
              </w:rPr>
            </w:pPr>
            <w:r w:rsidRPr="00290A4B">
              <w:rPr>
                <w:sz w:val="14"/>
                <w:szCs w:val="14"/>
              </w:rPr>
              <w:t>P35. Há metas no PPA ou na LDO que dependem de recursos do Fundo de Combate à Pobreza para serem cumpridas?</w:t>
            </w:r>
          </w:p>
        </w:tc>
        <w:tc>
          <w:tcPr>
            <w:tcW w:w="495" w:type="dxa"/>
            <w:shd w:val="clear" w:color="auto" w:fill="auto"/>
            <w:vAlign w:val="center"/>
          </w:tcPr>
          <w:p w14:paraId="6BC65CCE"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FFFF00"/>
            <w:vAlign w:val="center"/>
          </w:tcPr>
          <w:p w14:paraId="33E348CB" w14:textId="77777777" w:rsidR="001C7E6F" w:rsidRDefault="001C7E6F" w:rsidP="00BD3046">
            <w:pPr>
              <w:spacing w:after="0" w:line="240" w:lineRule="auto"/>
              <w:rPr>
                <w:sz w:val="14"/>
                <w:szCs w:val="14"/>
              </w:rPr>
            </w:pPr>
            <w:r>
              <w:rPr>
                <w:sz w:val="14"/>
                <w:szCs w:val="14"/>
              </w:rPr>
              <w:t>R19. Metas de governo sem lastro financeiro do Fundo.</w:t>
            </w:r>
          </w:p>
        </w:tc>
        <w:tc>
          <w:tcPr>
            <w:tcW w:w="1875" w:type="dxa"/>
            <w:shd w:val="clear" w:color="auto" w:fill="FFFF00"/>
            <w:vAlign w:val="center"/>
          </w:tcPr>
          <w:p w14:paraId="316C5443" w14:textId="77777777" w:rsidR="001C7E6F" w:rsidRDefault="001C7E6F" w:rsidP="00BD3046">
            <w:pPr>
              <w:spacing w:after="0" w:line="240" w:lineRule="auto"/>
              <w:rPr>
                <w:sz w:val="14"/>
                <w:szCs w:val="14"/>
              </w:rPr>
            </w:pPr>
            <w:r>
              <w:rPr>
                <w:sz w:val="14"/>
                <w:szCs w:val="14"/>
              </w:rPr>
              <w:t>3 – MÉDIO</w:t>
            </w:r>
          </w:p>
          <w:p w14:paraId="23E950E1" w14:textId="77777777" w:rsidR="001C7E6F" w:rsidRDefault="001C7E6F" w:rsidP="00BD3046">
            <w:pPr>
              <w:spacing w:after="0" w:line="240" w:lineRule="auto"/>
              <w:rPr>
                <w:sz w:val="14"/>
                <w:szCs w:val="14"/>
              </w:rPr>
            </w:pPr>
            <w:r>
              <w:rPr>
                <w:sz w:val="14"/>
                <w:szCs w:val="14"/>
              </w:rPr>
              <w:t>Inviabiliza políticas estratégicas ou posterga entregas.</w:t>
            </w:r>
          </w:p>
        </w:tc>
        <w:tc>
          <w:tcPr>
            <w:tcW w:w="945" w:type="dxa"/>
            <w:vAlign w:val="center"/>
          </w:tcPr>
          <w:p w14:paraId="48D0869A"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02C8AB00" w14:textId="77777777" w:rsidR="001C7E6F" w:rsidRDefault="001C7E6F" w:rsidP="00BD3046">
            <w:pPr>
              <w:spacing w:after="0" w:line="240" w:lineRule="auto"/>
              <w:jc w:val="center"/>
              <w:rPr>
                <w:sz w:val="14"/>
                <w:szCs w:val="14"/>
              </w:rPr>
            </w:pPr>
            <w:r>
              <w:rPr>
                <w:sz w:val="14"/>
                <w:szCs w:val="14"/>
              </w:rPr>
              <w:t>18</w:t>
            </w:r>
          </w:p>
        </w:tc>
        <w:tc>
          <w:tcPr>
            <w:tcW w:w="1920" w:type="dxa"/>
            <w:shd w:val="clear" w:color="auto" w:fill="auto"/>
            <w:vAlign w:val="center"/>
          </w:tcPr>
          <w:p w14:paraId="6754C570" w14:textId="77777777" w:rsidR="001C7E6F" w:rsidRDefault="001C7E6F" w:rsidP="00BD3046">
            <w:pPr>
              <w:spacing w:after="0" w:line="240" w:lineRule="auto"/>
              <w:rPr>
                <w:sz w:val="14"/>
                <w:szCs w:val="14"/>
              </w:rPr>
            </w:pPr>
            <w:r>
              <w:rPr>
                <w:sz w:val="14"/>
                <w:szCs w:val="14"/>
              </w:rPr>
              <w:t>Vincular metas às fontes; explicitar dependência do Fundo.</w:t>
            </w:r>
          </w:p>
        </w:tc>
        <w:tc>
          <w:tcPr>
            <w:tcW w:w="1695" w:type="dxa"/>
            <w:shd w:val="clear" w:color="auto" w:fill="auto"/>
            <w:vAlign w:val="center"/>
          </w:tcPr>
          <w:p w14:paraId="3A273A7F" w14:textId="77777777" w:rsidR="001C7E6F" w:rsidRDefault="001C7E6F" w:rsidP="00BD3046">
            <w:pPr>
              <w:spacing w:after="0" w:line="240" w:lineRule="auto"/>
              <w:rPr>
                <w:sz w:val="14"/>
                <w:szCs w:val="14"/>
              </w:rPr>
            </w:pPr>
            <w:r>
              <w:rPr>
                <w:sz w:val="14"/>
                <w:szCs w:val="14"/>
              </w:rPr>
              <w:t>Revisar metas e/ou suplementar dotação.</w:t>
            </w:r>
          </w:p>
        </w:tc>
        <w:tc>
          <w:tcPr>
            <w:tcW w:w="1680" w:type="dxa"/>
            <w:shd w:val="clear" w:color="auto" w:fill="auto"/>
            <w:vAlign w:val="center"/>
          </w:tcPr>
          <w:p w14:paraId="0DFBFEB2" w14:textId="77777777" w:rsidR="001C7E6F" w:rsidRDefault="001C7E6F" w:rsidP="00BD3046">
            <w:pPr>
              <w:spacing w:after="0" w:line="240" w:lineRule="auto"/>
              <w:rPr>
                <w:sz w:val="14"/>
                <w:szCs w:val="14"/>
              </w:rPr>
            </w:pPr>
            <w:r>
              <w:rPr>
                <w:sz w:val="14"/>
                <w:szCs w:val="14"/>
              </w:rPr>
              <w:t>SEPLAG; OGF</w:t>
            </w:r>
          </w:p>
        </w:tc>
      </w:tr>
      <w:tr w:rsidR="001C7E6F" w14:paraId="0B8EF52C" w14:textId="77777777" w:rsidTr="00BD3046">
        <w:trPr>
          <w:trHeight w:val="20"/>
        </w:trPr>
        <w:tc>
          <w:tcPr>
            <w:tcW w:w="1129" w:type="dxa"/>
            <w:vMerge/>
            <w:shd w:val="clear" w:color="auto" w:fill="auto"/>
            <w:vAlign w:val="center"/>
          </w:tcPr>
          <w:p w14:paraId="56A1D487"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19631C7B" w14:textId="77777777" w:rsidR="001C7E6F" w:rsidRPr="00290A4B" w:rsidRDefault="001C7E6F" w:rsidP="00BD3046">
            <w:pPr>
              <w:spacing w:after="0" w:line="240" w:lineRule="auto"/>
              <w:rPr>
                <w:sz w:val="14"/>
                <w:szCs w:val="14"/>
              </w:rPr>
            </w:pPr>
            <w:r w:rsidRPr="00290A4B">
              <w:rPr>
                <w:sz w:val="14"/>
                <w:szCs w:val="14"/>
              </w:rPr>
              <w:t>P45. O Fundo executou (saldo liquidado) ≥ 85% do valor fixado para as despesas no último ano?</w:t>
            </w:r>
          </w:p>
        </w:tc>
        <w:tc>
          <w:tcPr>
            <w:tcW w:w="495" w:type="dxa"/>
            <w:shd w:val="clear" w:color="auto" w:fill="auto"/>
            <w:vAlign w:val="center"/>
          </w:tcPr>
          <w:p w14:paraId="0A486192"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C00000"/>
            <w:vAlign w:val="center"/>
          </w:tcPr>
          <w:p w14:paraId="15D3CB13" w14:textId="77777777" w:rsidR="001C7E6F" w:rsidRDefault="001C7E6F" w:rsidP="00BD3046">
            <w:pPr>
              <w:spacing w:after="0" w:line="240" w:lineRule="auto"/>
              <w:rPr>
                <w:sz w:val="14"/>
                <w:szCs w:val="14"/>
              </w:rPr>
            </w:pPr>
            <w:r>
              <w:rPr>
                <w:sz w:val="14"/>
                <w:szCs w:val="14"/>
              </w:rPr>
              <w:t>R21. Subexecução orçamentária e física; saldo financeiro inativo.</w:t>
            </w:r>
          </w:p>
        </w:tc>
        <w:tc>
          <w:tcPr>
            <w:tcW w:w="1875" w:type="dxa"/>
            <w:shd w:val="clear" w:color="auto" w:fill="C00000"/>
            <w:vAlign w:val="center"/>
          </w:tcPr>
          <w:p w14:paraId="792251BE" w14:textId="77777777" w:rsidR="001C7E6F" w:rsidRDefault="001C7E6F" w:rsidP="00BD3046">
            <w:pPr>
              <w:spacing w:after="0" w:line="240" w:lineRule="auto"/>
              <w:rPr>
                <w:sz w:val="14"/>
                <w:szCs w:val="14"/>
              </w:rPr>
            </w:pPr>
            <w:r>
              <w:rPr>
                <w:sz w:val="14"/>
                <w:szCs w:val="14"/>
              </w:rPr>
              <w:t xml:space="preserve">5 – MUITO ALTO </w:t>
            </w:r>
          </w:p>
          <w:p w14:paraId="34A6EEEB" w14:textId="77777777" w:rsidR="001C7E6F" w:rsidRDefault="001C7E6F" w:rsidP="00BD3046">
            <w:pPr>
              <w:spacing w:after="0" w:line="240" w:lineRule="auto"/>
              <w:rPr>
                <w:sz w:val="14"/>
                <w:szCs w:val="14"/>
              </w:rPr>
            </w:pPr>
            <w:r>
              <w:rPr>
                <w:sz w:val="14"/>
                <w:szCs w:val="14"/>
              </w:rPr>
              <w:t>Baixa entrega social e perda de legitimidade.</w:t>
            </w:r>
          </w:p>
        </w:tc>
        <w:tc>
          <w:tcPr>
            <w:tcW w:w="945" w:type="dxa"/>
            <w:vAlign w:val="center"/>
          </w:tcPr>
          <w:p w14:paraId="032881D2"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4408FD9A" w14:textId="77777777" w:rsidR="001C7E6F" w:rsidRDefault="001C7E6F" w:rsidP="00BD3046">
            <w:pPr>
              <w:spacing w:after="0" w:line="240" w:lineRule="auto"/>
              <w:jc w:val="center"/>
              <w:rPr>
                <w:sz w:val="14"/>
                <w:szCs w:val="14"/>
              </w:rPr>
            </w:pPr>
            <w:r>
              <w:rPr>
                <w:sz w:val="14"/>
                <w:szCs w:val="14"/>
              </w:rPr>
              <w:t>45</w:t>
            </w:r>
          </w:p>
        </w:tc>
        <w:tc>
          <w:tcPr>
            <w:tcW w:w="1920" w:type="dxa"/>
            <w:shd w:val="clear" w:color="auto" w:fill="auto"/>
            <w:vAlign w:val="center"/>
          </w:tcPr>
          <w:p w14:paraId="27F5CC26" w14:textId="77777777" w:rsidR="001C7E6F" w:rsidRDefault="001C7E6F" w:rsidP="00BD3046">
            <w:pPr>
              <w:spacing w:after="0" w:line="240" w:lineRule="auto"/>
              <w:rPr>
                <w:sz w:val="14"/>
                <w:szCs w:val="14"/>
              </w:rPr>
            </w:pPr>
            <w:r>
              <w:rPr>
                <w:sz w:val="14"/>
                <w:szCs w:val="14"/>
              </w:rPr>
              <w:t>Carteira de projetos pronta e cronograma físico-financeiro.</w:t>
            </w:r>
          </w:p>
        </w:tc>
        <w:tc>
          <w:tcPr>
            <w:tcW w:w="1695" w:type="dxa"/>
            <w:shd w:val="clear" w:color="auto" w:fill="auto"/>
            <w:vAlign w:val="center"/>
          </w:tcPr>
          <w:p w14:paraId="1BA59810" w14:textId="77777777" w:rsidR="001C7E6F" w:rsidRDefault="001C7E6F" w:rsidP="00BD3046">
            <w:pPr>
              <w:spacing w:after="0" w:line="240" w:lineRule="auto"/>
              <w:rPr>
                <w:sz w:val="14"/>
                <w:szCs w:val="14"/>
              </w:rPr>
            </w:pPr>
            <w:r>
              <w:rPr>
                <w:sz w:val="14"/>
                <w:szCs w:val="14"/>
              </w:rPr>
              <w:t>Reprogramação com foco em ações de alto impacto.</w:t>
            </w:r>
          </w:p>
        </w:tc>
        <w:tc>
          <w:tcPr>
            <w:tcW w:w="1680" w:type="dxa"/>
            <w:shd w:val="clear" w:color="auto" w:fill="auto"/>
            <w:vAlign w:val="center"/>
          </w:tcPr>
          <w:p w14:paraId="3AC75183" w14:textId="77777777" w:rsidR="001C7E6F" w:rsidRDefault="001C7E6F" w:rsidP="00BD3046">
            <w:pPr>
              <w:spacing w:after="0" w:line="240" w:lineRule="auto"/>
              <w:rPr>
                <w:sz w:val="14"/>
                <w:szCs w:val="14"/>
              </w:rPr>
            </w:pPr>
            <w:r>
              <w:rPr>
                <w:sz w:val="14"/>
                <w:szCs w:val="14"/>
              </w:rPr>
              <w:t>CGF; OGF; Unidades Executoras; SEPLAG</w:t>
            </w:r>
          </w:p>
        </w:tc>
      </w:tr>
      <w:tr w:rsidR="001C7E6F" w14:paraId="2A57CC43" w14:textId="77777777" w:rsidTr="00BD3046">
        <w:trPr>
          <w:trHeight w:val="20"/>
        </w:trPr>
        <w:tc>
          <w:tcPr>
            <w:tcW w:w="1129" w:type="dxa"/>
            <w:vMerge/>
            <w:shd w:val="clear" w:color="auto" w:fill="auto"/>
            <w:vAlign w:val="center"/>
          </w:tcPr>
          <w:p w14:paraId="06603FA7"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357692A8" w14:textId="77777777" w:rsidR="001C7E6F" w:rsidRPr="00290A4B" w:rsidRDefault="001C7E6F" w:rsidP="00BD3046">
            <w:pPr>
              <w:spacing w:after="0" w:line="240" w:lineRule="auto"/>
              <w:rPr>
                <w:sz w:val="14"/>
                <w:szCs w:val="14"/>
              </w:rPr>
            </w:pPr>
            <w:r w:rsidRPr="00290A4B">
              <w:rPr>
                <w:sz w:val="14"/>
                <w:szCs w:val="14"/>
              </w:rPr>
              <w:t>P46. O saldo financeiro não ultrapassou 25% da arrecadação anual, salvo mediante reserva legal prevista?</w:t>
            </w:r>
          </w:p>
        </w:tc>
        <w:tc>
          <w:tcPr>
            <w:tcW w:w="495" w:type="dxa"/>
            <w:shd w:val="clear" w:color="auto" w:fill="auto"/>
            <w:vAlign w:val="center"/>
          </w:tcPr>
          <w:p w14:paraId="20E4F839"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E36C09"/>
            <w:vAlign w:val="center"/>
          </w:tcPr>
          <w:p w14:paraId="0B13573C" w14:textId="77777777" w:rsidR="001C7E6F" w:rsidRDefault="001C7E6F" w:rsidP="00BD3046">
            <w:pPr>
              <w:spacing w:after="0" w:line="240" w:lineRule="auto"/>
              <w:rPr>
                <w:sz w:val="14"/>
                <w:szCs w:val="14"/>
              </w:rPr>
            </w:pPr>
            <w:r>
              <w:rPr>
                <w:sz w:val="14"/>
                <w:szCs w:val="14"/>
              </w:rPr>
              <w:t>R22. Acúmulo de recursos inativos e ineficiência fiscal.</w:t>
            </w:r>
          </w:p>
        </w:tc>
        <w:tc>
          <w:tcPr>
            <w:tcW w:w="1875" w:type="dxa"/>
            <w:shd w:val="clear" w:color="auto" w:fill="E36C09"/>
            <w:vAlign w:val="center"/>
          </w:tcPr>
          <w:p w14:paraId="000658F1" w14:textId="77777777" w:rsidR="001C7E6F" w:rsidRDefault="001C7E6F" w:rsidP="00BD3046">
            <w:pPr>
              <w:spacing w:after="0" w:line="240" w:lineRule="auto"/>
              <w:rPr>
                <w:sz w:val="14"/>
                <w:szCs w:val="14"/>
              </w:rPr>
            </w:pPr>
            <w:r>
              <w:rPr>
                <w:sz w:val="14"/>
                <w:szCs w:val="14"/>
              </w:rPr>
              <w:t>4 – ALTO</w:t>
            </w:r>
          </w:p>
          <w:p w14:paraId="0E8EB540" w14:textId="77777777" w:rsidR="001C7E6F" w:rsidRDefault="001C7E6F" w:rsidP="00BD3046">
            <w:pPr>
              <w:spacing w:after="0" w:line="240" w:lineRule="auto"/>
              <w:rPr>
                <w:sz w:val="14"/>
                <w:szCs w:val="14"/>
              </w:rPr>
            </w:pPr>
            <w:r>
              <w:rPr>
                <w:sz w:val="14"/>
                <w:szCs w:val="14"/>
              </w:rPr>
              <w:t>Risco de desvinculação/uso indevido no médio ou longo prazo.</w:t>
            </w:r>
          </w:p>
        </w:tc>
        <w:tc>
          <w:tcPr>
            <w:tcW w:w="945" w:type="dxa"/>
            <w:vAlign w:val="center"/>
          </w:tcPr>
          <w:p w14:paraId="13CC055C"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14F668E5" w14:textId="77777777" w:rsidR="001C7E6F" w:rsidRDefault="001C7E6F" w:rsidP="00BD3046">
            <w:pPr>
              <w:spacing w:after="0" w:line="240" w:lineRule="auto"/>
              <w:jc w:val="center"/>
              <w:rPr>
                <w:sz w:val="14"/>
                <w:szCs w:val="14"/>
              </w:rPr>
            </w:pPr>
            <w:r>
              <w:rPr>
                <w:sz w:val="14"/>
                <w:szCs w:val="14"/>
              </w:rPr>
              <w:t>24</w:t>
            </w:r>
          </w:p>
        </w:tc>
        <w:tc>
          <w:tcPr>
            <w:tcW w:w="1920" w:type="dxa"/>
            <w:shd w:val="clear" w:color="auto" w:fill="auto"/>
            <w:vAlign w:val="center"/>
          </w:tcPr>
          <w:p w14:paraId="4C22CBA3" w14:textId="77777777" w:rsidR="001C7E6F" w:rsidRDefault="001C7E6F" w:rsidP="00BD3046">
            <w:pPr>
              <w:spacing w:after="0" w:line="240" w:lineRule="auto"/>
              <w:rPr>
                <w:sz w:val="14"/>
                <w:szCs w:val="14"/>
              </w:rPr>
            </w:pPr>
            <w:r>
              <w:rPr>
                <w:sz w:val="14"/>
                <w:szCs w:val="14"/>
              </w:rPr>
              <w:t>Alinhar cronogramas de execução à arrecadação.</w:t>
            </w:r>
          </w:p>
        </w:tc>
        <w:tc>
          <w:tcPr>
            <w:tcW w:w="1695" w:type="dxa"/>
            <w:shd w:val="clear" w:color="auto" w:fill="auto"/>
            <w:vAlign w:val="center"/>
          </w:tcPr>
          <w:p w14:paraId="6DEB0792" w14:textId="77777777" w:rsidR="001C7E6F" w:rsidRDefault="001C7E6F" w:rsidP="00BD3046">
            <w:pPr>
              <w:spacing w:after="0" w:line="240" w:lineRule="auto"/>
              <w:rPr>
                <w:sz w:val="14"/>
                <w:szCs w:val="14"/>
              </w:rPr>
            </w:pPr>
            <w:r>
              <w:rPr>
                <w:sz w:val="14"/>
                <w:szCs w:val="14"/>
              </w:rPr>
              <w:t>Plano de Aplicação Financeira com foco finalístico.</w:t>
            </w:r>
          </w:p>
        </w:tc>
        <w:tc>
          <w:tcPr>
            <w:tcW w:w="1680" w:type="dxa"/>
            <w:shd w:val="clear" w:color="auto" w:fill="auto"/>
            <w:vAlign w:val="center"/>
          </w:tcPr>
          <w:p w14:paraId="6C8E4E1E" w14:textId="77777777" w:rsidR="001C7E6F" w:rsidRDefault="001C7E6F" w:rsidP="00BD3046">
            <w:pPr>
              <w:spacing w:after="0" w:line="240" w:lineRule="auto"/>
              <w:rPr>
                <w:sz w:val="14"/>
                <w:szCs w:val="14"/>
              </w:rPr>
            </w:pPr>
            <w:r>
              <w:rPr>
                <w:sz w:val="14"/>
                <w:szCs w:val="14"/>
              </w:rPr>
              <w:t>OGF; SEPLAG</w:t>
            </w:r>
          </w:p>
        </w:tc>
      </w:tr>
      <w:tr w:rsidR="001C7E6F" w14:paraId="3AF47B31" w14:textId="77777777" w:rsidTr="00BD3046">
        <w:trPr>
          <w:trHeight w:val="20"/>
        </w:trPr>
        <w:tc>
          <w:tcPr>
            <w:tcW w:w="1129" w:type="dxa"/>
            <w:vMerge/>
            <w:shd w:val="clear" w:color="auto" w:fill="auto"/>
            <w:vAlign w:val="center"/>
          </w:tcPr>
          <w:p w14:paraId="0543E775"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19132110" w14:textId="77777777" w:rsidR="001C7E6F" w:rsidRPr="00290A4B" w:rsidRDefault="001C7E6F" w:rsidP="00BD3046">
            <w:pPr>
              <w:spacing w:after="0" w:line="240" w:lineRule="auto"/>
              <w:rPr>
                <w:sz w:val="14"/>
                <w:szCs w:val="14"/>
              </w:rPr>
            </w:pPr>
            <w:r w:rsidRPr="00290A4B">
              <w:rPr>
                <w:sz w:val="14"/>
                <w:szCs w:val="14"/>
              </w:rPr>
              <w:t>P47. A execução financeira (despesas pagas) foi proporcional à arrecadação no último ano?</w:t>
            </w:r>
          </w:p>
        </w:tc>
        <w:tc>
          <w:tcPr>
            <w:tcW w:w="495" w:type="dxa"/>
            <w:shd w:val="clear" w:color="auto" w:fill="auto"/>
            <w:vAlign w:val="center"/>
          </w:tcPr>
          <w:p w14:paraId="0DE82713"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C00000"/>
            <w:vAlign w:val="center"/>
          </w:tcPr>
          <w:p w14:paraId="1E2FC997" w14:textId="77777777" w:rsidR="001C7E6F" w:rsidRDefault="001C7E6F" w:rsidP="00BD3046">
            <w:pPr>
              <w:spacing w:after="0" w:line="240" w:lineRule="auto"/>
              <w:rPr>
                <w:sz w:val="14"/>
                <w:szCs w:val="14"/>
              </w:rPr>
            </w:pPr>
            <w:r>
              <w:rPr>
                <w:sz w:val="14"/>
                <w:szCs w:val="14"/>
              </w:rPr>
              <w:t>R23. Descompasso arrecadação × gasto; formação de saldo financeiro inativo elevado.</w:t>
            </w:r>
          </w:p>
        </w:tc>
        <w:tc>
          <w:tcPr>
            <w:tcW w:w="1875" w:type="dxa"/>
            <w:shd w:val="clear" w:color="auto" w:fill="C00000"/>
            <w:vAlign w:val="center"/>
          </w:tcPr>
          <w:p w14:paraId="2A55567C" w14:textId="77777777" w:rsidR="001C7E6F" w:rsidRDefault="001C7E6F" w:rsidP="00BD3046">
            <w:pPr>
              <w:spacing w:after="0" w:line="240" w:lineRule="auto"/>
              <w:rPr>
                <w:sz w:val="14"/>
                <w:szCs w:val="14"/>
              </w:rPr>
            </w:pPr>
            <w:r>
              <w:rPr>
                <w:sz w:val="14"/>
                <w:szCs w:val="14"/>
              </w:rPr>
              <w:t>5 – MUITO ALTO</w:t>
            </w:r>
          </w:p>
          <w:p w14:paraId="26E3A878" w14:textId="77777777" w:rsidR="001C7E6F" w:rsidRDefault="001C7E6F" w:rsidP="00BD3046">
            <w:pPr>
              <w:spacing w:after="0" w:line="240" w:lineRule="auto"/>
              <w:rPr>
                <w:sz w:val="14"/>
                <w:szCs w:val="14"/>
              </w:rPr>
            </w:pPr>
            <w:r>
              <w:rPr>
                <w:sz w:val="14"/>
                <w:szCs w:val="14"/>
              </w:rPr>
              <w:t>Fragilidade no planejamento financeiro e risco de ineficiência, além do risco de desvinculação/uso indevido no médio ou longo prazo.</w:t>
            </w:r>
          </w:p>
        </w:tc>
        <w:tc>
          <w:tcPr>
            <w:tcW w:w="945" w:type="dxa"/>
            <w:vAlign w:val="center"/>
          </w:tcPr>
          <w:p w14:paraId="06C2B9C5"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775D7A8D" w14:textId="77777777" w:rsidR="001C7E6F" w:rsidRDefault="001C7E6F" w:rsidP="00BD3046">
            <w:pPr>
              <w:spacing w:after="0" w:line="240" w:lineRule="auto"/>
              <w:jc w:val="center"/>
              <w:rPr>
                <w:sz w:val="14"/>
                <w:szCs w:val="14"/>
              </w:rPr>
            </w:pPr>
            <w:r>
              <w:rPr>
                <w:sz w:val="14"/>
                <w:szCs w:val="14"/>
              </w:rPr>
              <w:t>30</w:t>
            </w:r>
          </w:p>
        </w:tc>
        <w:tc>
          <w:tcPr>
            <w:tcW w:w="1920" w:type="dxa"/>
            <w:shd w:val="clear" w:color="auto" w:fill="auto"/>
            <w:vAlign w:val="center"/>
          </w:tcPr>
          <w:p w14:paraId="58337812" w14:textId="77777777" w:rsidR="001C7E6F" w:rsidRDefault="001C7E6F" w:rsidP="00BD3046">
            <w:pPr>
              <w:spacing w:after="0" w:line="240" w:lineRule="auto"/>
              <w:rPr>
                <w:sz w:val="14"/>
                <w:szCs w:val="14"/>
              </w:rPr>
            </w:pPr>
            <w:r>
              <w:rPr>
                <w:sz w:val="14"/>
                <w:szCs w:val="14"/>
              </w:rPr>
              <w:t>Planejamento quadrimestral de pagamentos; cronograma de desembolso mensal.</w:t>
            </w:r>
          </w:p>
        </w:tc>
        <w:tc>
          <w:tcPr>
            <w:tcW w:w="1695" w:type="dxa"/>
            <w:shd w:val="clear" w:color="auto" w:fill="auto"/>
            <w:vAlign w:val="center"/>
          </w:tcPr>
          <w:p w14:paraId="49922653" w14:textId="77777777" w:rsidR="001C7E6F" w:rsidRDefault="001C7E6F" w:rsidP="00BD3046">
            <w:pPr>
              <w:spacing w:after="0" w:line="240" w:lineRule="auto"/>
              <w:rPr>
                <w:sz w:val="14"/>
                <w:szCs w:val="14"/>
              </w:rPr>
            </w:pPr>
            <w:r>
              <w:rPr>
                <w:sz w:val="14"/>
                <w:szCs w:val="14"/>
              </w:rPr>
              <w:t>Ajustar cronograma e reprogramar priorizando entregas.</w:t>
            </w:r>
          </w:p>
        </w:tc>
        <w:tc>
          <w:tcPr>
            <w:tcW w:w="1680" w:type="dxa"/>
            <w:shd w:val="clear" w:color="auto" w:fill="auto"/>
            <w:vAlign w:val="center"/>
          </w:tcPr>
          <w:p w14:paraId="06D52B8D" w14:textId="77777777" w:rsidR="001C7E6F" w:rsidRDefault="001C7E6F" w:rsidP="00BD3046">
            <w:pPr>
              <w:spacing w:after="0" w:line="240" w:lineRule="auto"/>
              <w:rPr>
                <w:sz w:val="14"/>
                <w:szCs w:val="14"/>
              </w:rPr>
            </w:pPr>
            <w:r>
              <w:rPr>
                <w:sz w:val="14"/>
                <w:szCs w:val="14"/>
              </w:rPr>
              <w:t>CGF; OGF; SEFAZ</w:t>
            </w:r>
          </w:p>
        </w:tc>
      </w:tr>
      <w:tr w:rsidR="001C7E6F" w14:paraId="10E17FFD" w14:textId="77777777" w:rsidTr="00BD3046">
        <w:trPr>
          <w:trHeight w:val="20"/>
        </w:trPr>
        <w:tc>
          <w:tcPr>
            <w:tcW w:w="1129" w:type="dxa"/>
            <w:vMerge w:val="restart"/>
            <w:shd w:val="clear" w:color="auto" w:fill="auto"/>
            <w:vAlign w:val="center"/>
          </w:tcPr>
          <w:p w14:paraId="5026DEC4" w14:textId="77777777" w:rsidR="001C7E6F" w:rsidRDefault="001C7E6F" w:rsidP="00BD3046">
            <w:pPr>
              <w:widowControl w:val="0"/>
              <w:pBdr>
                <w:top w:val="nil"/>
                <w:left w:val="nil"/>
                <w:bottom w:val="nil"/>
                <w:right w:val="nil"/>
                <w:between w:val="nil"/>
              </w:pBdr>
              <w:spacing w:after="0"/>
              <w:rPr>
                <w:sz w:val="14"/>
                <w:szCs w:val="14"/>
              </w:rPr>
            </w:pPr>
            <w:r>
              <w:rPr>
                <w:sz w:val="14"/>
                <w:szCs w:val="14"/>
              </w:rPr>
              <w:t>Político-Institucional</w:t>
            </w:r>
          </w:p>
        </w:tc>
        <w:tc>
          <w:tcPr>
            <w:tcW w:w="1721" w:type="dxa"/>
            <w:shd w:val="clear" w:color="auto" w:fill="auto"/>
            <w:vAlign w:val="center"/>
          </w:tcPr>
          <w:p w14:paraId="7E3CE87B" w14:textId="77777777" w:rsidR="001C7E6F" w:rsidRPr="00290A4B" w:rsidRDefault="001C7E6F" w:rsidP="00BD3046">
            <w:pPr>
              <w:spacing w:after="0" w:line="240" w:lineRule="auto"/>
              <w:rPr>
                <w:sz w:val="14"/>
                <w:szCs w:val="14"/>
              </w:rPr>
            </w:pPr>
            <w:r w:rsidRPr="00290A4B">
              <w:rPr>
                <w:sz w:val="14"/>
                <w:szCs w:val="14"/>
              </w:rPr>
              <w:t>P29. O Conselho não foi desativado ou perdeu autonomia nos últimos 5 anos?</w:t>
            </w:r>
          </w:p>
        </w:tc>
        <w:tc>
          <w:tcPr>
            <w:tcW w:w="495" w:type="dxa"/>
            <w:shd w:val="clear" w:color="auto" w:fill="auto"/>
            <w:vAlign w:val="center"/>
          </w:tcPr>
          <w:p w14:paraId="01AFAA61"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E36C09"/>
            <w:vAlign w:val="center"/>
          </w:tcPr>
          <w:p w14:paraId="4B27E9BC" w14:textId="77777777" w:rsidR="001C7E6F" w:rsidRDefault="001C7E6F" w:rsidP="00BD3046">
            <w:pPr>
              <w:spacing w:after="0" w:line="240" w:lineRule="auto"/>
              <w:rPr>
                <w:sz w:val="14"/>
                <w:szCs w:val="14"/>
              </w:rPr>
            </w:pPr>
            <w:r>
              <w:rPr>
                <w:sz w:val="14"/>
                <w:szCs w:val="14"/>
              </w:rPr>
              <w:t>R31. Descontinuidade de governança.</w:t>
            </w:r>
          </w:p>
        </w:tc>
        <w:tc>
          <w:tcPr>
            <w:tcW w:w="1875" w:type="dxa"/>
            <w:shd w:val="clear" w:color="auto" w:fill="E36C09"/>
            <w:vAlign w:val="center"/>
          </w:tcPr>
          <w:p w14:paraId="553EA85D" w14:textId="77777777" w:rsidR="001C7E6F" w:rsidRDefault="001C7E6F" w:rsidP="00BD3046">
            <w:pPr>
              <w:spacing w:after="0" w:line="240" w:lineRule="auto"/>
              <w:rPr>
                <w:sz w:val="14"/>
                <w:szCs w:val="14"/>
              </w:rPr>
            </w:pPr>
            <w:r>
              <w:rPr>
                <w:sz w:val="14"/>
                <w:szCs w:val="14"/>
              </w:rPr>
              <w:t>4 – ALTO</w:t>
            </w:r>
          </w:p>
          <w:p w14:paraId="5FCDEB2C" w14:textId="77777777" w:rsidR="001C7E6F" w:rsidRDefault="001C7E6F" w:rsidP="00BD3046">
            <w:pPr>
              <w:spacing w:after="0" w:line="240" w:lineRule="auto"/>
              <w:rPr>
                <w:sz w:val="14"/>
                <w:szCs w:val="14"/>
              </w:rPr>
            </w:pPr>
            <w:r>
              <w:rPr>
                <w:sz w:val="14"/>
                <w:szCs w:val="14"/>
              </w:rPr>
              <w:t>Decisões políticas unilaterais, fragilizando a participação social.</w:t>
            </w:r>
          </w:p>
        </w:tc>
        <w:tc>
          <w:tcPr>
            <w:tcW w:w="945" w:type="dxa"/>
            <w:vAlign w:val="center"/>
          </w:tcPr>
          <w:p w14:paraId="79C3ECB2"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6C5C5036" w14:textId="77777777" w:rsidR="001C7E6F" w:rsidRDefault="001C7E6F" w:rsidP="00BD3046">
            <w:pPr>
              <w:spacing w:after="0" w:line="240" w:lineRule="auto"/>
              <w:jc w:val="center"/>
              <w:rPr>
                <w:sz w:val="14"/>
                <w:szCs w:val="14"/>
              </w:rPr>
            </w:pPr>
            <w:r>
              <w:rPr>
                <w:sz w:val="14"/>
                <w:szCs w:val="14"/>
              </w:rPr>
              <w:t>36</w:t>
            </w:r>
          </w:p>
        </w:tc>
        <w:tc>
          <w:tcPr>
            <w:tcW w:w="1920" w:type="dxa"/>
            <w:shd w:val="clear" w:color="auto" w:fill="auto"/>
            <w:vAlign w:val="center"/>
          </w:tcPr>
          <w:p w14:paraId="2C7E2905" w14:textId="77777777" w:rsidR="001C7E6F" w:rsidRDefault="001C7E6F" w:rsidP="00BD3046">
            <w:pPr>
              <w:spacing w:after="0" w:line="240" w:lineRule="auto"/>
              <w:rPr>
                <w:sz w:val="14"/>
                <w:szCs w:val="14"/>
              </w:rPr>
            </w:pPr>
            <w:r>
              <w:rPr>
                <w:sz w:val="14"/>
                <w:szCs w:val="14"/>
              </w:rPr>
              <w:t>Calendário fixo de mandatos. Recomposição automática para os ocupantes do poder público.</w:t>
            </w:r>
          </w:p>
        </w:tc>
        <w:tc>
          <w:tcPr>
            <w:tcW w:w="1695" w:type="dxa"/>
            <w:shd w:val="clear" w:color="auto" w:fill="auto"/>
            <w:vAlign w:val="center"/>
          </w:tcPr>
          <w:p w14:paraId="7EF872F7" w14:textId="77777777" w:rsidR="001C7E6F" w:rsidRDefault="001C7E6F" w:rsidP="00BD3046">
            <w:pPr>
              <w:spacing w:after="0" w:line="240" w:lineRule="auto"/>
              <w:rPr>
                <w:sz w:val="14"/>
                <w:szCs w:val="14"/>
              </w:rPr>
            </w:pPr>
            <w:r>
              <w:rPr>
                <w:sz w:val="14"/>
                <w:szCs w:val="14"/>
              </w:rPr>
              <w:t>Reativação imediata.</w:t>
            </w:r>
          </w:p>
        </w:tc>
        <w:tc>
          <w:tcPr>
            <w:tcW w:w="1680" w:type="dxa"/>
            <w:shd w:val="clear" w:color="auto" w:fill="auto"/>
            <w:vAlign w:val="center"/>
          </w:tcPr>
          <w:p w14:paraId="1C5F58E1" w14:textId="77777777" w:rsidR="001C7E6F" w:rsidRDefault="001C7E6F" w:rsidP="00BD3046">
            <w:pPr>
              <w:spacing w:after="0" w:line="240" w:lineRule="auto"/>
              <w:rPr>
                <w:sz w:val="14"/>
                <w:szCs w:val="14"/>
              </w:rPr>
            </w:pPr>
            <w:r>
              <w:rPr>
                <w:sz w:val="14"/>
                <w:szCs w:val="14"/>
              </w:rPr>
              <w:t>CGF; OGF</w:t>
            </w:r>
          </w:p>
        </w:tc>
      </w:tr>
      <w:tr w:rsidR="001C7E6F" w14:paraId="25E9E282" w14:textId="77777777" w:rsidTr="00BD3046">
        <w:trPr>
          <w:trHeight w:val="20"/>
        </w:trPr>
        <w:tc>
          <w:tcPr>
            <w:tcW w:w="1129" w:type="dxa"/>
            <w:vMerge/>
            <w:shd w:val="clear" w:color="auto" w:fill="auto"/>
            <w:vAlign w:val="center"/>
          </w:tcPr>
          <w:p w14:paraId="35F7D4FE"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7FB2E412" w14:textId="77777777" w:rsidR="001C7E6F" w:rsidRPr="00290A4B" w:rsidRDefault="001C7E6F" w:rsidP="00BD3046">
            <w:pPr>
              <w:spacing w:after="0" w:line="240" w:lineRule="auto"/>
              <w:rPr>
                <w:sz w:val="14"/>
                <w:szCs w:val="14"/>
              </w:rPr>
            </w:pPr>
            <w:r w:rsidRPr="00290A4B">
              <w:rPr>
                <w:sz w:val="14"/>
                <w:szCs w:val="14"/>
              </w:rPr>
              <w:t>P30. Há Plano de Ação (PA) e Plano de Aplicação Financeira (PAF) aprovado para o exercício atual?</w:t>
            </w:r>
          </w:p>
        </w:tc>
        <w:tc>
          <w:tcPr>
            <w:tcW w:w="495" w:type="dxa"/>
            <w:shd w:val="clear" w:color="auto" w:fill="auto"/>
            <w:vAlign w:val="center"/>
          </w:tcPr>
          <w:p w14:paraId="0CE4718A"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E36C09"/>
            <w:vAlign w:val="center"/>
          </w:tcPr>
          <w:p w14:paraId="32E47D4C" w14:textId="77777777" w:rsidR="001C7E6F" w:rsidRDefault="001C7E6F" w:rsidP="00BD3046">
            <w:pPr>
              <w:spacing w:after="0" w:line="240" w:lineRule="auto"/>
              <w:rPr>
                <w:sz w:val="14"/>
                <w:szCs w:val="14"/>
              </w:rPr>
            </w:pPr>
            <w:r>
              <w:rPr>
                <w:sz w:val="14"/>
                <w:szCs w:val="14"/>
              </w:rPr>
              <w:t>R32. Execução orçamentária e financeira sem autorização colegiada e sem legitimidade para as alocações.</w:t>
            </w:r>
          </w:p>
        </w:tc>
        <w:tc>
          <w:tcPr>
            <w:tcW w:w="1875" w:type="dxa"/>
            <w:shd w:val="clear" w:color="auto" w:fill="E36C09"/>
            <w:vAlign w:val="center"/>
          </w:tcPr>
          <w:p w14:paraId="02A78F00" w14:textId="77777777" w:rsidR="001C7E6F" w:rsidRDefault="001C7E6F" w:rsidP="00BD3046">
            <w:pPr>
              <w:spacing w:after="0" w:line="240" w:lineRule="auto"/>
              <w:rPr>
                <w:sz w:val="14"/>
                <w:szCs w:val="14"/>
              </w:rPr>
            </w:pPr>
            <w:r>
              <w:rPr>
                <w:sz w:val="14"/>
                <w:szCs w:val="14"/>
              </w:rPr>
              <w:t>4 – ALTO</w:t>
            </w:r>
          </w:p>
          <w:p w14:paraId="7125A3ED" w14:textId="77777777" w:rsidR="001C7E6F" w:rsidRDefault="001C7E6F" w:rsidP="00BD3046">
            <w:pPr>
              <w:spacing w:after="0" w:line="240" w:lineRule="auto"/>
              <w:rPr>
                <w:sz w:val="14"/>
                <w:szCs w:val="14"/>
              </w:rPr>
            </w:pPr>
            <w:r>
              <w:rPr>
                <w:sz w:val="14"/>
                <w:szCs w:val="14"/>
              </w:rPr>
              <w:t>Ausência de legitimidade e desvio de prioridades.</w:t>
            </w:r>
          </w:p>
        </w:tc>
        <w:tc>
          <w:tcPr>
            <w:tcW w:w="945" w:type="dxa"/>
            <w:vAlign w:val="center"/>
          </w:tcPr>
          <w:p w14:paraId="4C0EAC64"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69F85B75" w14:textId="77777777" w:rsidR="001C7E6F" w:rsidRDefault="001C7E6F" w:rsidP="00BD3046">
            <w:pPr>
              <w:spacing w:after="0" w:line="240" w:lineRule="auto"/>
              <w:jc w:val="center"/>
              <w:rPr>
                <w:sz w:val="14"/>
                <w:szCs w:val="14"/>
              </w:rPr>
            </w:pPr>
            <w:r>
              <w:rPr>
                <w:sz w:val="14"/>
                <w:szCs w:val="14"/>
              </w:rPr>
              <w:t>36</w:t>
            </w:r>
          </w:p>
        </w:tc>
        <w:tc>
          <w:tcPr>
            <w:tcW w:w="1920" w:type="dxa"/>
            <w:shd w:val="clear" w:color="auto" w:fill="auto"/>
            <w:vAlign w:val="center"/>
          </w:tcPr>
          <w:p w14:paraId="77D97D41" w14:textId="77777777" w:rsidR="001C7E6F" w:rsidRDefault="001C7E6F" w:rsidP="00BD3046">
            <w:pPr>
              <w:spacing w:after="0" w:line="240" w:lineRule="auto"/>
              <w:rPr>
                <w:sz w:val="14"/>
                <w:szCs w:val="14"/>
              </w:rPr>
            </w:pPr>
            <w:r>
              <w:rPr>
                <w:sz w:val="14"/>
                <w:szCs w:val="14"/>
              </w:rPr>
              <w:t>Calendário fixo para aprovação, com apoio técnico devido pelo OGF.</w:t>
            </w:r>
          </w:p>
        </w:tc>
        <w:tc>
          <w:tcPr>
            <w:tcW w:w="1695" w:type="dxa"/>
            <w:shd w:val="clear" w:color="auto" w:fill="auto"/>
            <w:vAlign w:val="center"/>
          </w:tcPr>
          <w:p w14:paraId="6DA71A13" w14:textId="77777777" w:rsidR="001C7E6F" w:rsidRDefault="001C7E6F" w:rsidP="00BD3046">
            <w:pPr>
              <w:spacing w:after="0" w:line="240" w:lineRule="auto"/>
              <w:rPr>
                <w:sz w:val="14"/>
                <w:szCs w:val="14"/>
              </w:rPr>
            </w:pPr>
            <w:r>
              <w:rPr>
                <w:sz w:val="14"/>
                <w:szCs w:val="14"/>
              </w:rPr>
              <w:t>PA/PAF simplificado.</w:t>
            </w:r>
          </w:p>
        </w:tc>
        <w:tc>
          <w:tcPr>
            <w:tcW w:w="1680" w:type="dxa"/>
            <w:shd w:val="clear" w:color="auto" w:fill="auto"/>
            <w:vAlign w:val="center"/>
          </w:tcPr>
          <w:p w14:paraId="3EA047A9" w14:textId="77777777" w:rsidR="001C7E6F" w:rsidRDefault="001C7E6F" w:rsidP="00BD3046">
            <w:pPr>
              <w:spacing w:after="0" w:line="240" w:lineRule="auto"/>
              <w:rPr>
                <w:sz w:val="14"/>
                <w:szCs w:val="14"/>
              </w:rPr>
            </w:pPr>
            <w:r>
              <w:rPr>
                <w:sz w:val="14"/>
                <w:szCs w:val="14"/>
              </w:rPr>
              <w:t>CGF; OGF</w:t>
            </w:r>
          </w:p>
        </w:tc>
      </w:tr>
      <w:tr w:rsidR="001C7E6F" w14:paraId="6B6BCC73" w14:textId="77777777" w:rsidTr="00BD3046">
        <w:trPr>
          <w:trHeight w:val="20"/>
        </w:trPr>
        <w:tc>
          <w:tcPr>
            <w:tcW w:w="1129" w:type="dxa"/>
            <w:vMerge w:val="restart"/>
            <w:shd w:val="clear" w:color="auto" w:fill="auto"/>
            <w:vAlign w:val="center"/>
          </w:tcPr>
          <w:p w14:paraId="18A34CFA" w14:textId="77777777" w:rsidR="001C7E6F" w:rsidRDefault="001C7E6F" w:rsidP="00BD3046">
            <w:pPr>
              <w:widowControl w:val="0"/>
              <w:pBdr>
                <w:top w:val="nil"/>
                <w:left w:val="nil"/>
                <w:bottom w:val="nil"/>
                <w:right w:val="nil"/>
                <w:between w:val="nil"/>
              </w:pBdr>
              <w:spacing w:after="0"/>
              <w:rPr>
                <w:sz w:val="14"/>
                <w:szCs w:val="14"/>
              </w:rPr>
            </w:pPr>
            <w:r>
              <w:rPr>
                <w:sz w:val="14"/>
                <w:szCs w:val="14"/>
              </w:rPr>
              <w:t>Institucional e Organizacional</w:t>
            </w:r>
          </w:p>
        </w:tc>
        <w:tc>
          <w:tcPr>
            <w:tcW w:w="1721" w:type="dxa"/>
            <w:shd w:val="clear" w:color="auto" w:fill="auto"/>
            <w:vAlign w:val="center"/>
          </w:tcPr>
          <w:p w14:paraId="4BCCCBB1" w14:textId="77777777" w:rsidR="001C7E6F" w:rsidRPr="00290A4B" w:rsidRDefault="001C7E6F" w:rsidP="00BD3046">
            <w:pPr>
              <w:spacing w:after="0" w:line="240" w:lineRule="auto"/>
              <w:rPr>
                <w:sz w:val="14"/>
                <w:szCs w:val="14"/>
              </w:rPr>
            </w:pPr>
            <w:r w:rsidRPr="00290A4B">
              <w:rPr>
                <w:sz w:val="14"/>
                <w:szCs w:val="14"/>
              </w:rPr>
              <w:t>P23. A composição do Conselho Gestor do Fundo é paritária entre governo e sociedade civil?</w:t>
            </w:r>
          </w:p>
        </w:tc>
        <w:tc>
          <w:tcPr>
            <w:tcW w:w="495" w:type="dxa"/>
            <w:shd w:val="clear" w:color="auto" w:fill="auto"/>
            <w:vAlign w:val="center"/>
          </w:tcPr>
          <w:p w14:paraId="0AAF19F9"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E36C09"/>
            <w:vAlign w:val="center"/>
          </w:tcPr>
          <w:p w14:paraId="7A8422AC" w14:textId="77777777" w:rsidR="001C7E6F" w:rsidRDefault="001C7E6F" w:rsidP="00BD3046">
            <w:pPr>
              <w:spacing w:after="0" w:line="240" w:lineRule="auto"/>
              <w:rPr>
                <w:sz w:val="14"/>
                <w:szCs w:val="14"/>
              </w:rPr>
            </w:pPr>
            <w:r>
              <w:rPr>
                <w:sz w:val="14"/>
                <w:szCs w:val="14"/>
              </w:rPr>
              <w:t>R40. Assimetria de representação; inconstitucionalidade da medida; perda de legitimidade e risco de captura.</w:t>
            </w:r>
          </w:p>
        </w:tc>
        <w:tc>
          <w:tcPr>
            <w:tcW w:w="1875" w:type="dxa"/>
            <w:shd w:val="clear" w:color="auto" w:fill="E36C09"/>
            <w:vAlign w:val="center"/>
          </w:tcPr>
          <w:p w14:paraId="3A3309AF" w14:textId="77777777" w:rsidR="001C7E6F" w:rsidRDefault="001C7E6F" w:rsidP="00BD3046">
            <w:pPr>
              <w:spacing w:after="0" w:line="240" w:lineRule="auto"/>
              <w:rPr>
                <w:sz w:val="14"/>
                <w:szCs w:val="14"/>
              </w:rPr>
            </w:pPr>
            <w:r>
              <w:rPr>
                <w:sz w:val="14"/>
                <w:szCs w:val="14"/>
              </w:rPr>
              <w:t>4 – ALTO</w:t>
            </w:r>
          </w:p>
          <w:p w14:paraId="53075950" w14:textId="77777777" w:rsidR="001C7E6F" w:rsidRDefault="001C7E6F" w:rsidP="00BD3046">
            <w:pPr>
              <w:spacing w:after="0" w:line="240" w:lineRule="auto"/>
              <w:rPr>
                <w:sz w:val="14"/>
                <w:szCs w:val="14"/>
              </w:rPr>
            </w:pPr>
            <w:r>
              <w:rPr>
                <w:sz w:val="14"/>
                <w:szCs w:val="14"/>
              </w:rPr>
              <w:t>Fragiliza participação e controle social.</w:t>
            </w:r>
          </w:p>
        </w:tc>
        <w:tc>
          <w:tcPr>
            <w:tcW w:w="945" w:type="dxa"/>
            <w:vAlign w:val="center"/>
          </w:tcPr>
          <w:p w14:paraId="5BFA2AA0"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274230CA" w14:textId="77777777" w:rsidR="001C7E6F" w:rsidRDefault="001C7E6F" w:rsidP="00BD3046">
            <w:pPr>
              <w:spacing w:after="0" w:line="240" w:lineRule="auto"/>
              <w:jc w:val="center"/>
              <w:rPr>
                <w:sz w:val="14"/>
                <w:szCs w:val="14"/>
              </w:rPr>
            </w:pPr>
            <w:r>
              <w:rPr>
                <w:sz w:val="14"/>
                <w:szCs w:val="14"/>
              </w:rPr>
              <w:t>24</w:t>
            </w:r>
          </w:p>
        </w:tc>
        <w:tc>
          <w:tcPr>
            <w:tcW w:w="1920" w:type="dxa"/>
            <w:shd w:val="clear" w:color="auto" w:fill="auto"/>
            <w:vAlign w:val="center"/>
          </w:tcPr>
          <w:p w14:paraId="3156881B" w14:textId="77777777" w:rsidR="001C7E6F" w:rsidRDefault="001C7E6F" w:rsidP="00BD3046">
            <w:pPr>
              <w:spacing w:after="0" w:line="240" w:lineRule="auto"/>
              <w:rPr>
                <w:sz w:val="14"/>
                <w:szCs w:val="14"/>
              </w:rPr>
            </w:pPr>
            <w:r>
              <w:rPr>
                <w:sz w:val="14"/>
                <w:szCs w:val="14"/>
              </w:rPr>
              <w:t>Estabelecer paridade em lei e regimento; critérios públicos de escolha.</w:t>
            </w:r>
          </w:p>
        </w:tc>
        <w:tc>
          <w:tcPr>
            <w:tcW w:w="1695" w:type="dxa"/>
            <w:shd w:val="clear" w:color="auto" w:fill="auto"/>
            <w:vAlign w:val="center"/>
          </w:tcPr>
          <w:p w14:paraId="5FB03BAA" w14:textId="77777777" w:rsidR="001C7E6F" w:rsidRDefault="001C7E6F" w:rsidP="00BD3046">
            <w:pPr>
              <w:spacing w:after="0" w:line="240" w:lineRule="auto"/>
              <w:rPr>
                <w:sz w:val="14"/>
                <w:szCs w:val="14"/>
              </w:rPr>
            </w:pPr>
            <w:r>
              <w:rPr>
                <w:sz w:val="14"/>
                <w:szCs w:val="14"/>
              </w:rPr>
              <w:t>Recompor cadeiras; convocar processo seletivo/indicações conforme regras.</w:t>
            </w:r>
          </w:p>
        </w:tc>
        <w:tc>
          <w:tcPr>
            <w:tcW w:w="1680" w:type="dxa"/>
            <w:shd w:val="clear" w:color="auto" w:fill="auto"/>
            <w:vAlign w:val="center"/>
          </w:tcPr>
          <w:p w14:paraId="06EDCA05" w14:textId="77777777" w:rsidR="001C7E6F" w:rsidRDefault="001C7E6F" w:rsidP="00BD3046">
            <w:pPr>
              <w:spacing w:after="0" w:line="240" w:lineRule="auto"/>
              <w:rPr>
                <w:sz w:val="14"/>
                <w:szCs w:val="14"/>
              </w:rPr>
            </w:pPr>
            <w:r>
              <w:rPr>
                <w:sz w:val="14"/>
                <w:szCs w:val="14"/>
              </w:rPr>
              <w:t>OGF; Casa Civil; CGF; Sociedade Civil</w:t>
            </w:r>
          </w:p>
        </w:tc>
      </w:tr>
      <w:tr w:rsidR="001C7E6F" w14:paraId="5AFCCA3F" w14:textId="77777777" w:rsidTr="00BD3046">
        <w:trPr>
          <w:trHeight w:val="20"/>
        </w:trPr>
        <w:tc>
          <w:tcPr>
            <w:tcW w:w="1129" w:type="dxa"/>
            <w:vMerge/>
            <w:shd w:val="clear" w:color="auto" w:fill="auto"/>
            <w:vAlign w:val="center"/>
          </w:tcPr>
          <w:p w14:paraId="218F3F2E"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0F7794AA" w14:textId="77777777" w:rsidR="001C7E6F" w:rsidRPr="00290A4B" w:rsidRDefault="001C7E6F" w:rsidP="00BD3046">
            <w:pPr>
              <w:spacing w:after="0" w:line="240" w:lineRule="auto"/>
              <w:rPr>
                <w:sz w:val="14"/>
                <w:szCs w:val="14"/>
              </w:rPr>
            </w:pPr>
            <w:r w:rsidRPr="00290A4B">
              <w:rPr>
                <w:sz w:val="14"/>
                <w:szCs w:val="14"/>
              </w:rPr>
              <w:t>P27. Existe prestação de contas periódica e pública específica do Fundo?</w:t>
            </w:r>
          </w:p>
        </w:tc>
        <w:tc>
          <w:tcPr>
            <w:tcW w:w="495" w:type="dxa"/>
            <w:shd w:val="clear" w:color="auto" w:fill="auto"/>
            <w:vAlign w:val="center"/>
          </w:tcPr>
          <w:p w14:paraId="798F0623"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E36C09"/>
            <w:vAlign w:val="center"/>
          </w:tcPr>
          <w:p w14:paraId="7EEB5862" w14:textId="77777777" w:rsidR="001C7E6F" w:rsidRDefault="001C7E6F" w:rsidP="00BD3046">
            <w:pPr>
              <w:spacing w:after="0" w:line="240" w:lineRule="auto"/>
              <w:rPr>
                <w:sz w:val="14"/>
                <w:szCs w:val="14"/>
              </w:rPr>
            </w:pPr>
            <w:r>
              <w:rPr>
                <w:sz w:val="14"/>
                <w:szCs w:val="14"/>
              </w:rPr>
              <w:t xml:space="preserve">R42. Ausência de </w:t>
            </w:r>
            <w:r>
              <w:rPr>
                <w:i/>
                <w:sz w:val="14"/>
                <w:szCs w:val="14"/>
              </w:rPr>
              <w:t>accountability</w:t>
            </w:r>
            <w:r>
              <w:rPr>
                <w:sz w:val="14"/>
                <w:szCs w:val="14"/>
              </w:rPr>
              <w:t>; risco de sanções.</w:t>
            </w:r>
          </w:p>
        </w:tc>
        <w:tc>
          <w:tcPr>
            <w:tcW w:w="1875" w:type="dxa"/>
            <w:shd w:val="clear" w:color="auto" w:fill="E36C09"/>
            <w:vAlign w:val="center"/>
          </w:tcPr>
          <w:p w14:paraId="25AAA88E" w14:textId="77777777" w:rsidR="001C7E6F" w:rsidRDefault="001C7E6F" w:rsidP="00BD3046">
            <w:pPr>
              <w:spacing w:after="0" w:line="240" w:lineRule="auto"/>
              <w:rPr>
                <w:sz w:val="14"/>
                <w:szCs w:val="14"/>
              </w:rPr>
            </w:pPr>
            <w:r>
              <w:rPr>
                <w:sz w:val="14"/>
                <w:szCs w:val="14"/>
              </w:rPr>
              <w:t>4 – ALTO</w:t>
            </w:r>
          </w:p>
          <w:p w14:paraId="1F111A4B" w14:textId="77777777" w:rsidR="001C7E6F" w:rsidRDefault="001C7E6F" w:rsidP="00BD3046">
            <w:pPr>
              <w:spacing w:after="0" w:line="240" w:lineRule="auto"/>
              <w:rPr>
                <w:sz w:val="14"/>
                <w:szCs w:val="14"/>
              </w:rPr>
            </w:pPr>
            <w:r>
              <w:rPr>
                <w:sz w:val="14"/>
                <w:szCs w:val="14"/>
              </w:rPr>
              <w:t>Reduz confiança institucional e transparência.</w:t>
            </w:r>
          </w:p>
        </w:tc>
        <w:tc>
          <w:tcPr>
            <w:tcW w:w="945" w:type="dxa"/>
            <w:vAlign w:val="center"/>
          </w:tcPr>
          <w:p w14:paraId="6E2A6664"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6BA6FE8A" w14:textId="77777777" w:rsidR="001C7E6F" w:rsidRDefault="001C7E6F" w:rsidP="00BD3046">
            <w:pPr>
              <w:spacing w:after="0" w:line="240" w:lineRule="auto"/>
              <w:jc w:val="center"/>
              <w:rPr>
                <w:sz w:val="14"/>
                <w:szCs w:val="14"/>
              </w:rPr>
            </w:pPr>
            <w:r>
              <w:rPr>
                <w:sz w:val="14"/>
                <w:szCs w:val="14"/>
              </w:rPr>
              <w:t>24</w:t>
            </w:r>
          </w:p>
        </w:tc>
        <w:tc>
          <w:tcPr>
            <w:tcW w:w="1920" w:type="dxa"/>
            <w:shd w:val="clear" w:color="auto" w:fill="auto"/>
            <w:vAlign w:val="center"/>
          </w:tcPr>
          <w:p w14:paraId="007FE9D9" w14:textId="77777777" w:rsidR="001C7E6F" w:rsidRDefault="001C7E6F" w:rsidP="00BD3046">
            <w:pPr>
              <w:spacing w:after="0" w:line="240" w:lineRule="auto"/>
              <w:rPr>
                <w:sz w:val="14"/>
                <w:szCs w:val="14"/>
              </w:rPr>
            </w:pPr>
            <w:r>
              <w:rPr>
                <w:sz w:val="14"/>
                <w:szCs w:val="14"/>
              </w:rPr>
              <w:t>Publicar relatórios quadrimestrais e anuais do Fundo, com dados abertos.</w:t>
            </w:r>
          </w:p>
        </w:tc>
        <w:tc>
          <w:tcPr>
            <w:tcW w:w="1695" w:type="dxa"/>
            <w:shd w:val="clear" w:color="auto" w:fill="auto"/>
            <w:vAlign w:val="center"/>
          </w:tcPr>
          <w:p w14:paraId="463AEB18" w14:textId="77777777" w:rsidR="001C7E6F" w:rsidRDefault="001C7E6F" w:rsidP="00BD3046">
            <w:pPr>
              <w:spacing w:after="0" w:line="240" w:lineRule="auto"/>
              <w:rPr>
                <w:sz w:val="14"/>
                <w:szCs w:val="14"/>
              </w:rPr>
            </w:pPr>
            <w:r>
              <w:rPr>
                <w:sz w:val="14"/>
                <w:szCs w:val="14"/>
              </w:rPr>
              <w:t>Produzir relatórios retroativos e plano de regularização.</w:t>
            </w:r>
          </w:p>
        </w:tc>
        <w:tc>
          <w:tcPr>
            <w:tcW w:w="1680" w:type="dxa"/>
            <w:shd w:val="clear" w:color="auto" w:fill="auto"/>
            <w:vAlign w:val="center"/>
          </w:tcPr>
          <w:p w14:paraId="5D59D993" w14:textId="77777777" w:rsidR="001C7E6F" w:rsidRDefault="001C7E6F" w:rsidP="00BD3046">
            <w:pPr>
              <w:spacing w:after="0" w:line="240" w:lineRule="auto"/>
              <w:rPr>
                <w:sz w:val="14"/>
                <w:szCs w:val="14"/>
              </w:rPr>
            </w:pPr>
            <w:r>
              <w:rPr>
                <w:sz w:val="14"/>
                <w:szCs w:val="14"/>
              </w:rPr>
              <w:t>OGF; CI; CGF; Unidade de Transparência/TI</w:t>
            </w:r>
          </w:p>
        </w:tc>
      </w:tr>
      <w:tr w:rsidR="001C7E6F" w14:paraId="29ADD8A2" w14:textId="77777777" w:rsidTr="00BD3046">
        <w:trPr>
          <w:trHeight w:val="20"/>
        </w:trPr>
        <w:tc>
          <w:tcPr>
            <w:tcW w:w="1129" w:type="dxa"/>
            <w:vMerge/>
            <w:shd w:val="clear" w:color="auto" w:fill="auto"/>
            <w:vAlign w:val="center"/>
          </w:tcPr>
          <w:p w14:paraId="2EE7B7AB"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0A7DDA5D" w14:textId="77777777" w:rsidR="001C7E6F" w:rsidRPr="00290A4B" w:rsidRDefault="001C7E6F" w:rsidP="00BD3046">
            <w:pPr>
              <w:spacing w:after="0" w:line="240" w:lineRule="auto"/>
              <w:rPr>
                <w:sz w:val="14"/>
                <w:szCs w:val="14"/>
              </w:rPr>
            </w:pPr>
            <w:r w:rsidRPr="00290A4B">
              <w:rPr>
                <w:sz w:val="14"/>
                <w:szCs w:val="14"/>
              </w:rPr>
              <w:t>P71. O Tribunal de Contas não identificou irregularidades ou riscos no uso do Fundo nos últimos 5 anos?</w:t>
            </w:r>
          </w:p>
        </w:tc>
        <w:tc>
          <w:tcPr>
            <w:tcW w:w="495" w:type="dxa"/>
            <w:shd w:val="clear" w:color="auto" w:fill="auto"/>
            <w:vAlign w:val="center"/>
          </w:tcPr>
          <w:p w14:paraId="192EE0F4"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FFFF00"/>
            <w:vAlign w:val="center"/>
          </w:tcPr>
          <w:p w14:paraId="3678A8D6" w14:textId="77777777" w:rsidR="001C7E6F" w:rsidRDefault="001C7E6F" w:rsidP="00BD3046">
            <w:pPr>
              <w:spacing w:after="0" w:line="240" w:lineRule="auto"/>
              <w:rPr>
                <w:sz w:val="14"/>
                <w:szCs w:val="14"/>
              </w:rPr>
            </w:pPr>
            <w:r>
              <w:rPr>
                <w:sz w:val="14"/>
                <w:szCs w:val="14"/>
              </w:rPr>
              <w:t>R46. Fragilidade no controle externo; risco de sanções.</w:t>
            </w:r>
          </w:p>
        </w:tc>
        <w:tc>
          <w:tcPr>
            <w:tcW w:w="1875" w:type="dxa"/>
            <w:shd w:val="clear" w:color="auto" w:fill="FFFF00"/>
            <w:vAlign w:val="center"/>
          </w:tcPr>
          <w:p w14:paraId="4DF1FC6C" w14:textId="77777777" w:rsidR="001C7E6F" w:rsidRDefault="001C7E6F" w:rsidP="00BD3046">
            <w:pPr>
              <w:spacing w:after="0" w:line="240" w:lineRule="auto"/>
              <w:rPr>
                <w:sz w:val="14"/>
                <w:szCs w:val="14"/>
              </w:rPr>
            </w:pPr>
            <w:r>
              <w:rPr>
                <w:sz w:val="14"/>
                <w:szCs w:val="14"/>
              </w:rPr>
              <w:t>3 – MÉDIO</w:t>
            </w:r>
          </w:p>
          <w:p w14:paraId="576D9D8A" w14:textId="77777777" w:rsidR="001C7E6F" w:rsidRDefault="001C7E6F" w:rsidP="00BD3046">
            <w:pPr>
              <w:spacing w:after="0" w:line="240" w:lineRule="auto"/>
              <w:rPr>
                <w:sz w:val="14"/>
                <w:szCs w:val="14"/>
              </w:rPr>
            </w:pPr>
            <w:r>
              <w:rPr>
                <w:sz w:val="14"/>
                <w:szCs w:val="14"/>
              </w:rPr>
              <w:t>Responsabilização posterior e glosas futuras.</w:t>
            </w:r>
          </w:p>
        </w:tc>
        <w:tc>
          <w:tcPr>
            <w:tcW w:w="945" w:type="dxa"/>
            <w:vAlign w:val="center"/>
          </w:tcPr>
          <w:p w14:paraId="23419CF6"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272F5D70" w14:textId="77777777" w:rsidR="001C7E6F" w:rsidRDefault="001C7E6F" w:rsidP="00BD3046">
            <w:pPr>
              <w:spacing w:after="0" w:line="240" w:lineRule="auto"/>
              <w:jc w:val="center"/>
              <w:rPr>
                <w:sz w:val="14"/>
                <w:szCs w:val="14"/>
              </w:rPr>
            </w:pPr>
            <w:r>
              <w:rPr>
                <w:sz w:val="14"/>
                <w:szCs w:val="14"/>
              </w:rPr>
              <w:t>18</w:t>
            </w:r>
          </w:p>
        </w:tc>
        <w:tc>
          <w:tcPr>
            <w:tcW w:w="1920" w:type="dxa"/>
            <w:shd w:val="clear" w:color="auto" w:fill="auto"/>
            <w:vAlign w:val="center"/>
          </w:tcPr>
          <w:p w14:paraId="5F2063E2" w14:textId="77777777" w:rsidR="001C7E6F" w:rsidRDefault="001C7E6F" w:rsidP="00BD3046">
            <w:pPr>
              <w:spacing w:after="0" w:line="240" w:lineRule="auto"/>
              <w:rPr>
                <w:sz w:val="14"/>
                <w:szCs w:val="14"/>
              </w:rPr>
            </w:pPr>
            <w:r>
              <w:rPr>
                <w:sz w:val="14"/>
                <w:szCs w:val="14"/>
              </w:rPr>
              <w:t>Fortalecer controles internos; cooperação técnica com TC.</w:t>
            </w:r>
          </w:p>
        </w:tc>
        <w:tc>
          <w:tcPr>
            <w:tcW w:w="1695" w:type="dxa"/>
            <w:shd w:val="clear" w:color="auto" w:fill="auto"/>
            <w:vAlign w:val="center"/>
          </w:tcPr>
          <w:p w14:paraId="78A4B8E7" w14:textId="77777777" w:rsidR="001C7E6F" w:rsidRDefault="001C7E6F" w:rsidP="00BD3046">
            <w:pPr>
              <w:spacing w:after="0" w:line="240" w:lineRule="auto"/>
              <w:rPr>
                <w:sz w:val="14"/>
                <w:szCs w:val="14"/>
              </w:rPr>
            </w:pPr>
            <w:r>
              <w:rPr>
                <w:sz w:val="14"/>
                <w:szCs w:val="14"/>
              </w:rPr>
              <w:t>Plano de saneamento com prazos e evidências.</w:t>
            </w:r>
          </w:p>
        </w:tc>
        <w:tc>
          <w:tcPr>
            <w:tcW w:w="1680" w:type="dxa"/>
            <w:shd w:val="clear" w:color="auto" w:fill="auto"/>
            <w:vAlign w:val="center"/>
          </w:tcPr>
          <w:p w14:paraId="62567405" w14:textId="77777777" w:rsidR="001C7E6F" w:rsidRDefault="001C7E6F" w:rsidP="00BD3046">
            <w:pPr>
              <w:spacing w:after="0" w:line="240" w:lineRule="auto"/>
              <w:rPr>
                <w:sz w:val="14"/>
                <w:szCs w:val="14"/>
              </w:rPr>
            </w:pPr>
            <w:r>
              <w:rPr>
                <w:sz w:val="14"/>
                <w:szCs w:val="14"/>
              </w:rPr>
              <w:t>OGF; CI; TC</w:t>
            </w:r>
          </w:p>
        </w:tc>
      </w:tr>
      <w:tr w:rsidR="001C7E6F" w14:paraId="7C58FD5C" w14:textId="77777777" w:rsidTr="00BD3046">
        <w:trPr>
          <w:trHeight w:val="20"/>
        </w:trPr>
        <w:tc>
          <w:tcPr>
            <w:tcW w:w="1129" w:type="dxa"/>
            <w:vMerge/>
            <w:shd w:val="clear" w:color="auto" w:fill="auto"/>
            <w:vAlign w:val="center"/>
          </w:tcPr>
          <w:p w14:paraId="0D5C7926"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2FA0666C" w14:textId="77777777" w:rsidR="001C7E6F" w:rsidRPr="00290A4B" w:rsidRDefault="001C7E6F" w:rsidP="00BD3046">
            <w:pPr>
              <w:spacing w:after="0" w:line="240" w:lineRule="auto"/>
              <w:rPr>
                <w:sz w:val="14"/>
                <w:szCs w:val="14"/>
              </w:rPr>
            </w:pPr>
            <w:r w:rsidRPr="00290A4B">
              <w:rPr>
                <w:sz w:val="14"/>
                <w:szCs w:val="14"/>
              </w:rPr>
              <w:t>P72. O Ministério Público (Estadual ou de Contas) não identificou irregularidades ou riscos no uso do Fundo nos últimos 5 anos?</w:t>
            </w:r>
          </w:p>
        </w:tc>
        <w:tc>
          <w:tcPr>
            <w:tcW w:w="495" w:type="dxa"/>
            <w:shd w:val="clear" w:color="auto" w:fill="auto"/>
            <w:vAlign w:val="center"/>
          </w:tcPr>
          <w:p w14:paraId="3785F8E1"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E36C09"/>
            <w:vAlign w:val="center"/>
          </w:tcPr>
          <w:p w14:paraId="29A999B2" w14:textId="77777777" w:rsidR="001C7E6F" w:rsidRDefault="001C7E6F" w:rsidP="00BD3046">
            <w:pPr>
              <w:spacing w:after="0" w:line="240" w:lineRule="auto"/>
              <w:rPr>
                <w:sz w:val="14"/>
                <w:szCs w:val="14"/>
              </w:rPr>
            </w:pPr>
            <w:r>
              <w:rPr>
                <w:sz w:val="14"/>
                <w:szCs w:val="14"/>
              </w:rPr>
              <w:t>R47. Judicialização por irregularidades/ilegalidades.</w:t>
            </w:r>
          </w:p>
        </w:tc>
        <w:tc>
          <w:tcPr>
            <w:tcW w:w="1875" w:type="dxa"/>
            <w:shd w:val="clear" w:color="auto" w:fill="E36C09"/>
            <w:vAlign w:val="center"/>
          </w:tcPr>
          <w:p w14:paraId="6A79FFDA" w14:textId="77777777" w:rsidR="001C7E6F" w:rsidRDefault="001C7E6F" w:rsidP="00BD3046">
            <w:pPr>
              <w:spacing w:after="0" w:line="240" w:lineRule="auto"/>
              <w:rPr>
                <w:sz w:val="14"/>
                <w:szCs w:val="14"/>
              </w:rPr>
            </w:pPr>
            <w:r>
              <w:rPr>
                <w:sz w:val="14"/>
                <w:szCs w:val="14"/>
              </w:rPr>
              <w:t>4 – ALTO</w:t>
            </w:r>
          </w:p>
          <w:p w14:paraId="65594541" w14:textId="77777777" w:rsidR="001C7E6F" w:rsidRDefault="001C7E6F" w:rsidP="00BD3046">
            <w:pPr>
              <w:spacing w:after="0" w:line="240" w:lineRule="auto"/>
              <w:rPr>
                <w:sz w:val="14"/>
                <w:szCs w:val="14"/>
              </w:rPr>
            </w:pPr>
            <w:r>
              <w:rPr>
                <w:sz w:val="14"/>
                <w:szCs w:val="14"/>
              </w:rPr>
              <w:t>Pode paralisar políticas públicas e gerar bloqueios.</w:t>
            </w:r>
          </w:p>
        </w:tc>
        <w:tc>
          <w:tcPr>
            <w:tcW w:w="945" w:type="dxa"/>
            <w:vAlign w:val="center"/>
          </w:tcPr>
          <w:p w14:paraId="2CC2C081"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465FF24C" w14:textId="77777777" w:rsidR="001C7E6F" w:rsidRDefault="001C7E6F" w:rsidP="00BD3046">
            <w:pPr>
              <w:spacing w:after="0" w:line="240" w:lineRule="auto"/>
              <w:jc w:val="center"/>
              <w:rPr>
                <w:sz w:val="14"/>
                <w:szCs w:val="14"/>
              </w:rPr>
            </w:pPr>
            <w:r>
              <w:rPr>
                <w:sz w:val="14"/>
                <w:szCs w:val="14"/>
              </w:rPr>
              <w:t>24</w:t>
            </w:r>
          </w:p>
        </w:tc>
        <w:tc>
          <w:tcPr>
            <w:tcW w:w="1920" w:type="dxa"/>
            <w:shd w:val="clear" w:color="auto" w:fill="auto"/>
            <w:vAlign w:val="center"/>
          </w:tcPr>
          <w:p w14:paraId="69DF3ADA" w14:textId="77777777" w:rsidR="001C7E6F" w:rsidRDefault="001C7E6F" w:rsidP="00BD3046">
            <w:pPr>
              <w:spacing w:after="0" w:line="240" w:lineRule="auto"/>
              <w:rPr>
                <w:sz w:val="14"/>
                <w:szCs w:val="14"/>
              </w:rPr>
            </w:pPr>
            <w:r>
              <w:rPr>
                <w:sz w:val="14"/>
                <w:szCs w:val="14"/>
              </w:rPr>
              <w:t>Prestação de contas proativa e transparência ativa.</w:t>
            </w:r>
          </w:p>
        </w:tc>
        <w:tc>
          <w:tcPr>
            <w:tcW w:w="1695" w:type="dxa"/>
            <w:shd w:val="clear" w:color="auto" w:fill="auto"/>
            <w:vAlign w:val="center"/>
          </w:tcPr>
          <w:p w14:paraId="33E1B6F4" w14:textId="77777777" w:rsidR="001C7E6F" w:rsidRDefault="001C7E6F" w:rsidP="00BD3046">
            <w:pPr>
              <w:spacing w:after="0" w:line="240" w:lineRule="auto"/>
              <w:rPr>
                <w:sz w:val="14"/>
                <w:szCs w:val="14"/>
              </w:rPr>
            </w:pPr>
            <w:r>
              <w:rPr>
                <w:sz w:val="14"/>
                <w:szCs w:val="14"/>
              </w:rPr>
              <w:t>Firmar TAC/ajuste de conduta; corrigir falhas identificadas.</w:t>
            </w:r>
          </w:p>
        </w:tc>
        <w:tc>
          <w:tcPr>
            <w:tcW w:w="1680" w:type="dxa"/>
            <w:shd w:val="clear" w:color="auto" w:fill="auto"/>
            <w:vAlign w:val="center"/>
          </w:tcPr>
          <w:p w14:paraId="75348ED8" w14:textId="77777777" w:rsidR="001C7E6F" w:rsidRDefault="001C7E6F" w:rsidP="00BD3046">
            <w:pPr>
              <w:spacing w:after="0" w:line="240" w:lineRule="auto"/>
              <w:rPr>
                <w:sz w:val="14"/>
                <w:szCs w:val="14"/>
              </w:rPr>
            </w:pPr>
            <w:r>
              <w:rPr>
                <w:sz w:val="14"/>
                <w:szCs w:val="14"/>
              </w:rPr>
              <w:t>OGF; Ministério Público; Procuradoria; CI</w:t>
            </w:r>
          </w:p>
        </w:tc>
      </w:tr>
      <w:tr w:rsidR="001C7E6F" w14:paraId="212B8B45" w14:textId="77777777" w:rsidTr="00BD3046">
        <w:trPr>
          <w:trHeight w:val="20"/>
        </w:trPr>
        <w:tc>
          <w:tcPr>
            <w:tcW w:w="1129" w:type="dxa"/>
            <w:vMerge/>
            <w:shd w:val="clear" w:color="auto" w:fill="auto"/>
            <w:vAlign w:val="center"/>
          </w:tcPr>
          <w:p w14:paraId="7CFCAD3A"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048E7F30" w14:textId="77777777" w:rsidR="001C7E6F" w:rsidRPr="00290A4B" w:rsidRDefault="001C7E6F" w:rsidP="00BD3046">
            <w:pPr>
              <w:spacing w:after="0" w:line="240" w:lineRule="auto"/>
              <w:rPr>
                <w:sz w:val="14"/>
                <w:szCs w:val="14"/>
              </w:rPr>
            </w:pPr>
            <w:r w:rsidRPr="00290A4B">
              <w:rPr>
                <w:sz w:val="14"/>
                <w:szCs w:val="14"/>
              </w:rPr>
              <w:t>P73. Não foram identificadas fraudes ou ações judiciais relacionadas ao uso do Fundo?</w:t>
            </w:r>
          </w:p>
        </w:tc>
        <w:tc>
          <w:tcPr>
            <w:tcW w:w="495" w:type="dxa"/>
            <w:shd w:val="clear" w:color="auto" w:fill="auto"/>
            <w:vAlign w:val="center"/>
          </w:tcPr>
          <w:p w14:paraId="69B20451"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C00000"/>
            <w:vAlign w:val="center"/>
          </w:tcPr>
          <w:p w14:paraId="6D5C73E3" w14:textId="77777777" w:rsidR="001C7E6F" w:rsidRDefault="001C7E6F" w:rsidP="00BD3046">
            <w:pPr>
              <w:spacing w:after="0" w:line="240" w:lineRule="auto"/>
              <w:rPr>
                <w:sz w:val="14"/>
                <w:szCs w:val="14"/>
              </w:rPr>
            </w:pPr>
            <w:r>
              <w:rPr>
                <w:sz w:val="14"/>
                <w:szCs w:val="14"/>
              </w:rPr>
              <w:t>R48. Integridade comprometida; litígios e sanções.</w:t>
            </w:r>
          </w:p>
        </w:tc>
        <w:tc>
          <w:tcPr>
            <w:tcW w:w="1875" w:type="dxa"/>
            <w:shd w:val="clear" w:color="auto" w:fill="C00000"/>
            <w:vAlign w:val="center"/>
          </w:tcPr>
          <w:p w14:paraId="0ED6AADA" w14:textId="77777777" w:rsidR="001C7E6F" w:rsidRDefault="001C7E6F" w:rsidP="00BD3046">
            <w:pPr>
              <w:spacing w:after="0" w:line="240" w:lineRule="auto"/>
              <w:rPr>
                <w:sz w:val="14"/>
                <w:szCs w:val="14"/>
              </w:rPr>
            </w:pPr>
            <w:r>
              <w:rPr>
                <w:sz w:val="14"/>
                <w:szCs w:val="14"/>
              </w:rPr>
              <w:t xml:space="preserve">5 – MUITO ALTO </w:t>
            </w:r>
          </w:p>
          <w:p w14:paraId="5C652983" w14:textId="77777777" w:rsidR="001C7E6F" w:rsidRDefault="001C7E6F" w:rsidP="00BD3046">
            <w:pPr>
              <w:spacing w:after="0" w:line="240" w:lineRule="auto"/>
              <w:rPr>
                <w:sz w:val="14"/>
                <w:szCs w:val="14"/>
              </w:rPr>
            </w:pPr>
            <w:r>
              <w:rPr>
                <w:sz w:val="14"/>
                <w:szCs w:val="14"/>
              </w:rPr>
              <w:t>Bloqueios judiciais e crise institucional.</w:t>
            </w:r>
          </w:p>
        </w:tc>
        <w:tc>
          <w:tcPr>
            <w:tcW w:w="945" w:type="dxa"/>
            <w:vAlign w:val="center"/>
          </w:tcPr>
          <w:p w14:paraId="2FF668E6"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1B22FF06" w14:textId="77777777" w:rsidR="001C7E6F" w:rsidRDefault="001C7E6F" w:rsidP="00BD3046">
            <w:pPr>
              <w:spacing w:after="0" w:line="240" w:lineRule="auto"/>
              <w:jc w:val="center"/>
              <w:rPr>
                <w:sz w:val="14"/>
                <w:szCs w:val="14"/>
              </w:rPr>
            </w:pPr>
            <w:r>
              <w:rPr>
                <w:sz w:val="14"/>
                <w:szCs w:val="14"/>
              </w:rPr>
              <w:t>45</w:t>
            </w:r>
          </w:p>
        </w:tc>
        <w:tc>
          <w:tcPr>
            <w:tcW w:w="1920" w:type="dxa"/>
            <w:shd w:val="clear" w:color="auto" w:fill="auto"/>
            <w:vAlign w:val="center"/>
          </w:tcPr>
          <w:p w14:paraId="289E36E3" w14:textId="77777777" w:rsidR="001C7E6F" w:rsidRDefault="001C7E6F" w:rsidP="00BD3046">
            <w:pPr>
              <w:spacing w:after="0" w:line="240" w:lineRule="auto"/>
              <w:rPr>
                <w:sz w:val="14"/>
                <w:szCs w:val="14"/>
              </w:rPr>
            </w:pPr>
            <w:r>
              <w:rPr>
                <w:sz w:val="14"/>
                <w:szCs w:val="14"/>
              </w:rPr>
              <w:t>Programa de Integridade; canais de denúncia; controles preventivos.</w:t>
            </w:r>
          </w:p>
        </w:tc>
        <w:tc>
          <w:tcPr>
            <w:tcW w:w="1695" w:type="dxa"/>
            <w:shd w:val="clear" w:color="auto" w:fill="auto"/>
            <w:vAlign w:val="center"/>
          </w:tcPr>
          <w:p w14:paraId="58AC74A9" w14:textId="77777777" w:rsidR="001C7E6F" w:rsidRDefault="001C7E6F" w:rsidP="00BD3046">
            <w:pPr>
              <w:spacing w:after="0" w:line="240" w:lineRule="auto"/>
              <w:rPr>
                <w:sz w:val="14"/>
                <w:szCs w:val="14"/>
              </w:rPr>
            </w:pPr>
            <w:r>
              <w:rPr>
                <w:sz w:val="14"/>
                <w:szCs w:val="14"/>
              </w:rPr>
              <w:t>Protocolo anticorrupção: suspensão cautelar, apuração e saneamento.</w:t>
            </w:r>
          </w:p>
        </w:tc>
        <w:tc>
          <w:tcPr>
            <w:tcW w:w="1680" w:type="dxa"/>
            <w:shd w:val="clear" w:color="auto" w:fill="auto"/>
            <w:vAlign w:val="center"/>
          </w:tcPr>
          <w:p w14:paraId="6B045B32" w14:textId="77777777" w:rsidR="001C7E6F" w:rsidRDefault="001C7E6F" w:rsidP="00BD3046">
            <w:pPr>
              <w:spacing w:after="0" w:line="240" w:lineRule="auto"/>
              <w:rPr>
                <w:sz w:val="14"/>
                <w:szCs w:val="14"/>
              </w:rPr>
            </w:pPr>
            <w:r>
              <w:rPr>
                <w:sz w:val="14"/>
                <w:szCs w:val="14"/>
              </w:rPr>
              <w:t>CI; OGF; Procuradoria</w:t>
            </w:r>
          </w:p>
        </w:tc>
      </w:tr>
      <w:tr w:rsidR="001C7E6F" w14:paraId="7C3A2A6B" w14:textId="77777777" w:rsidTr="00BD3046">
        <w:trPr>
          <w:trHeight w:val="20"/>
        </w:trPr>
        <w:tc>
          <w:tcPr>
            <w:tcW w:w="1129" w:type="dxa"/>
            <w:vMerge w:val="restart"/>
            <w:shd w:val="clear" w:color="auto" w:fill="auto"/>
            <w:vAlign w:val="center"/>
          </w:tcPr>
          <w:p w14:paraId="1E8AA485" w14:textId="77777777" w:rsidR="001C7E6F" w:rsidRDefault="001C7E6F" w:rsidP="00BD3046">
            <w:pPr>
              <w:spacing w:after="0" w:line="240" w:lineRule="auto"/>
              <w:rPr>
                <w:sz w:val="14"/>
                <w:szCs w:val="14"/>
              </w:rPr>
            </w:pPr>
            <w:r>
              <w:rPr>
                <w:sz w:val="14"/>
                <w:szCs w:val="14"/>
              </w:rPr>
              <w:t>Avaliativa</w:t>
            </w:r>
          </w:p>
        </w:tc>
        <w:tc>
          <w:tcPr>
            <w:tcW w:w="1721" w:type="dxa"/>
            <w:shd w:val="clear" w:color="auto" w:fill="auto"/>
            <w:vAlign w:val="center"/>
          </w:tcPr>
          <w:p w14:paraId="47D63C9C" w14:textId="77777777" w:rsidR="001C7E6F" w:rsidRPr="00290A4B" w:rsidRDefault="001C7E6F" w:rsidP="00BD3046">
            <w:pPr>
              <w:spacing w:after="0" w:line="240" w:lineRule="auto"/>
              <w:rPr>
                <w:sz w:val="14"/>
                <w:szCs w:val="14"/>
              </w:rPr>
            </w:pPr>
            <w:r w:rsidRPr="00290A4B">
              <w:rPr>
                <w:sz w:val="14"/>
                <w:szCs w:val="14"/>
              </w:rPr>
              <w:t>P36. Há mecanismos de monitoramento do cumprimento do Plano de Ação (PA) do Fundo?</w:t>
            </w:r>
          </w:p>
        </w:tc>
        <w:tc>
          <w:tcPr>
            <w:tcW w:w="495" w:type="dxa"/>
            <w:shd w:val="clear" w:color="auto" w:fill="auto"/>
            <w:vAlign w:val="center"/>
          </w:tcPr>
          <w:p w14:paraId="00E012A7"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FFFF00"/>
            <w:vAlign w:val="center"/>
          </w:tcPr>
          <w:p w14:paraId="2F384C50" w14:textId="77777777" w:rsidR="001C7E6F" w:rsidRDefault="001C7E6F" w:rsidP="00BD3046">
            <w:pPr>
              <w:spacing w:after="0" w:line="240" w:lineRule="auto"/>
              <w:rPr>
                <w:sz w:val="14"/>
                <w:szCs w:val="14"/>
              </w:rPr>
            </w:pPr>
            <w:r>
              <w:rPr>
                <w:sz w:val="14"/>
                <w:szCs w:val="14"/>
              </w:rPr>
              <w:t>R49. Ausência de acompanhamento contínuo e correção tempestiva.</w:t>
            </w:r>
          </w:p>
        </w:tc>
        <w:tc>
          <w:tcPr>
            <w:tcW w:w="1875" w:type="dxa"/>
            <w:shd w:val="clear" w:color="auto" w:fill="FFFF00"/>
            <w:vAlign w:val="center"/>
          </w:tcPr>
          <w:p w14:paraId="1DD46305" w14:textId="77777777" w:rsidR="001C7E6F" w:rsidRDefault="001C7E6F" w:rsidP="00BD3046">
            <w:pPr>
              <w:spacing w:after="0" w:line="240" w:lineRule="auto"/>
              <w:rPr>
                <w:sz w:val="14"/>
                <w:szCs w:val="14"/>
              </w:rPr>
            </w:pPr>
            <w:r>
              <w:rPr>
                <w:sz w:val="14"/>
                <w:szCs w:val="14"/>
              </w:rPr>
              <w:t>3 – MÉDIO</w:t>
            </w:r>
          </w:p>
          <w:p w14:paraId="77E78081" w14:textId="77777777" w:rsidR="001C7E6F" w:rsidRDefault="001C7E6F" w:rsidP="00BD3046">
            <w:pPr>
              <w:spacing w:after="0" w:line="240" w:lineRule="auto"/>
              <w:rPr>
                <w:sz w:val="14"/>
                <w:szCs w:val="14"/>
              </w:rPr>
            </w:pPr>
            <w:r>
              <w:rPr>
                <w:sz w:val="14"/>
                <w:szCs w:val="14"/>
              </w:rPr>
              <w:t>Execução sem ajustes de rota.</w:t>
            </w:r>
          </w:p>
        </w:tc>
        <w:tc>
          <w:tcPr>
            <w:tcW w:w="945" w:type="dxa"/>
            <w:vAlign w:val="center"/>
          </w:tcPr>
          <w:p w14:paraId="0739DA94"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51830574" w14:textId="77777777" w:rsidR="001C7E6F" w:rsidRDefault="001C7E6F" w:rsidP="00BD3046">
            <w:pPr>
              <w:spacing w:after="0" w:line="240" w:lineRule="auto"/>
              <w:jc w:val="center"/>
              <w:rPr>
                <w:sz w:val="14"/>
                <w:szCs w:val="14"/>
              </w:rPr>
            </w:pPr>
            <w:r>
              <w:rPr>
                <w:sz w:val="14"/>
                <w:szCs w:val="14"/>
              </w:rPr>
              <w:t>18</w:t>
            </w:r>
          </w:p>
        </w:tc>
        <w:tc>
          <w:tcPr>
            <w:tcW w:w="1920" w:type="dxa"/>
            <w:shd w:val="clear" w:color="auto" w:fill="auto"/>
            <w:vAlign w:val="center"/>
          </w:tcPr>
          <w:p w14:paraId="2A751AFE" w14:textId="77777777" w:rsidR="001C7E6F" w:rsidRDefault="001C7E6F" w:rsidP="00BD3046">
            <w:pPr>
              <w:spacing w:after="0" w:line="240" w:lineRule="auto"/>
              <w:rPr>
                <w:sz w:val="14"/>
                <w:szCs w:val="14"/>
              </w:rPr>
            </w:pPr>
            <w:r>
              <w:rPr>
                <w:sz w:val="14"/>
                <w:szCs w:val="14"/>
              </w:rPr>
              <w:t>Implantar painel de monitoramento com metas físicas e financeiras, prazos e responsáveis.</w:t>
            </w:r>
          </w:p>
        </w:tc>
        <w:tc>
          <w:tcPr>
            <w:tcW w:w="1695" w:type="dxa"/>
            <w:shd w:val="clear" w:color="auto" w:fill="auto"/>
            <w:vAlign w:val="center"/>
          </w:tcPr>
          <w:p w14:paraId="699952AB" w14:textId="77777777" w:rsidR="001C7E6F" w:rsidRDefault="001C7E6F" w:rsidP="00BD3046">
            <w:pPr>
              <w:spacing w:after="0" w:line="240" w:lineRule="auto"/>
              <w:rPr>
                <w:sz w:val="14"/>
                <w:szCs w:val="14"/>
              </w:rPr>
            </w:pPr>
            <w:r>
              <w:rPr>
                <w:sz w:val="14"/>
                <w:szCs w:val="14"/>
              </w:rPr>
              <w:t>Emitir relatórios extraordinários e planos de ação corretiva.</w:t>
            </w:r>
          </w:p>
        </w:tc>
        <w:tc>
          <w:tcPr>
            <w:tcW w:w="1680" w:type="dxa"/>
            <w:shd w:val="clear" w:color="auto" w:fill="auto"/>
            <w:vAlign w:val="center"/>
          </w:tcPr>
          <w:p w14:paraId="3A056681" w14:textId="77777777" w:rsidR="001C7E6F" w:rsidRDefault="001C7E6F" w:rsidP="00BD3046">
            <w:pPr>
              <w:spacing w:after="0" w:line="240" w:lineRule="auto"/>
              <w:rPr>
                <w:sz w:val="14"/>
                <w:szCs w:val="14"/>
              </w:rPr>
            </w:pPr>
            <w:r>
              <w:rPr>
                <w:sz w:val="14"/>
                <w:szCs w:val="14"/>
              </w:rPr>
              <w:t>OGF; Unidade de Monitoramento/Avaliação; CGF</w:t>
            </w:r>
          </w:p>
        </w:tc>
      </w:tr>
      <w:tr w:rsidR="001C7E6F" w14:paraId="215DA07F" w14:textId="77777777" w:rsidTr="00BD3046">
        <w:trPr>
          <w:trHeight w:val="20"/>
        </w:trPr>
        <w:tc>
          <w:tcPr>
            <w:tcW w:w="1129" w:type="dxa"/>
            <w:vMerge/>
            <w:shd w:val="clear" w:color="auto" w:fill="auto"/>
            <w:vAlign w:val="center"/>
          </w:tcPr>
          <w:p w14:paraId="5E7A369E"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118E2D08" w14:textId="77777777" w:rsidR="001C7E6F" w:rsidRPr="00290A4B" w:rsidRDefault="001C7E6F" w:rsidP="00BD3046">
            <w:pPr>
              <w:spacing w:after="0" w:line="240" w:lineRule="auto"/>
              <w:rPr>
                <w:sz w:val="14"/>
                <w:szCs w:val="14"/>
              </w:rPr>
            </w:pPr>
            <w:r w:rsidRPr="00290A4B">
              <w:rPr>
                <w:sz w:val="14"/>
                <w:szCs w:val="14"/>
              </w:rPr>
              <w:t>P56. As ações planejadas foram executadas (totais liquidados por ação) em ≥ 85% do valor autorizado?</w:t>
            </w:r>
          </w:p>
        </w:tc>
        <w:tc>
          <w:tcPr>
            <w:tcW w:w="495" w:type="dxa"/>
            <w:shd w:val="clear" w:color="auto" w:fill="auto"/>
            <w:vAlign w:val="center"/>
          </w:tcPr>
          <w:p w14:paraId="16625963"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E36C09"/>
            <w:vAlign w:val="center"/>
          </w:tcPr>
          <w:p w14:paraId="560BD765" w14:textId="77777777" w:rsidR="001C7E6F" w:rsidRDefault="001C7E6F" w:rsidP="00BD3046">
            <w:pPr>
              <w:spacing w:after="0" w:line="240" w:lineRule="auto"/>
              <w:rPr>
                <w:sz w:val="14"/>
                <w:szCs w:val="14"/>
              </w:rPr>
            </w:pPr>
            <w:r>
              <w:rPr>
                <w:sz w:val="14"/>
                <w:szCs w:val="14"/>
              </w:rPr>
              <w:t>R50. Metas de entrega física não cumpridas.</w:t>
            </w:r>
          </w:p>
        </w:tc>
        <w:tc>
          <w:tcPr>
            <w:tcW w:w="1875" w:type="dxa"/>
            <w:shd w:val="clear" w:color="auto" w:fill="E36C09"/>
            <w:vAlign w:val="center"/>
          </w:tcPr>
          <w:p w14:paraId="1F5332E2" w14:textId="77777777" w:rsidR="001C7E6F" w:rsidRDefault="001C7E6F" w:rsidP="00BD3046">
            <w:pPr>
              <w:spacing w:after="0" w:line="240" w:lineRule="auto"/>
              <w:rPr>
                <w:sz w:val="14"/>
                <w:szCs w:val="14"/>
              </w:rPr>
            </w:pPr>
            <w:r>
              <w:rPr>
                <w:sz w:val="14"/>
                <w:szCs w:val="14"/>
              </w:rPr>
              <w:t>4 – ALTO</w:t>
            </w:r>
          </w:p>
          <w:p w14:paraId="55D3BEE0" w14:textId="77777777" w:rsidR="001C7E6F" w:rsidRDefault="001C7E6F" w:rsidP="00BD3046">
            <w:pPr>
              <w:spacing w:after="0" w:line="240" w:lineRule="auto"/>
              <w:rPr>
                <w:sz w:val="14"/>
                <w:szCs w:val="14"/>
              </w:rPr>
            </w:pPr>
            <w:r>
              <w:rPr>
                <w:sz w:val="14"/>
                <w:szCs w:val="14"/>
              </w:rPr>
              <w:t>Compromete a eficácia do Fundo e dos direitos sociais.</w:t>
            </w:r>
          </w:p>
        </w:tc>
        <w:tc>
          <w:tcPr>
            <w:tcW w:w="945" w:type="dxa"/>
            <w:vAlign w:val="center"/>
          </w:tcPr>
          <w:p w14:paraId="374E68BF"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56154B44" w14:textId="77777777" w:rsidR="001C7E6F" w:rsidRDefault="001C7E6F" w:rsidP="00BD3046">
            <w:pPr>
              <w:spacing w:after="0" w:line="240" w:lineRule="auto"/>
              <w:jc w:val="center"/>
              <w:rPr>
                <w:sz w:val="14"/>
                <w:szCs w:val="14"/>
              </w:rPr>
            </w:pPr>
            <w:r>
              <w:rPr>
                <w:sz w:val="14"/>
                <w:szCs w:val="14"/>
              </w:rPr>
              <w:t>36</w:t>
            </w:r>
          </w:p>
        </w:tc>
        <w:tc>
          <w:tcPr>
            <w:tcW w:w="1920" w:type="dxa"/>
            <w:shd w:val="clear" w:color="auto" w:fill="auto"/>
            <w:vAlign w:val="center"/>
          </w:tcPr>
          <w:p w14:paraId="09F54E6B" w14:textId="77777777" w:rsidR="001C7E6F" w:rsidRDefault="001C7E6F" w:rsidP="00BD3046">
            <w:pPr>
              <w:spacing w:after="0" w:line="240" w:lineRule="auto"/>
              <w:rPr>
                <w:sz w:val="14"/>
                <w:szCs w:val="14"/>
              </w:rPr>
            </w:pPr>
            <w:r>
              <w:rPr>
                <w:sz w:val="14"/>
                <w:szCs w:val="14"/>
              </w:rPr>
              <w:t>Elaborar planejamento com base no princípio do realismo orçamentário.</w:t>
            </w:r>
          </w:p>
        </w:tc>
        <w:tc>
          <w:tcPr>
            <w:tcW w:w="1695" w:type="dxa"/>
            <w:shd w:val="clear" w:color="auto" w:fill="auto"/>
            <w:vAlign w:val="center"/>
          </w:tcPr>
          <w:p w14:paraId="22CE02C4" w14:textId="77777777" w:rsidR="001C7E6F" w:rsidRDefault="001C7E6F" w:rsidP="00BD3046">
            <w:pPr>
              <w:spacing w:after="0" w:line="240" w:lineRule="auto"/>
              <w:rPr>
                <w:sz w:val="14"/>
                <w:szCs w:val="14"/>
              </w:rPr>
            </w:pPr>
            <w:r>
              <w:rPr>
                <w:sz w:val="14"/>
                <w:szCs w:val="14"/>
              </w:rPr>
              <w:t>Reprogramar ações com foco finalístico.</w:t>
            </w:r>
          </w:p>
        </w:tc>
        <w:tc>
          <w:tcPr>
            <w:tcW w:w="1680" w:type="dxa"/>
            <w:shd w:val="clear" w:color="auto" w:fill="auto"/>
            <w:vAlign w:val="center"/>
          </w:tcPr>
          <w:p w14:paraId="544CCCE7" w14:textId="77777777" w:rsidR="001C7E6F" w:rsidRDefault="001C7E6F" w:rsidP="00BD3046">
            <w:pPr>
              <w:spacing w:after="0" w:line="240" w:lineRule="auto"/>
              <w:rPr>
                <w:sz w:val="14"/>
                <w:szCs w:val="14"/>
              </w:rPr>
            </w:pPr>
            <w:r>
              <w:rPr>
                <w:sz w:val="14"/>
                <w:szCs w:val="14"/>
              </w:rPr>
              <w:t>OGF; CGF</w:t>
            </w:r>
          </w:p>
        </w:tc>
      </w:tr>
      <w:tr w:rsidR="001C7E6F" w14:paraId="3823F93B" w14:textId="77777777" w:rsidTr="00BD3046">
        <w:trPr>
          <w:trHeight w:val="20"/>
        </w:trPr>
        <w:tc>
          <w:tcPr>
            <w:tcW w:w="1129" w:type="dxa"/>
            <w:vMerge/>
            <w:shd w:val="clear" w:color="auto" w:fill="auto"/>
            <w:vAlign w:val="center"/>
          </w:tcPr>
          <w:p w14:paraId="1FE2F52A"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60E41B9B" w14:textId="77777777" w:rsidR="001C7E6F" w:rsidRPr="00290A4B" w:rsidRDefault="001C7E6F" w:rsidP="00BD3046">
            <w:pPr>
              <w:spacing w:after="0" w:line="240" w:lineRule="auto"/>
              <w:rPr>
                <w:sz w:val="14"/>
                <w:szCs w:val="14"/>
              </w:rPr>
            </w:pPr>
            <w:r w:rsidRPr="00290A4B">
              <w:rPr>
                <w:sz w:val="14"/>
                <w:szCs w:val="14"/>
              </w:rPr>
              <w:t>P57. Não há indícios de desvio de finalidade?</w:t>
            </w:r>
          </w:p>
        </w:tc>
        <w:tc>
          <w:tcPr>
            <w:tcW w:w="495" w:type="dxa"/>
            <w:shd w:val="clear" w:color="auto" w:fill="auto"/>
            <w:vAlign w:val="center"/>
          </w:tcPr>
          <w:p w14:paraId="2A03F0DC"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E36C09"/>
            <w:vAlign w:val="center"/>
          </w:tcPr>
          <w:p w14:paraId="743C02CF" w14:textId="77777777" w:rsidR="001C7E6F" w:rsidRDefault="001C7E6F" w:rsidP="00BD3046">
            <w:pPr>
              <w:spacing w:after="0" w:line="240" w:lineRule="auto"/>
              <w:rPr>
                <w:sz w:val="14"/>
                <w:szCs w:val="14"/>
              </w:rPr>
            </w:pPr>
            <w:r>
              <w:rPr>
                <w:sz w:val="14"/>
                <w:szCs w:val="14"/>
              </w:rPr>
              <w:t>R51. Uso indevido de recursos.</w:t>
            </w:r>
          </w:p>
        </w:tc>
        <w:tc>
          <w:tcPr>
            <w:tcW w:w="1875" w:type="dxa"/>
            <w:shd w:val="clear" w:color="auto" w:fill="E36C09"/>
            <w:vAlign w:val="center"/>
          </w:tcPr>
          <w:p w14:paraId="3D44A5B4" w14:textId="77777777" w:rsidR="001C7E6F" w:rsidRDefault="001C7E6F" w:rsidP="00BD3046">
            <w:pPr>
              <w:spacing w:after="0" w:line="240" w:lineRule="auto"/>
              <w:rPr>
                <w:sz w:val="14"/>
                <w:szCs w:val="14"/>
              </w:rPr>
            </w:pPr>
            <w:r>
              <w:rPr>
                <w:sz w:val="14"/>
                <w:szCs w:val="14"/>
              </w:rPr>
              <w:t>4 – ALTO</w:t>
            </w:r>
          </w:p>
          <w:p w14:paraId="0D95B074" w14:textId="77777777" w:rsidR="001C7E6F" w:rsidRDefault="001C7E6F" w:rsidP="00BD3046">
            <w:pPr>
              <w:spacing w:after="0" w:line="240" w:lineRule="auto"/>
              <w:rPr>
                <w:sz w:val="14"/>
                <w:szCs w:val="14"/>
              </w:rPr>
            </w:pPr>
            <w:r>
              <w:rPr>
                <w:sz w:val="14"/>
                <w:szCs w:val="14"/>
              </w:rPr>
              <w:t>Risco de improbidade, devolução de valores ao Fundo e sanções.</w:t>
            </w:r>
          </w:p>
        </w:tc>
        <w:tc>
          <w:tcPr>
            <w:tcW w:w="945" w:type="dxa"/>
            <w:vAlign w:val="center"/>
          </w:tcPr>
          <w:p w14:paraId="429EFF3F"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68B2FB10" w14:textId="77777777" w:rsidR="001C7E6F" w:rsidRDefault="001C7E6F" w:rsidP="00BD3046">
            <w:pPr>
              <w:spacing w:after="0" w:line="240" w:lineRule="auto"/>
              <w:jc w:val="center"/>
              <w:rPr>
                <w:sz w:val="14"/>
                <w:szCs w:val="14"/>
              </w:rPr>
            </w:pPr>
            <w:r>
              <w:rPr>
                <w:sz w:val="14"/>
                <w:szCs w:val="14"/>
              </w:rPr>
              <w:t>36</w:t>
            </w:r>
          </w:p>
        </w:tc>
        <w:tc>
          <w:tcPr>
            <w:tcW w:w="1920" w:type="dxa"/>
            <w:shd w:val="clear" w:color="auto" w:fill="auto"/>
            <w:vAlign w:val="center"/>
          </w:tcPr>
          <w:p w14:paraId="35567339" w14:textId="77777777" w:rsidR="001C7E6F" w:rsidRDefault="001C7E6F" w:rsidP="00BD3046">
            <w:pPr>
              <w:spacing w:after="0" w:line="240" w:lineRule="auto"/>
              <w:rPr>
                <w:sz w:val="14"/>
                <w:szCs w:val="14"/>
              </w:rPr>
            </w:pPr>
            <w:r>
              <w:rPr>
                <w:sz w:val="14"/>
                <w:szCs w:val="14"/>
              </w:rPr>
              <w:t>Trâmite jurídico prévio de elegibilidade.</w:t>
            </w:r>
          </w:p>
        </w:tc>
        <w:tc>
          <w:tcPr>
            <w:tcW w:w="1695" w:type="dxa"/>
            <w:shd w:val="clear" w:color="auto" w:fill="auto"/>
            <w:vAlign w:val="center"/>
          </w:tcPr>
          <w:p w14:paraId="508F2673" w14:textId="77777777" w:rsidR="001C7E6F" w:rsidRDefault="001C7E6F" w:rsidP="00BD3046">
            <w:pPr>
              <w:spacing w:after="0" w:line="240" w:lineRule="auto"/>
              <w:rPr>
                <w:sz w:val="14"/>
                <w:szCs w:val="14"/>
              </w:rPr>
            </w:pPr>
            <w:r>
              <w:rPr>
                <w:sz w:val="14"/>
                <w:szCs w:val="14"/>
              </w:rPr>
              <w:t>Anular empenhos e restituir recursos à finalidade do Fundo.</w:t>
            </w:r>
          </w:p>
        </w:tc>
        <w:tc>
          <w:tcPr>
            <w:tcW w:w="1680" w:type="dxa"/>
            <w:shd w:val="clear" w:color="auto" w:fill="auto"/>
            <w:vAlign w:val="center"/>
          </w:tcPr>
          <w:p w14:paraId="1EC2F454" w14:textId="77777777" w:rsidR="001C7E6F" w:rsidRDefault="001C7E6F" w:rsidP="00BD3046">
            <w:pPr>
              <w:spacing w:after="0" w:line="240" w:lineRule="auto"/>
              <w:rPr>
                <w:sz w:val="14"/>
                <w:szCs w:val="14"/>
              </w:rPr>
            </w:pPr>
            <w:r>
              <w:rPr>
                <w:sz w:val="14"/>
                <w:szCs w:val="14"/>
              </w:rPr>
              <w:t>OGF; CGF; Procuradoria; CI</w:t>
            </w:r>
          </w:p>
        </w:tc>
      </w:tr>
      <w:tr w:rsidR="001C7E6F" w14:paraId="649680C8" w14:textId="77777777" w:rsidTr="00BD3046">
        <w:trPr>
          <w:trHeight w:val="20"/>
        </w:trPr>
        <w:tc>
          <w:tcPr>
            <w:tcW w:w="1129" w:type="dxa"/>
            <w:vMerge/>
            <w:shd w:val="clear" w:color="auto" w:fill="auto"/>
            <w:vAlign w:val="center"/>
          </w:tcPr>
          <w:p w14:paraId="571D278C"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1482FAE8" w14:textId="77777777" w:rsidR="001C7E6F" w:rsidRPr="00290A4B" w:rsidRDefault="001C7E6F" w:rsidP="00BD3046">
            <w:pPr>
              <w:spacing w:after="0" w:line="240" w:lineRule="auto"/>
              <w:rPr>
                <w:sz w:val="14"/>
                <w:szCs w:val="14"/>
              </w:rPr>
            </w:pPr>
            <w:r w:rsidRPr="00290A4B">
              <w:rPr>
                <w:sz w:val="14"/>
                <w:szCs w:val="14"/>
              </w:rPr>
              <w:t>P58. Há avaliação anual dos recursos com divulgação pública dos resultados?</w:t>
            </w:r>
          </w:p>
        </w:tc>
        <w:tc>
          <w:tcPr>
            <w:tcW w:w="495" w:type="dxa"/>
            <w:shd w:val="clear" w:color="auto" w:fill="auto"/>
            <w:vAlign w:val="center"/>
          </w:tcPr>
          <w:p w14:paraId="7FE04FF9"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FFFF00"/>
            <w:vAlign w:val="center"/>
          </w:tcPr>
          <w:p w14:paraId="5B68FE6A" w14:textId="77777777" w:rsidR="001C7E6F" w:rsidRDefault="001C7E6F" w:rsidP="00BD3046">
            <w:pPr>
              <w:spacing w:after="0" w:line="240" w:lineRule="auto"/>
              <w:rPr>
                <w:sz w:val="14"/>
                <w:szCs w:val="14"/>
              </w:rPr>
            </w:pPr>
            <w:r>
              <w:rPr>
                <w:sz w:val="14"/>
                <w:szCs w:val="14"/>
              </w:rPr>
              <w:t xml:space="preserve">R52. Falta </w:t>
            </w:r>
            <w:r>
              <w:rPr>
                <w:i/>
                <w:sz w:val="14"/>
                <w:szCs w:val="14"/>
              </w:rPr>
              <w:t>accountability</w:t>
            </w:r>
            <w:r>
              <w:rPr>
                <w:sz w:val="14"/>
                <w:szCs w:val="14"/>
              </w:rPr>
              <w:t xml:space="preserve"> para os resultados e risco de desvio de finalidade.</w:t>
            </w:r>
          </w:p>
        </w:tc>
        <w:tc>
          <w:tcPr>
            <w:tcW w:w="1875" w:type="dxa"/>
            <w:shd w:val="clear" w:color="auto" w:fill="FFFF00"/>
            <w:vAlign w:val="center"/>
          </w:tcPr>
          <w:p w14:paraId="65F50531" w14:textId="77777777" w:rsidR="001C7E6F" w:rsidRDefault="001C7E6F" w:rsidP="00BD3046">
            <w:pPr>
              <w:spacing w:after="0" w:line="240" w:lineRule="auto"/>
              <w:rPr>
                <w:sz w:val="14"/>
                <w:szCs w:val="14"/>
              </w:rPr>
            </w:pPr>
            <w:r>
              <w:rPr>
                <w:sz w:val="14"/>
                <w:szCs w:val="14"/>
              </w:rPr>
              <w:t>3 – MÉDIO</w:t>
            </w:r>
          </w:p>
          <w:p w14:paraId="03D51D18" w14:textId="77777777" w:rsidR="001C7E6F" w:rsidRDefault="001C7E6F" w:rsidP="00BD3046">
            <w:pPr>
              <w:spacing w:after="0" w:line="240" w:lineRule="auto"/>
              <w:rPr>
                <w:sz w:val="14"/>
                <w:szCs w:val="14"/>
              </w:rPr>
            </w:pPr>
            <w:r>
              <w:rPr>
                <w:sz w:val="14"/>
                <w:szCs w:val="14"/>
              </w:rPr>
              <w:t>Perda de confiança social.</w:t>
            </w:r>
          </w:p>
        </w:tc>
        <w:tc>
          <w:tcPr>
            <w:tcW w:w="945" w:type="dxa"/>
            <w:vAlign w:val="center"/>
          </w:tcPr>
          <w:p w14:paraId="21C9D19A"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567AB70B" w14:textId="77777777" w:rsidR="001C7E6F" w:rsidRDefault="001C7E6F" w:rsidP="00BD3046">
            <w:pPr>
              <w:spacing w:after="0" w:line="240" w:lineRule="auto"/>
              <w:jc w:val="center"/>
              <w:rPr>
                <w:sz w:val="14"/>
                <w:szCs w:val="14"/>
              </w:rPr>
            </w:pPr>
            <w:r>
              <w:rPr>
                <w:sz w:val="14"/>
                <w:szCs w:val="14"/>
              </w:rPr>
              <w:t>18</w:t>
            </w:r>
          </w:p>
        </w:tc>
        <w:tc>
          <w:tcPr>
            <w:tcW w:w="1920" w:type="dxa"/>
            <w:shd w:val="clear" w:color="auto" w:fill="auto"/>
            <w:vAlign w:val="center"/>
          </w:tcPr>
          <w:p w14:paraId="3CCD0061" w14:textId="77777777" w:rsidR="001C7E6F" w:rsidRDefault="001C7E6F" w:rsidP="00BD3046">
            <w:pPr>
              <w:spacing w:after="0" w:line="240" w:lineRule="auto"/>
              <w:rPr>
                <w:sz w:val="14"/>
                <w:szCs w:val="14"/>
              </w:rPr>
            </w:pPr>
            <w:r>
              <w:rPr>
                <w:sz w:val="14"/>
                <w:szCs w:val="14"/>
              </w:rPr>
              <w:t>Tornar obrigatórios relatórios anuais com dados abertos.</w:t>
            </w:r>
          </w:p>
        </w:tc>
        <w:tc>
          <w:tcPr>
            <w:tcW w:w="1695" w:type="dxa"/>
            <w:shd w:val="clear" w:color="auto" w:fill="auto"/>
            <w:vAlign w:val="center"/>
          </w:tcPr>
          <w:p w14:paraId="1F946BD9" w14:textId="77777777" w:rsidR="001C7E6F" w:rsidRDefault="001C7E6F" w:rsidP="00BD3046">
            <w:pPr>
              <w:spacing w:after="0" w:line="240" w:lineRule="auto"/>
              <w:rPr>
                <w:sz w:val="14"/>
                <w:szCs w:val="14"/>
              </w:rPr>
            </w:pPr>
            <w:r>
              <w:rPr>
                <w:sz w:val="14"/>
                <w:szCs w:val="14"/>
              </w:rPr>
              <w:t>Publicar avaliação retroativa e plano de melhorias.</w:t>
            </w:r>
          </w:p>
        </w:tc>
        <w:tc>
          <w:tcPr>
            <w:tcW w:w="1680" w:type="dxa"/>
            <w:shd w:val="clear" w:color="auto" w:fill="auto"/>
            <w:vAlign w:val="center"/>
          </w:tcPr>
          <w:p w14:paraId="1BFA18CF" w14:textId="77777777" w:rsidR="001C7E6F" w:rsidRDefault="001C7E6F" w:rsidP="00BD3046">
            <w:pPr>
              <w:spacing w:after="0" w:line="240" w:lineRule="auto"/>
              <w:rPr>
                <w:sz w:val="14"/>
                <w:szCs w:val="14"/>
              </w:rPr>
            </w:pPr>
            <w:r>
              <w:rPr>
                <w:sz w:val="14"/>
                <w:szCs w:val="14"/>
              </w:rPr>
              <w:t>OGF; Unidade de Avaliação; CGF; Unidade de Transparência/TI</w:t>
            </w:r>
          </w:p>
        </w:tc>
      </w:tr>
      <w:tr w:rsidR="001C7E6F" w14:paraId="1ED167FB" w14:textId="77777777" w:rsidTr="00BD3046">
        <w:trPr>
          <w:trHeight w:val="20"/>
        </w:trPr>
        <w:tc>
          <w:tcPr>
            <w:tcW w:w="1129" w:type="dxa"/>
            <w:vMerge/>
            <w:shd w:val="clear" w:color="auto" w:fill="auto"/>
            <w:vAlign w:val="center"/>
          </w:tcPr>
          <w:p w14:paraId="7CD772B6"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7058AC32" w14:textId="77777777" w:rsidR="001C7E6F" w:rsidRPr="00290A4B" w:rsidRDefault="001C7E6F" w:rsidP="00BD3046">
            <w:pPr>
              <w:spacing w:after="0" w:line="240" w:lineRule="auto"/>
              <w:rPr>
                <w:sz w:val="14"/>
                <w:szCs w:val="14"/>
              </w:rPr>
            </w:pPr>
            <w:r w:rsidRPr="00290A4B">
              <w:rPr>
                <w:sz w:val="14"/>
                <w:szCs w:val="14"/>
              </w:rPr>
              <w:t>P59. Indicadores de resultados vinculados à redução da pobreza são monitorados e demonstrados em relatórios de avaliação orçamentária?</w:t>
            </w:r>
          </w:p>
        </w:tc>
        <w:tc>
          <w:tcPr>
            <w:tcW w:w="495" w:type="dxa"/>
            <w:shd w:val="clear" w:color="auto" w:fill="auto"/>
            <w:vAlign w:val="center"/>
          </w:tcPr>
          <w:p w14:paraId="14D2F294"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FFFF00"/>
            <w:vAlign w:val="center"/>
          </w:tcPr>
          <w:p w14:paraId="7BB0C757" w14:textId="77777777" w:rsidR="001C7E6F" w:rsidRDefault="001C7E6F" w:rsidP="00BD3046">
            <w:pPr>
              <w:spacing w:after="0" w:line="240" w:lineRule="auto"/>
              <w:rPr>
                <w:sz w:val="14"/>
                <w:szCs w:val="14"/>
              </w:rPr>
            </w:pPr>
            <w:r>
              <w:rPr>
                <w:sz w:val="14"/>
                <w:szCs w:val="14"/>
              </w:rPr>
              <w:t>R53. Ausência de evidência do impacto social gerado.</w:t>
            </w:r>
          </w:p>
        </w:tc>
        <w:tc>
          <w:tcPr>
            <w:tcW w:w="1875" w:type="dxa"/>
            <w:shd w:val="clear" w:color="auto" w:fill="FFFF00"/>
            <w:vAlign w:val="center"/>
          </w:tcPr>
          <w:p w14:paraId="47DC61EC" w14:textId="77777777" w:rsidR="001C7E6F" w:rsidRDefault="001C7E6F" w:rsidP="00BD3046">
            <w:pPr>
              <w:spacing w:after="0" w:line="240" w:lineRule="auto"/>
              <w:rPr>
                <w:sz w:val="14"/>
                <w:szCs w:val="14"/>
              </w:rPr>
            </w:pPr>
            <w:r>
              <w:rPr>
                <w:sz w:val="14"/>
                <w:szCs w:val="14"/>
              </w:rPr>
              <w:t>3 – MÉDIO</w:t>
            </w:r>
          </w:p>
          <w:p w14:paraId="6CA56463" w14:textId="77777777" w:rsidR="001C7E6F" w:rsidRDefault="001C7E6F" w:rsidP="00BD3046">
            <w:pPr>
              <w:spacing w:after="0" w:line="240" w:lineRule="auto"/>
              <w:rPr>
                <w:sz w:val="14"/>
                <w:szCs w:val="14"/>
              </w:rPr>
            </w:pPr>
            <w:r>
              <w:rPr>
                <w:sz w:val="14"/>
                <w:szCs w:val="14"/>
              </w:rPr>
              <w:t>Dificulta justificar a cobrança do adicional para o Fundo e priorizar ações.</w:t>
            </w:r>
          </w:p>
        </w:tc>
        <w:tc>
          <w:tcPr>
            <w:tcW w:w="945" w:type="dxa"/>
            <w:vAlign w:val="center"/>
          </w:tcPr>
          <w:p w14:paraId="20091903"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18114310" w14:textId="77777777" w:rsidR="001C7E6F" w:rsidRDefault="001C7E6F" w:rsidP="00BD3046">
            <w:pPr>
              <w:spacing w:after="0" w:line="240" w:lineRule="auto"/>
              <w:jc w:val="center"/>
              <w:rPr>
                <w:sz w:val="14"/>
                <w:szCs w:val="14"/>
              </w:rPr>
            </w:pPr>
            <w:r>
              <w:rPr>
                <w:sz w:val="14"/>
                <w:szCs w:val="14"/>
              </w:rPr>
              <w:t>18</w:t>
            </w:r>
          </w:p>
        </w:tc>
        <w:tc>
          <w:tcPr>
            <w:tcW w:w="1920" w:type="dxa"/>
            <w:shd w:val="clear" w:color="auto" w:fill="auto"/>
            <w:vAlign w:val="center"/>
          </w:tcPr>
          <w:p w14:paraId="69466E6A" w14:textId="77777777" w:rsidR="001C7E6F" w:rsidRDefault="001C7E6F" w:rsidP="00BD3046">
            <w:pPr>
              <w:spacing w:after="0" w:line="240" w:lineRule="auto"/>
              <w:rPr>
                <w:sz w:val="14"/>
                <w:szCs w:val="14"/>
              </w:rPr>
            </w:pPr>
            <w:r>
              <w:rPr>
                <w:sz w:val="14"/>
                <w:szCs w:val="14"/>
              </w:rPr>
              <w:t>Implantar painel de indicadores com série histórica e metas.</w:t>
            </w:r>
          </w:p>
        </w:tc>
        <w:tc>
          <w:tcPr>
            <w:tcW w:w="1695" w:type="dxa"/>
            <w:shd w:val="clear" w:color="auto" w:fill="auto"/>
            <w:vAlign w:val="center"/>
          </w:tcPr>
          <w:p w14:paraId="4E06BBCA" w14:textId="77777777" w:rsidR="001C7E6F" w:rsidRDefault="001C7E6F" w:rsidP="00BD3046">
            <w:pPr>
              <w:spacing w:after="0" w:line="240" w:lineRule="auto"/>
              <w:rPr>
                <w:sz w:val="14"/>
                <w:szCs w:val="14"/>
              </w:rPr>
            </w:pPr>
            <w:r>
              <w:rPr>
                <w:sz w:val="14"/>
                <w:szCs w:val="14"/>
              </w:rPr>
              <w:t>Realizar estudos retrospectivos de impacto.</w:t>
            </w:r>
          </w:p>
        </w:tc>
        <w:tc>
          <w:tcPr>
            <w:tcW w:w="1680" w:type="dxa"/>
            <w:shd w:val="clear" w:color="auto" w:fill="auto"/>
            <w:vAlign w:val="center"/>
          </w:tcPr>
          <w:p w14:paraId="735F01B5" w14:textId="77777777" w:rsidR="001C7E6F" w:rsidRDefault="001C7E6F" w:rsidP="00BD3046">
            <w:pPr>
              <w:spacing w:after="0" w:line="240" w:lineRule="auto"/>
              <w:rPr>
                <w:sz w:val="14"/>
                <w:szCs w:val="14"/>
              </w:rPr>
            </w:pPr>
            <w:r>
              <w:rPr>
                <w:sz w:val="14"/>
                <w:szCs w:val="14"/>
              </w:rPr>
              <w:t>Unidade de Avaliação; OGF; CGF; SEPLAG</w:t>
            </w:r>
          </w:p>
        </w:tc>
      </w:tr>
      <w:tr w:rsidR="001C7E6F" w14:paraId="2CA87E6E" w14:textId="77777777" w:rsidTr="00BD3046">
        <w:trPr>
          <w:trHeight w:val="20"/>
        </w:trPr>
        <w:tc>
          <w:tcPr>
            <w:tcW w:w="1129" w:type="dxa"/>
            <w:vMerge/>
            <w:shd w:val="clear" w:color="auto" w:fill="auto"/>
            <w:vAlign w:val="center"/>
          </w:tcPr>
          <w:p w14:paraId="628EB8F6" w14:textId="77777777" w:rsidR="001C7E6F" w:rsidRDefault="001C7E6F" w:rsidP="00BD3046">
            <w:pPr>
              <w:widowControl w:val="0"/>
              <w:pBdr>
                <w:top w:val="nil"/>
                <w:left w:val="nil"/>
                <w:bottom w:val="nil"/>
                <w:right w:val="nil"/>
                <w:between w:val="nil"/>
              </w:pBdr>
              <w:spacing w:after="0"/>
              <w:rPr>
                <w:sz w:val="14"/>
                <w:szCs w:val="14"/>
              </w:rPr>
            </w:pPr>
          </w:p>
        </w:tc>
        <w:tc>
          <w:tcPr>
            <w:tcW w:w="1721" w:type="dxa"/>
            <w:shd w:val="clear" w:color="auto" w:fill="auto"/>
            <w:vAlign w:val="center"/>
          </w:tcPr>
          <w:p w14:paraId="185A98BA" w14:textId="77777777" w:rsidR="001C7E6F" w:rsidRPr="00290A4B" w:rsidRDefault="001C7E6F" w:rsidP="00BD3046">
            <w:pPr>
              <w:spacing w:after="0" w:line="240" w:lineRule="auto"/>
              <w:rPr>
                <w:sz w:val="14"/>
                <w:szCs w:val="14"/>
              </w:rPr>
            </w:pPr>
            <w:r w:rsidRPr="00290A4B">
              <w:rPr>
                <w:sz w:val="14"/>
                <w:szCs w:val="14"/>
              </w:rPr>
              <w:t>P61. Há evidências de impacto positivo em indicadores sociais (pobreza, renda e acesso a serviços)?</w:t>
            </w:r>
          </w:p>
        </w:tc>
        <w:tc>
          <w:tcPr>
            <w:tcW w:w="495" w:type="dxa"/>
            <w:shd w:val="clear" w:color="auto" w:fill="auto"/>
            <w:vAlign w:val="center"/>
          </w:tcPr>
          <w:p w14:paraId="66A1C580"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E36C09"/>
            <w:vAlign w:val="center"/>
          </w:tcPr>
          <w:p w14:paraId="6722A699" w14:textId="77777777" w:rsidR="001C7E6F" w:rsidRDefault="001C7E6F" w:rsidP="00BD3046">
            <w:pPr>
              <w:spacing w:after="0" w:line="240" w:lineRule="auto"/>
              <w:rPr>
                <w:sz w:val="14"/>
                <w:szCs w:val="14"/>
              </w:rPr>
            </w:pPr>
            <w:r>
              <w:rPr>
                <w:sz w:val="14"/>
                <w:szCs w:val="14"/>
              </w:rPr>
              <w:t>R54. Irrelevância social do Fundo; baixa efetividade.</w:t>
            </w:r>
          </w:p>
        </w:tc>
        <w:tc>
          <w:tcPr>
            <w:tcW w:w="1875" w:type="dxa"/>
            <w:shd w:val="clear" w:color="auto" w:fill="E36C09"/>
            <w:vAlign w:val="center"/>
          </w:tcPr>
          <w:p w14:paraId="375E3963" w14:textId="77777777" w:rsidR="001C7E6F" w:rsidRDefault="001C7E6F" w:rsidP="00BD3046">
            <w:pPr>
              <w:spacing w:after="0" w:line="240" w:lineRule="auto"/>
              <w:rPr>
                <w:sz w:val="14"/>
                <w:szCs w:val="14"/>
              </w:rPr>
            </w:pPr>
            <w:r>
              <w:rPr>
                <w:sz w:val="14"/>
                <w:szCs w:val="14"/>
              </w:rPr>
              <w:t>4 – ALTO</w:t>
            </w:r>
          </w:p>
          <w:p w14:paraId="34CC63D5" w14:textId="77777777" w:rsidR="001C7E6F" w:rsidRDefault="001C7E6F" w:rsidP="00BD3046">
            <w:pPr>
              <w:spacing w:after="0" w:line="240" w:lineRule="auto"/>
              <w:rPr>
                <w:sz w:val="14"/>
                <w:szCs w:val="14"/>
              </w:rPr>
            </w:pPr>
            <w:r>
              <w:rPr>
                <w:sz w:val="14"/>
                <w:szCs w:val="14"/>
              </w:rPr>
              <w:t>Perda de legitimidade e risco de descontinuidade.</w:t>
            </w:r>
          </w:p>
        </w:tc>
        <w:tc>
          <w:tcPr>
            <w:tcW w:w="945" w:type="dxa"/>
            <w:vAlign w:val="center"/>
          </w:tcPr>
          <w:p w14:paraId="201EA631"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52DA6809" w14:textId="77777777" w:rsidR="001C7E6F" w:rsidRDefault="001C7E6F" w:rsidP="00BD3046">
            <w:pPr>
              <w:spacing w:after="0" w:line="240" w:lineRule="auto"/>
              <w:jc w:val="center"/>
              <w:rPr>
                <w:sz w:val="14"/>
                <w:szCs w:val="14"/>
              </w:rPr>
            </w:pPr>
            <w:r>
              <w:rPr>
                <w:sz w:val="14"/>
                <w:szCs w:val="14"/>
              </w:rPr>
              <w:t>36</w:t>
            </w:r>
          </w:p>
        </w:tc>
        <w:tc>
          <w:tcPr>
            <w:tcW w:w="1920" w:type="dxa"/>
            <w:shd w:val="clear" w:color="auto" w:fill="auto"/>
            <w:vAlign w:val="center"/>
          </w:tcPr>
          <w:p w14:paraId="1FD610FD" w14:textId="77777777" w:rsidR="001C7E6F" w:rsidRDefault="001C7E6F" w:rsidP="00BD3046">
            <w:pPr>
              <w:spacing w:after="0" w:line="240" w:lineRule="auto"/>
              <w:rPr>
                <w:sz w:val="14"/>
                <w:szCs w:val="14"/>
              </w:rPr>
            </w:pPr>
            <w:r>
              <w:rPr>
                <w:sz w:val="14"/>
                <w:szCs w:val="14"/>
              </w:rPr>
              <w:t>Marco lógico; indicadores consistentes; avaliações periódicas.</w:t>
            </w:r>
          </w:p>
        </w:tc>
        <w:tc>
          <w:tcPr>
            <w:tcW w:w="1695" w:type="dxa"/>
            <w:shd w:val="clear" w:color="auto" w:fill="auto"/>
            <w:vAlign w:val="center"/>
          </w:tcPr>
          <w:p w14:paraId="72568D14" w14:textId="77777777" w:rsidR="001C7E6F" w:rsidRDefault="001C7E6F" w:rsidP="00BD3046">
            <w:pPr>
              <w:spacing w:after="0" w:line="240" w:lineRule="auto"/>
              <w:rPr>
                <w:sz w:val="14"/>
                <w:szCs w:val="14"/>
              </w:rPr>
            </w:pPr>
            <w:r>
              <w:rPr>
                <w:sz w:val="14"/>
                <w:szCs w:val="14"/>
              </w:rPr>
              <w:t>Redesenhar políticas; pilotos e escalonamento com base em evidência.</w:t>
            </w:r>
          </w:p>
        </w:tc>
        <w:tc>
          <w:tcPr>
            <w:tcW w:w="1680" w:type="dxa"/>
            <w:shd w:val="clear" w:color="auto" w:fill="auto"/>
            <w:vAlign w:val="center"/>
          </w:tcPr>
          <w:p w14:paraId="7D6F29EE" w14:textId="77777777" w:rsidR="001C7E6F" w:rsidRDefault="001C7E6F" w:rsidP="00BD3046">
            <w:pPr>
              <w:spacing w:after="0" w:line="240" w:lineRule="auto"/>
              <w:rPr>
                <w:sz w:val="14"/>
                <w:szCs w:val="14"/>
              </w:rPr>
            </w:pPr>
            <w:r>
              <w:rPr>
                <w:sz w:val="14"/>
                <w:szCs w:val="14"/>
              </w:rPr>
              <w:t>OGF; CGF; Unidade de Avaliação; Secretarias Finalísticas</w:t>
            </w:r>
          </w:p>
        </w:tc>
      </w:tr>
    </w:tbl>
    <w:p w14:paraId="57071C40" w14:textId="77777777" w:rsidR="001C7E6F" w:rsidRDefault="001C7E6F" w:rsidP="001C7E6F">
      <w:pPr>
        <w:pBdr>
          <w:top w:val="nil"/>
          <w:left w:val="nil"/>
          <w:bottom w:val="nil"/>
          <w:right w:val="nil"/>
          <w:between w:val="nil"/>
        </w:pBdr>
        <w:spacing w:after="300" w:line="360" w:lineRule="auto"/>
        <w:jc w:val="both"/>
      </w:pPr>
      <w:r>
        <w:rPr>
          <w:rFonts w:ascii="Arial" w:eastAsia="Arial" w:hAnsi="Arial" w:cs="Arial"/>
          <w:color w:val="000000"/>
          <w:sz w:val="20"/>
          <w:szCs w:val="20"/>
        </w:rPr>
        <w:t>Fonte: Elaboração própria.</w:t>
      </w:r>
    </w:p>
    <w:p w14:paraId="1DAD1691" w14:textId="7AE7B780" w:rsidR="001C7E6F"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pPr>
    </w:p>
    <w:p w14:paraId="63440768" w14:textId="1602E1D7" w:rsidR="001C7E6F" w:rsidRPr="001C7E6F" w:rsidRDefault="001C7E6F" w:rsidP="001C7E6F">
      <w:pPr>
        <w:keepNext/>
        <w:pBdr>
          <w:top w:val="nil"/>
          <w:left w:val="nil"/>
          <w:bottom w:val="nil"/>
          <w:right w:val="nil"/>
          <w:between w:val="nil"/>
        </w:pBdr>
        <w:spacing w:after="0" w:line="360" w:lineRule="auto"/>
        <w:jc w:val="center"/>
        <w:rPr>
          <w:rFonts w:ascii="Arial" w:eastAsia="Arial" w:hAnsi="Arial" w:cs="Arial"/>
          <w:color w:val="000000"/>
          <w:szCs w:val="20"/>
        </w:rPr>
      </w:pPr>
      <w:r w:rsidRPr="001C7E6F">
        <w:rPr>
          <w:rFonts w:ascii="Arial" w:eastAsia="Arial" w:hAnsi="Arial" w:cs="Arial"/>
          <w:color w:val="000000"/>
          <w:szCs w:val="20"/>
        </w:rPr>
        <w:lastRenderedPageBreak/>
        <w:t>ANEXO – MAPA DE CRITICIDADE E AVALIAÇÃO DOS RISCOS DO FECP-RJ</w:t>
      </w:r>
    </w:p>
    <w:tbl>
      <w:tblPr>
        <w:tblW w:w="1410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129"/>
        <w:gridCol w:w="1860"/>
        <w:gridCol w:w="495"/>
        <w:gridCol w:w="1680"/>
        <w:gridCol w:w="1875"/>
        <w:gridCol w:w="945"/>
        <w:gridCol w:w="825"/>
        <w:gridCol w:w="1920"/>
        <w:gridCol w:w="1695"/>
        <w:gridCol w:w="1680"/>
      </w:tblGrid>
      <w:tr w:rsidR="001C7E6F" w14:paraId="020E4884" w14:textId="77777777" w:rsidTr="00BD3046">
        <w:trPr>
          <w:trHeight w:val="20"/>
        </w:trPr>
        <w:tc>
          <w:tcPr>
            <w:tcW w:w="1129" w:type="dxa"/>
            <w:shd w:val="clear" w:color="auto" w:fill="auto"/>
            <w:vAlign w:val="center"/>
          </w:tcPr>
          <w:p w14:paraId="43DD045C" w14:textId="77777777" w:rsidR="001C7E6F" w:rsidRDefault="001C7E6F" w:rsidP="00BD3046">
            <w:pPr>
              <w:spacing w:after="0" w:line="240" w:lineRule="auto"/>
              <w:jc w:val="center"/>
              <w:rPr>
                <w:b/>
                <w:sz w:val="14"/>
                <w:szCs w:val="14"/>
              </w:rPr>
            </w:pPr>
            <w:r>
              <w:rPr>
                <w:b/>
                <w:sz w:val="14"/>
                <w:szCs w:val="14"/>
              </w:rPr>
              <w:t>Dimensão</w:t>
            </w:r>
          </w:p>
        </w:tc>
        <w:tc>
          <w:tcPr>
            <w:tcW w:w="1860" w:type="dxa"/>
            <w:shd w:val="clear" w:color="auto" w:fill="auto"/>
            <w:vAlign w:val="center"/>
          </w:tcPr>
          <w:p w14:paraId="10FD26A0" w14:textId="77777777" w:rsidR="001C7E6F" w:rsidRDefault="001C7E6F" w:rsidP="00BD3046">
            <w:pPr>
              <w:spacing w:after="0" w:line="240" w:lineRule="auto"/>
              <w:jc w:val="center"/>
              <w:rPr>
                <w:b/>
                <w:sz w:val="14"/>
                <w:szCs w:val="14"/>
              </w:rPr>
            </w:pPr>
            <w:r>
              <w:rPr>
                <w:b/>
                <w:sz w:val="14"/>
                <w:szCs w:val="14"/>
              </w:rPr>
              <w:t>Pergunta</w:t>
            </w:r>
          </w:p>
        </w:tc>
        <w:tc>
          <w:tcPr>
            <w:tcW w:w="495" w:type="dxa"/>
            <w:shd w:val="clear" w:color="auto" w:fill="auto"/>
            <w:vAlign w:val="center"/>
          </w:tcPr>
          <w:p w14:paraId="5ABF7C80" w14:textId="77777777" w:rsidR="001C7E6F" w:rsidRDefault="001C7E6F" w:rsidP="00BD3046">
            <w:pPr>
              <w:spacing w:after="0" w:line="240" w:lineRule="auto"/>
              <w:jc w:val="center"/>
              <w:rPr>
                <w:b/>
                <w:sz w:val="14"/>
                <w:szCs w:val="14"/>
              </w:rPr>
            </w:pPr>
            <w:r>
              <w:rPr>
                <w:b/>
                <w:sz w:val="14"/>
                <w:szCs w:val="14"/>
              </w:rPr>
              <w:t>Peso</w:t>
            </w:r>
          </w:p>
        </w:tc>
        <w:tc>
          <w:tcPr>
            <w:tcW w:w="1680" w:type="dxa"/>
            <w:shd w:val="clear" w:color="auto" w:fill="auto"/>
            <w:vAlign w:val="center"/>
          </w:tcPr>
          <w:p w14:paraId="7F181310" w14:textId="77777777" w:rsidR="001C7E6F" w:rsidRDefault="001C7E6F" w:rsidP="00BD3046">
            <w:pPr>
              <w:spacing w:after="0" w:line="240" w:lineRule="auto"/>
              <w:jc w:val="center"/>
              <w:rPr>
                <w:b/>
                <w:sz w:val="14"/>
                <w:szCs w:val="14"/>
              </w:rPr>
            </w:pPr>
            <w:r>
              <w:rPr>
                <w:b/>
                <w:sz w:val="14"/>
                <w:szCs w:val="14"/>
              </w:rPr>
              <w:t>Risco</w:t>
            </w:r>
          </w:p>
        </w:tc>
        <w:tc>
          <w:tcPr>
            <w:tcW w:w="1875" w:type="dxa"/>
            <w:shd w:val="clear" w:color="auto" w:fill="auto"/>
            <w:vAlign w:val="center"/>
          </w:tcPr>
          <w:p w14:paraId="59A0417A" w14:textId="77777777" w:rsidR="001C7E6F" w:rsidRDefault="001C7E6F" w:rsidP="00BD3046">
            <w:pPr>
              <w:spacing w:after="0" w:line="240" w:lineRule="auto"/>
              <w:jc w:val="center"/>
              <w:rPr>
                <w:b/>
                <w:sz w:val="14"/>
                <w:szCs w:val="14"/>
              </w:rPr>
            </w:pPr>
            <w:r>
              <w:rPr>
                <w:b/>
                <w:sz w:val="14"/>
                <w:szCs w:val="14"/>
              </w:rPr>
              <w:t>Impacto (1 a 5)</w:t>
            </w:r>
          </w:p>
        </w:tc>
        <w:tc>
          <w:tcPr>
            <w:tcW w:w="945" w:type="dxa"/>
            <w:vAlign w:val="center"/>
          </w:tcPr>
          <w:p w14:paraId="73FCB81D" w14:textId="77777777" w:rsidR="001C7E6F" w:rsidRDefault="001C7E6F" w:rsidP="00BD3046">
            <w:pPr>
              <w:spacing w:after="0" w:line="240" w:lineRule="auto"/>
              <w:jc w:val="center"/>
              <w:rPr>
                <w:b/>
                <w:sz w:val="14"/>
                <w:szCs w:val="14"/>
              </w:rPr>
            </w:pPr>
            <w:r>
              <w:rPr>
                <w:b/>
                <w:sz w:val="14"/>
                <w:szCs w:val="14"/>
              </w:rPr>
              <w:t>Probabilidade (1 a 5)</w:t>
            </w:r>
          </w:p>
        </w:tc>
        <w:tc>
          <w:tcPr>
            <w:tcW w:w="825" w:type="dxa"/>
            <w:vAlign w:val="center"/>
          </w:tcPr>
          <w:p w14:paraId="413025B9" w14:textId="77777777" w:rsidR="001C7E6F" w:rsidRDefault="001C7E6F" w:rsidP="00BD3046">
            <w:pPr>
              <w:spacing w:after="0" w:line="240" w:lineRule="auto"/>
              <w:jc w:val="center"/>
              <w:rPr>
                <w:b/>
                <w:sz w:val="14"/>
                <w:szCs w:val="14"/>
              </w:rPr>
            </w:pPr>
            <w:r>
              <w:rPr>
                <w:b/>
                <w:sz w:val="14"/>
                <w:szCs w:val="14"/>
              </w:rPr>
              <w:t>Criticidade</w:t>
            </w:r>
          </w:p>
          <w:p w14:paraId="6F240757" w14:textId="77777777" w:rsidR="001C7E6F" w:rsidRDefault="001C7E6F" w:rsidP="00BD3046">
            <w:pPr>
              <w:spacing w:after="0" w:line="240" w:lineRule="auto"/>
              <w:jc w:val="center"/>
              <w:rPr>
                <w:b/>
                <w:sz w:val="14"/>
                <w:szCs w:val="14"/>
              </w:rPr>
            </w:pPr>
            <w:r>
              <w:rPr>
                <w:b/>
                <w:sz w:val="14"/>
                <w:szCs w:val="14"/>
              </w:rPr>
              <w:t>(P x I x Prob.)</w:t>
            </w:r>
          </w:p>
        </w:tc>
        <w:tc>
          <w:tcPr>
            <w:tcW w:w="1920" w:type="dxa"/>
            <w:shd w:val="clear" w:color="auto" w:fill="auto"/>
            <w:vAlign w:val="center"/>
          </w:tcPr>
          <w:p w14:paraId="543A8C57" w14:textId="77777777" w:rsidR="001C7E6F" w:rsidRDefault="001C7E6F" w:rsidP="00BD3046">
            <w:pPr>
              <w:spacing w:after="0" w:line="240" w:lineRule="auto"/>
              <w:jc w:val="center"/>
              <w:rPr>
                <w:b/>
                <w:sz w:val="14"/>
                <w:szCs w:val="14"/>
              </w:rPr>
            </w:pPr>
            <w:r>
              <w:rPr>
                <w:b/>
                <w:sz w:val="14"/>
                <w:szCs w:val="14"/>
              </w:rPr>
              <w:t>Ação preventiva</w:t>
            </w:r>
          </w:p>
        </w:tc>
        <w:tc>
          <w:tcPr>
            <w:tcW w:w="1695" w:type="dxa"/>
            <w:shd w:val="clear" w:color="auto" w:fill="auto"/>
            <w:vAlign w:val="center"/>
          </w:tcPr>
          <w:p w14:paraId="6526C9A2" w14:textId="77777777" w:rsidR="001C7E6F" w:rsidRDefault="001C7E6F" w:rsidP="00BD3046">
            <w:pPr>
              <w:spacing w:after="0" w:line="240" w:lineRule="auto"/>
              <w:jc w:val="center"/>
              <w:rPr>
                <w:b/>
                <w:sz w:val="14"/>
                <w:szCs w:val="14"/>
              </w:rPr>
            </w:pPr>
            <w:r>
              <w:rPr>
                <w:b/>
                <w:sz w:val="14"/>
                <w:szCs w:val="14"/>
              </w:rPr>
              <w:t>Ação de contingência</w:t>
            </w:r>
          </w:p>
        </w:tc>
        <w:tc>
          <w:tcPr>
            <w:tcW w:w="1680" w:type="dxa"/>
            <w:shd w:val="clear" w:color="auto" w:fill="auto"/>
            <w:vAlign w:val="center"/>
          </w:tcPr>
          <w:p w14:paraId="1C123880" w14:textId="77777777" w:rsidR="001C7E6F" w:rsidRDefault="001C7E6F" w:rsidP="00BD3046">
            <w:pPr>
              <w:spacing w:after="0" w:line="240" w:lineRule="auto"/>
              <w:jc w:val="center"/>
              <w:rPr>
                <w:b/>
                <w:sz w:val="14"/>
                <w:szCs w:val="14"/>
              </w:rPr>
            </w:pPr>
            <w:r>
              <w:rPr>
                <w:b/>
                <w:sz w:val="14"/>
                <w:szCs w:val="14"/>
              </w:rPr>
              <w:t>Responsáveis envolvidos</w:t>
            </w:r>
          </w:p>
        </w:tc>
      </w:tr>
      <w:tr w:rsidR="001C7E6F" w14:paraId="33702AD8" w14:textId="77777777" w:rsidTr="00BD3046">
        <w:trPr>
          <w:trHeight w:val="20"/>
        </w:trPr>
        <w:tc>
          <w:tcPr>
            <w:tcW w:w="1129" w:type="dxa"/>
            <w:shd w:val="clear" w:color="auto" w:fill="auto"/>
            <w:vAlign w:val="center"/>
          </w:tcPr>
          <w:p w14:paraId="7900A466" w14:textId="77777777" w:rsidR="001C7E6F" w:rsidRDefault="001C7E6F" w:rsidP="00BD3046">
            <w:pPr>
              <w:widowControl w:val="0"/>
              <w:pBdr>
                <w:top w:val="nil"/>
                <w:left w:val="nil"/>
                <w:bottom w:val="nil"/>
                <w:right w:val="nil"/>
                <w:between w:val="nil"/>
              </w:pBdr>
              <w:spacing w:after="0"/>
              <w:rPr>
                <w:sz w:val="14"/>
                <w:szCs w:val="14"/>
              </w:rPr>
            </w:pPr>
            <w:r>
              <w:rPr>
                <w:sz w:val="14"/>
                <w:szCs w:val="14"/>
              </w:rPr>
              <w:t>Jurídico-Estrutural</w:t>
            </w:r>
          </w:p>
        </w:tc>
        <w:tc>
          <w:tcPr>
            <w:tcW w:w="1860" w:type="dxa"/>
            <w:shd w:val="clear" w:color="auto" w:fill="auto"/>
            <w:vAlign w:val="center"/>
          </w:tcPr>
          <w:p w14:paraId="28AFE2F5" w14:textId="77777777" w:rsidR="001C7E6F" w:rsidRDefault="001C7E6F" w:rsidP="00BD3046">
            <w:pPr>
              <w:spacing w:after="0" w:line="240" w:lineRule="auto"/>
              <w:rPr>
                <w:sz w:val="14"/>
                <w:szCs w:val="14"/>
              </w:rPr>
            </w:pPr>
            <w:r>
              <w:rPr>
                <w:sz w:val="14"/>
                <w:szCs w:val="14"/>
              </w:rPr>
              <w:t>P17. Existe previsão obrigatória para elaboração de Plano de Ação (PA) pelo Conselho Gestor do Fundo?</w:t>
            </w:r>
          </w:p>
        </w:tc>
        <w:tc>
          <w:tcPr>
            <w:tcW w:w="495" w:type="dxa"/>
            <w:shd w:val="clear" w:color="auto" w:fill="auto"/>
            <w:vAlign w:val="center"/>
          </w:tcPr>
          <w:p w14:paraId="7EA28BD2"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E36C09"/>
            <w:vAlign w:val="center"/>
          </w:tcPr>
          <w:p w14:paraId="3CDAE7AF" w14:textId="77777777" w:rsidR="001C7E6F" w:rsidRDefault="001C7E6F" w:rsidP="00BD3046">
            <w:pPr>
              <w:spacing w:after="0" w:line="240" w:lineRule="auto"/>
              <w:rPr>
                <w:sz w:val="14"/>
                <w:szCs w:val="14"/>
              </w:rPr>
            </w:pPr>
            <w:r>
              <w:rPr>
                <w:sz w:val="14"/>
                <w:szCs w:val="14"/>
              </w:rPr>
              <w:t>R10. Execução sem plano.</w:t>
            </w:r>
          </w:p>
        </w:tc>
        <w:tc>
          <w:tcPr>
            <w:tcW w:w="1875" w:type="dxa"/>
            <w:shd w:val="clear" w:color="auto" w:fill="E36C09"/>
            <w:vAlign w:val="center"/>
          </w:tcPr>
          <w:p w14:paraId="34F6E9BC" w14:textId="77777777" w:rsidR="001C7E6F" w:rsidRDefault="001C7E6F" w:rsidP="00BD3046">
            <w:pPr>
              <w:spacing w:after="0" w:line="240" w:lineRule="auto"/>
              <w:rPr>
                <w:sz w:val="14"/>
                <w:szCs w:val="14"/>
              </w:rPr>
            </w:pPr>
            <w:r>
              <w:rPr>
                <w:sz w:val="14"/>
                <w:szCs w:val="14"/>
              </w:rPr>
              <w:t>4 – ALTO</w:t>
            </w:r>
          </w:p>
          <w:p w14:paraId="7F719DDF" w14:textId="77777777" w:rsidR="001C7E6F" w:rsidRDefault="001C7E6F" w:rsidP="00BD3046">
            <w:pPr>
              <w:spacing w:after="0" w:line="240" w:lineRule="auto"/>
              <w:rPr>
                <w:sz w:val="14"/>
                <w:szCs w:val="14"/>
              </w:rPr>
            </w:pPr>
            <w:r>
              <w:rPr>
                <w:sz w:val="14"/>
                <w:szCs w:val="14"/>
              </w:rPr>
              <w:t xml:space="preserve">Fragiliza governança e </w:t>
            </w:r>
            <w:r>
              <w:rPr>
                <w:i/>
                <w:sz w:val="14"/>
                <w:szCs w:val="14"/>
              </w:rPr>
              <w:t>accountability</w:t>
            </w:r>
            <w:r>
              <w:rPr>
                <w:sz w:val="14"/>
                <w:szCs w:val="14"/>
              </w:rPr>
              <w:t>. Possibilidade de desvio de finalidade.</w:t>
            </w:r>
          </w:p>
        </w:tc>
        <w:tc>
          <w:tcPr>
            <w:tcW w:w="945" w:type="dxa"/>
            <w:vAlign w:val="center"/>
          </w:tcPr>
          <w:p w14:paraId="44C26647"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70DA8BC7" w14:textId="77777777" w:rsidR="001C7E6F" w:rsidRDefault="001C7E6F" w:rsidP="00BD3046">
            <w:pPr>
              <w:spacing w:after="0" w:line="240" w:lineRule="auto"/>
              <w:jc w:val="center"/>
              <w:rPr>
                <w:sz w:val="14"/>
                <w:szCs w:val="14"/>
              </w:rPr>
            </w:pPr>
            <w:r>
              <w:rPr>
                <w:sz w:val="14"/>
                <w:szCs w:val="14"/>
              </w:rPr>
              <w:t>36</w:t>
            </w:r>
          </w:p>
        </w:tc>
        <w:tc>
          <w:tcPr>
            <w:tcW w:w="1920" w:type="dxa"/>
            <w:shd w:val="clear" w:color="auto" w:fill="auto"/>
            <w:vAlign w:val="center"/>
          </w:tcPr>
          <w:p w14:paraId="0B315745" w14:textId="77777777" w:rsidR="001C7E6F" w:rsidRDefault="001C7E6F" w:rsidP="00BD3046">
            <w:pPr>
              <w:spacing w:after="0" w:line="240" w:lineRule="auto"/>
              <w:rPr>
                <w:sz w:val="14"/>
                <w:szCs w:val="14"/>
              </w:rPr>
            </w:pPr>
            <w:r>
              <w:rPr>
                <w:sz w:val="14"/>
                <w:szCs w:val="14"/>
              </w:rPr>
              <w:t>Obrigatoriedade legal do PA.</w:t>
            </w:r>
          </w:p>
        </w:tc>
        <w:tc>
          <w:tcPr>
            <w:tcW w:w="1695" w:type="dxa"/>
            <w:shd w:val="clear" w:color="auto" w:fill="auto"/>
            <w:vAlign w:val="center"/>
          </w:tcPr>
          <w:p w14:paraId="7EED9CD9" w14:textId="77777777" w:rsidR="001C7E6F" w:rsidRDefault="001C7E6F" w:rsidP="00BD3046">
            <w:pPr>
              <w:spacing w:after="0" w:line="240" w:lineRule="auto"/>
              <w:rPr>
                <w:sz w:val="14"/>
                <w:szCs w:val="14"/>
              </w:rPr>
            </w:pPr>
            <w:r>
              <w:rPr>
                <w:sz w:val="14"/>
                <w:szCs w:val="14"/>
              </w:rPr>
              <w:t>PA emergencial (para um quadrimestre, por exemplo).</w:t>
            </w:r>
          </w:p>
        </w:tc>
        <w:tc>
          <w:tcPr>
            <w:tcW w:w="1680" w:type="dxa"/>
            <w:shd w:val="clear" w:color="auto" w:fill="auto"/>
            <w:vAlign w:val="center"/>
          </w:tcPr>
          <w:p w14:paraId="7CA7262B" w14:textId="77777777" w:rsidR="001C7E6F" w:rsidRDefault="001C7E6F" w:rsidP="00BD3046">
            <w:pPr>
              <w:spacing w:after="0" w:line="240" w:lineRule="auto"/>
              <w:rPr>
                <w:sz w:val="14"/>
                <w:szCs w:val="14"/>
              </w:rPr>
            </w:pPr>
            <w:r>
              <w:rPr>
                <w:sz w:val="14"/>
                <w:szCs w:val="14"/>
              </w:rPr>
              <w:t>CGF.</w:t>
            </w:r>
          </w:p>
        </w:tc>
      </w:tr>
      <w:tr w:rsidR="001C7E6F" w14:paraId="7F87012F" w14:textId="77777777" w:rsidTr="00BD3046">
        <w:trPr>
          <w:trHeight w:val="20"/>
        </w:trPr>
        <w:tc>
          <w:tcPr>
            <w:tcW w:w="1129" w:type="dxa"/>
            <w:vMerge w:val="restart"/>
            <w:shd w:val="clear" w:color="auto" w:fill="auto"/>
            <w:vAlign w:val="center"/>
          </w:tcPr>
          <w:p w14:paraId="7128779C" w14:textId="77777777" w:rsidR="001C7E6F" w:rsidRDefault="001C7E6F" w:rsidP="00BD3046">
            <w:pPr>
              <w:widowControl w:val="0"/>
              <w:pBdr>
                <w:top w:val="nil"/>
                <w:left w:val="nil"/>
                <w:bottom w:val="nil"/>
                <w:right w:val="nil"/>
                <w:between w:val="nil"/>
              </w:pBdr>
              <w:spacing w:after="0"/>
              <w:rPr>
                <w:sz w:val="14"/>
                <w:szCs w:val="14"/>
              </w:rPr>
            </w:pPr>
            <w:r>
              <w:rPr>
                <w:sz w:val="14"/>
                <w:szCs w:val="14"/>
              </w:rPr>
              <w:t>Financeira e Orçamentária</w:t>
            </w:r>
          </w:p>
        </w:tc>
        <w:tc>
          <w:tcPr>
            <w:tcW w:w="1860" w:type="dxa"/>
            <w:shd w:val="clear" w:color="auto" w:fill="auto"/>
            <w:vAlign w:val="center"/>
          </w:tcPr>
          <w:p w14:paraId="38817F07" w14:textId="77777777" w:rsidR="001C7E6F" w:rsidRDefault="001C7E6F" w:rsidP="00BD3046">
            <w:pPr>
              <w:spacing w:after="0" w:line="240" w:lineRule="auto"/>
              <w:rPr>
                <w:sz w:val="14"/>
                <w:szCs w:val="14"/>
              </w:rPr>
            </w:pPr>
            <w:r>
              <w:rPr>
                <w:sz w:val="14"/>
                <w:szCs w:val="14"/>
              </w:rPr>
              <w:t>P11. O Fundo recebeu repasses sem atrasos, interrupções ou perdas significativas?</w:t>
            </w:r>
          </w:p>
        </w:tc>
        <w:tc>
          <w:tcPr>
            <w:tcW w:w="495" w:type="dxa"/>
            <w:shd w:val="clear" w:color="auto" w:fill="auto"/>
            <w:vAlign w:val="center"/>
          </w:tcPr>
          <w:p w14:paraId="5AF303FC"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E36C09"/>
            <w:vAlign w:val="center"/>
          </w:tcPr>
          <w:p w14:paraId="37ECCF96" w14:textId="77777777" w:rsidR="001C7E6F" w:rsidRDefault="001C7E6F" w:rsidP="00BD3046">
            <w:pPr>
              <w:spacing w:after="0" w:line="240" w:lineRule="auto"/>
              <w:rPr>
                <w:sz w:val="14"/>
                <w:szCs w:val="14"/>
              </w:rPr>
            </w:pPr>
            <w:r>
              <w:rPr>
                <w:sz w:val="14"/>
                <w:szCs w:val="14"/>
              </w:rPr>
              <w:t>R16. Atrasos ou interrupções de repasses desorganizam a execução.</w:t>
            </w:r>
          </w:p>
        </w:tc>
        <w:tc>
          <w:tcPr>
            <w:tcW w:w="1875" w:type="dxa"/>
            <w:shd w:val="clear" w:color="auto" w:fill="E36C09"/>
            <w:vAlign w:val="center"/>
          </w:tcPr>
          <w:p w14:paraId="12E47CB2" w14:textId="77777777" w:rsidR="001C7E6F" w:rsidRDefault="001C7E6F" w:rsidP="00BD3046">
            <w:pPr>
              <w:spacing w:after="0" w:line="240" w:lineRule="auto"/>
              <w:rPr>
                <w:sz w:val="14"/>
                <w:szCs w:val="14"/>
              </w:rPr>
            </w:pPr>
            <w:r>
              <w:rPr>
                <w:sz w:val="14"/>
                <w:szCs w:val="14"/>
              </w:rPr>
              <w:t>4 – ALTO</w:t>
            </w:r>
          </w:p>
          <w:p w14:paraId="62906BEA" w14:textId="77777777" w:rsidR="001C7E6F" w:rsidRDefault="001C7E6F" w:rsidP="00BD3046">
            <w:pPr>
              <w:spacing w:after="0" w:line="240" w:lineRule="auto"/>
              <w:rPr>
                <w:sz w:val="14"/>
                <w:szCs w:val="14"/>
              </w:rPr>
            </w:pPr>
            <w:r>
              <w:rPr>
                <w:sz w:val="14"/>
                <w:szCs w:val="14"/>
              </w:rPr>
              <w:t>Pode paralisar serviços essenciais.</w:t>
            </w:r>
          </w:p>
        </w:tc>
        <w:tc>
          <w:tcPr>
            <w:tcW w:w="945" w:type="dxa"/>
            <w:vAlign w:val="center"/>
          </w:tcPr>
          <w:p w14:paraId="5988D323"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7118CB77" w14:textId="77777777" w:rsidR="001C7E6F" w:rsidRDefault="001C7E6F" w:rsidP="00BD3046">
            <w:pPr>
              <w:spacing w:after="0" w:line="240" w:lineRule="auto"/>
              <w:jc w:val="center"/>
              <w:rPr>
                <w:sz w:val="14"/>
                <w:szCs w:val="14"/>
              </w:rPr>
            </w:pPr>
            <w:r>
              <w:rPr>
                <w:sz w:val="14"/>
                <w:szCs w:val="14"/>
              </w:rPr>
              <w:t>24</w:t>
            </w:r>
          </w:p>
        </w:tc>
        <w:tc>
          <w:tcPr>
            <w:tcW w:w="1920" w:type="dxa"/>
            <w:shd w:val="clear" w:color="auto" w:fill="auto"/>
            <w:vAlign w:val="center"/>
          </w:tcPr>
          <w:p w14:paraId="5F4287B2" w14:textId="77777777" w:rsidR="001C7E6F" w:rsidRDefault="001C7E6F" w:rsidP="00BD3046">
            <w:pPr>
              <w:spacing w:after="0" w:line="240" w:lineRule="auto"/>
              <w:rPr>
                <w:sz w:val="14"/>
                <w:szCs w:val="14"/>
              </w:rPr>
            </w:pPr>
            <w:r>
              <w:rPr>
                <w:sz w:val="14"/>
                <w:szCs w:val="14"/>
              </w:rPr>
              <w:t>Fixar cronograma legal de repasses e rotinas de conciliação bancária.</w:t>
            </w:r>
          </w:p>
        </w:tc>
        <w:tc>
          <w:tcPr>
            <w:tcW w:w="1695" w:type="dxa"/>
            <w:shd w:val="clear" w:color="auto" w:fill="auto"/>
            <w:vAlign w:val="center"/>
          </w:tcPr>
          <w:p w14:paraId="165C8E0F" w14:textId="77777777" w:rsidR="001C7E6F" w:rsidRDefault="001C7E6F" w:rsidP="00BD3046">
            <w:pPr>
              <w:spacing w:after="0" w:line="240" w:lineRule="auto"/>
              <w:rPr>
                <w:sz w:val="14"/>
                <w:szCs w:val="14"/>
              </w:rPr>
            </w:pPr>
            <w:r>
              <w:rPr>
                <w:sz w:val="14"/>
                <w:szCs w:val="14"/>
              </w:rPr>
              <w:t>Plano de pagamentos escalonados com foco nas ações essenciais.</w:t>
            </w:r>
          </w:p>
        </w:tc>
        <w:tc>
          <w:tcPr>
            <w:tcW w:w="1680" w:type="dxa"/>
            <w:shd w:val="clear" w:color="auto" w:fill="auto"/>
            <w:vAlign w:val="center"/>
          </w:tcPr>
          <w:p w14:paraId="77C2997B" w14:textId="77777777" w:rsidR="001C7E6F" w:rsidRDefault="001C7E6F" w:rsidP="00BD3046">
            <w:pPr>
              <w:spacing w:after="0" w:line="240" w:lineRule="auto"/>
              <w:rPr>
                <w:sz w:val="14"/>
                <w:szCs w:val="14"/>
              </w:rPr>
            </w:pPr>
            <w:r>
              <w:rPr>
                <w:sz w:val="14"/>
                <w:szCs w:val="14"/>
              </w:rPr>
              <w:t>SEFAZ; OGF; Unidade Contábil</w:t>
            </w:r>
          </w:p>
        </w:tc>
      </w:tr>
      <w:tr w:rsidR="001C7E6F" w14:paraId="744E6E80" w14:textId="77777777" w:rsidTr="00BD3046">
        <w:trPr>
          <w:trHeight w:val="20"/>
        </w:trPr>
        <w:tc>
          <w:tcPr>
            <w:tcW w:w="1129" w:type="dxa"/>
            <w:vMerge/>
            <w:shd w:val="clear" w:color="auto" w:fill="auto"/>
            <w:vAlign w:val="center"/>
          </w:tcPr>
          <w:p w14:paraId="794571DD" w14:textId="77777777" w:rsidR="001C7E6F" w:rsidRDefault="001C7E6F" w:rsidP="00BD3046">
            <w:pPr>
              <w:widowControl w:val="0"/>
              <w:pBdr>
                <w:top w:val="nil"/>
                <w:left w:val="nil"/>
                <w:bottom w:val="nil"/>
                <w:right w:val="nil"/>
                <w:between w:val="nil"/>
              </w:pBdr>
              <w:spacing w:after="0"/>
              <w:rPr>
                <w:sz w:val="14"/>
                <w:szCs w:val="14"/>
              </w:rPr>
            </w:pPr>
          </w:p>
        </w:tc>
        <w:tc>
          <w:tcPr>
            <w:tcW w:w="1860" w:type="dxa"/>
            <w:shd w:val="clear" w:color="auto" w:fill="auto"/>
            <w:vAlign w:val="center"/>
          </w:tcPr>
          <w:p w14:paraId="782E2CFC" w14:textId="77777777" w:rsidR="001C7E6F" w:rsidRDefault="001C7E6F" w:rsidP="00BD3046">
            <w:pPr>
              <w:spacing w:after="0" w:line="240" w:lineRule="auto"/>
              <w:rPr>
                <w:sz w:val="14"/>
                <w:szCs w:val="14"/>
              </w:rPr>
            </w:pPr>
            <w:r>
              <w:rPr>
                <w:sz w:val="14"/>
                <w:szCs w:val="14"/>
              </w:rPr>
              <w:t>P46. O saldo financeiro não ultrapassou 25% da arrecadação anual, salvo mediante reserva legal prevista?</w:t>
            </w:r>
          </w:p>
        </w:tc>
        <w:tc>
          <w:tcPr>
            <w:tcW w:w="495" w:type="dxa"/>
            <w:shd w:val="clear" w:color="auto" w:fill="auto"/>
            <w:vAlign w:val="center"/>
          </w:tcPr>
          <w:p w14:paraId="1E80A993"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E36C0A" w:themeFill="accent6" w:themeFillShade="BF"/>
            <w:vAlign w:val="center"/>
          </w:tcPr>
          <w:p w14:paraId="48F620C7" w14:textId="77777777" w:rsidR="001C7E6F" w:rsidRDefault="001C7E6F" w:rsidP="00BD3046">
            <w:pPr>
              <w:spacing w:after="0" w:line="240" w:lineRule="auto"/>
              <w:rPr>
                <w:sz w:val="14"/>
                <w:szCs w:val="14"/>
              </w:rPr>
            </w:pPr>
            <w:r>
              <w:rPr>
                <w:sz w:val="14"/>
                <w:szCs w:val="14"/>
              </w:rPr>
              <w:t>R22. Acúmulo de recursos inativos e ineficiência fiscal.</w:t>
            </w:r>
          </w:p>
        </w:tc>
        <w:tc>
          <w:tcPr>
            <w:tcW w:w="1875" w:type="dxa"/>
            <w:shd w:val="clear" w:color="auto" w:fill="E36C0A" w:themeFill="accent6" w:themeFillShade="BF"/>
            <w:vAlign w:val="center"/>
          </w:tcPr>
          <w:p w14:paraId="25544ADC" w14:textId="77777777" w:rsidR="001C7E6F" w:rsidRDefault="001C7E6F" w:rsidP="00BD3046">
            <w:pPr>
              <w:spacing w:after="0" w:line="240" w:lineRule="auto"/>
              <w:rPr>
                <w:sz w:val="14"/>
                <w:szCs w:val="14"/>
              </w:rPr>
            </w:pPr>
            <w:r>
              <w:rPr>
                <w:sz w:val="14"/>
                <w:szCs w:val="14"/>
              </w:rPr>
              <w:t>4 – ALTO</w:t>
            </w:r>
          </w:p>
          <w:p w14:paraId="2DC8A839" w14:textId="77777777" w:rsidR="001C7E6F" w:rsidRDefault="001C7E6F" w:rsidP="00BD3046">
            <w:pPr>
              <w:spacing w:after="0" w:line="240" w:lineRule="auto"/>
              <w:rPr>
                <w:sz w:val="14"/>
                <w:szCs w:val="14"/>
              </w:rPr>
            </w:pPr>
            <w:r>
              <w:rPr>
                <w:sz w:val="14"/>
                <w:szCs w:val="14"/>
              </w:rPr>
              <w:t>Risco de desvinculação/uso indevido no médio ou longo prazo.</w:t>
            </w:r>
          </w:p>
        </w:tc>
        <w:tc>
          <w:tcPr>
            <w:tcW w:w="945" w:type="dxa"/>
            <w:vAlign w:val="center"/>
          </w:tcPr>
          <w:p w14:paraId="05EA656F"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0C41F4D2" w14:textId="77777777" w:rsidR="001C7E6F" w:rsidRDefault="001C7E6F" w:rsidP="00BD3046">
            <w:pPr>
              <w:spacing w:after="0" w:line="240" w:lineRule="auto"/>
              <w:jc w:val="center"/>
              <w:rPr>
                <w:sz w:val="14"/>
                <w:szCs w:val="14"/>
              </w:rPr>
            </w:pPr>
            <w:r>
              <w:rPr>
                <w:sz w:val="14"/>
                <w:szCs w:val="14"/>
              </w:rPr>
              <w:t>24</w:t>
            </w:r>
          </w:p>
        </w:tc>
        <w:tc>
          <w:tcPr>
            <w:tcW w:w="1920" w:type="dxa"/>
            <w:shd w:val="clear" w:color="auto" w:fill="auto"/>
            <w:vAlign w:val="center"/>
          </w:tcPr>
          <w:p w14:paraId="5959D72E" w14:textId="77777777" w:rsidR="001C7E6F" w:rsidRDefault="001C7E6F" w:rsidP="00BD3046">
            <w:pPr>
              <w:spacing w:after="0" w:line="240" w:lineRule="auto"/>
              <w:rPr>
                <w:sz w:val="14"/>
                <w:szCs w:val="14"/>
              </w:rPr>
            </w:pPr>
            <w:r>
              <w:rPr>
                <w:sz w:val="14"/>
                <w:szCs w:val="14"/>
              </w:rPr>
              <w:t>Alinhar cronogramas de execução à arrecadação.</w:t>
            </w:r>
          </w:p>
        </w:tc>
        <w:tc>
          <w:tcPr>
            <w:tcW w:w="1695" w:type="dxa"/>
            <w:shd w:val="clear" w:color="auto" w:fill="auto"/>
            <w:vAlign w:val="center"/>
          </w:tcPr>
          <w:p w14:paraId="66A0F712" w14:textId="77777777" w:rsidR="001C7E6F" w:rsidRDefault="001C7E6F" w:rsidP="00BD3046">
            <w:pPr>
              <w:spacing w:after="0" w:line="240" w:lineRule="auto"/>
              <w:rPr>
                <w:sz w:val="14"/>
                <w:szCs w:val="14"/>
              </w:rPr>
            </w:pPr>
            <w:r>
              <w:rPr>
                <w:sz w:val="14"/>
                <w:szCs w:val="14"/>
              </w:rPr>
              <w:t>Plano de Aplicação Financeira com foco finalístico.</w:t>
            </w:r>
          </w:p>
        </w:tc>
        <w:tc>
          <w:tcPr>
            <w:tcW w:w="1680" w:type="dxa"/>
            <w:shd w:val="clear" w:color="auto" w:fill="auto"/>
            <w:vAlign w:val="center"/>
          </w:tcPr>
          <w:p w14:paraId="483354F1" w14:textId="77777777" w:rsidR="001C7E6F" w:rsidRDefault="001C7E6F" w:rsidP="00BD3046">
            <w:pPr>
              <w:spacing w:after="0" w:line="240" w:lineRule="auto"/>
              <w:rPr>
                <w:sz w:val="14"/>
                <w:szCs w:val="14"/>
              </w:rPr>
            </w:pPr>
            <w:r>
              <w:rPr>
                <w:sz w:val="14"/>
                <w:szCs w:val="14"/>
              </w:rPr>
              <w:t>OGF; SEPLAG</w:t>
            </w:r>
          </w:p>
        </w:tc>
      </w:tr>
      <w:tr w:rsidR="001C7E6F" w14:paraId="0796A082" w14:textId="77777777" w:rsidTr="00BD3046">
        <w:trPr>
          <w:trHeight w:val="20"/>
        </w:trPr>
        <w:tc>
          <w:tcPr>
            <w:tcW w:w="1129" w:type="dxa"/>
            <w:vMerge/>
            <w:shd w:val="clear" w:color="auto" w:fill="auto"/>
            <w:vAlign w:val="center"/>
          </w:tcPr>
          <w:p w14:paraId="7FF2133E" w14:textId="77777777" w:rsidR="001C7E6F" w:rsidRDefault="001C7E6F" w:rsidP="00BD3046">
            <w:pPr>
              <w:widowControl w:val="0"/>
              <w:pBdr>
                <w:top w:val="nil"/>
                <w:left w:val="nil"/>
                <w:bottom w:val="nil"/>
                <w:right w:val="nil"/>
                <w:between w:val="nil"/>
              </w:pBdr>
              <w:spacing w:after="0"/>
              <w:rPr>
                <w:sz w:val="14"/>
                <w:szCs w:val="14"/>
              </w:rPr>
            </w:pPr>
          </w:p>
        </w:tc>
        <w:tc>
          <w:tcPr>
            <w:tcW w:w="1860" w:type="dxa"/>
            <w:shd w:val="clear" w:color="auto" w:fill="auto"/>
            <w:vAlign w:val="center"/>
          </w:tcPr>
          <w:p w14:paraId="04D91D59" w14:textId="77777777" w:rsidR="001C7E6F" w:rsidRDefault="001C7E6F" w:rsidP="00BD3046">
            <w:pPr>
              <w:spacing w:after="0" w:line="240" w:lineRule="auto"/>
              <w:rPr>
                <w:sz w:val="14"/>
                <w:szCs w:val="14"/>
              </w:rPr>
            </w:pPr>
            <w:r>
              <w:rPr>
                <w:sz w:val="14"/>
                <w:szCs w:val="14"/>
              </w:rPr>
              <w:t>P47. A execução financeira (despesas pagas) foi proporcional à arrecadação no último ano?</w:t>
            </w:r>
          </w:p>
        </w:tc>
        <w:tc>
          <w:tcPr>
            <w:tcW w:w="495" w:type="dxa"/>
            <w:shd w:val="clear" w:color="auto" w:fill="auto"/>
            <w:vAlign w:val="center"/>
          </w:tcPr>
          <w:p w14:paraId="1847A17F"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C00000"/>
            <w:vAlign w:val="center"/>
          </w:tcPr>
          <w:p w14:paraId="0F0B4787" w14:textId="77777777" w:rsidR="001C7E6F" w:rsidRDefault="001C7E6F" w:rsidP="00BD3046">
            <w:pPr>
              <w:spacing w:after="0" w:line="240" w:lineRule="auto"/>
              <w:rPr>
                <w:sz w:val="14"/>
                <w:szCs w:val="14"/>
              </w:rPr>
            </w:pPr>
            <w:r>
              <w:rPr>
                <w:sz w:val="14"/>
                <w:szCs w:val="14"/>
              </w:rPr>
              <w:t>R23. Descompasso arrecadação × gasto; formação de saldo financeiro inativo elevado.</w:t>
            </w:r>
          </w:p>
        </w:tc>
        <w:tc>
          <w:tcPr>
            <w:tcW w:w="1875" w:type="dxa"/>
            <w:shd w:val="clear" w:color="auto" w:fill="C00000"/>
            <w:vAlign w:val="center"/>
          </w:tcPr>
          <w:p w14:paraId="3EC3B6F9" w14:textId="77777777" w:rsidR="001C7E6F" w:rsidRDefault="001C7E6F" w:rsidP="00BD3046">
            <w:pPr>
              <w:spacing w:after="0" w:line="240" w:lineRule="auto"/>
              <w:rPr>
                <w:sz w:val="14"/>
                <w:szCs w:val="14"/>
              </w:rPr>
            </w:pPr>
            <w:r>
              <w:rPr>
                <w:sz w:val="14"/>
                <w:szCs w:val="14"/>
              </w:rPr>
              <w:t>5 – MUITO ALTO</w:t>
            </w:r>
          </w:p>
          <w:p w14:paraId="754F3962" w14:textId="77777777" w:rsidR="001C7E6F" w:rsidRDefault="001C7E6F" w:rsidP="00BD3046">
            <w:pPr>
              <w:spacing w:after="0" w:line="240" w:lineRule="auto"/>
              <w:rPr>
                <w:sz w:val="14"/>
                <w:szCs w:val="14"/>
              </w:rPr>
            </w:pPr>
            <w:r>
              <w:rPr>
                <w:sz w:val="14"/>
                <w:szCs w:val="14"/>
              </w:rPr>
              <w:t>Fragilidade no planejamento financeiro e risco de ineficiência, além do risco de desvinculação/uso indevido no médio ou longo prazo.</w:t>
            </w:r>
          </w:p>
        </w:tc>
        <w:tc>
          <w:tcPr>
            <w:tcW w:w="945" w:type="dxa"/>
            <w:vAlign w:val="center"/>
          </w:tcPr>
          <w:p w14:paraId="7B595704"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2D6C1C61" w14:textId="77777777" w:rsidR="001C7E6F" w:rsidRDefault="001C7E6F" w:rsidP="00BD3046">
            <w:pPr>
              <w:spacing w:after="0" w:line="240" w:lineRule="auto"/>
              <w:jc w:val="center"/>
              <w:rPr>
                <w:sz w:val="14"/>
                <w:szCs w:val="14"/>
              </w:rPr>
            </w:pPr>
            <w:r>
              <w:rPr>
                <w:sz w:val="14"/>
                <w:szCs w:val="14"/>
              </w:rPr>
              <w:t>30</w:t>
            </w:r>
          </w:p>
        </w:tc>
        <w:tc>
          <w:tcPr>
            <w:tcW w:w="1920" w:type="dxa"/>
            <w:shd w:val="clear" w:color="auto" w:fill="auto"/>
            <w:vAlign w:val="center"/>
          </w:tcPr>
          <w:p w14:paraId="27898CAE" w14:textId="77777777" w:rsidR="001C7E6F" w:rsidRDefault="001C7E6F" w:rsidP="00BD3046">
            <w:pPr>
              <w:spacing w:after="0" w:line="240" w:lineRule="auto"/>
              <w:rPr>
                <w:sz w:val="14"/>
                <w:szCs w:val="14"/>
              </w:rPr>
            </w:pPr>
            <w:r>
              <w:rPr>
                <w:sz w:val="14"/>
                <w:szCs w:val="14"/>
              </w:rPr>
              <w:t>Planejamento quadrimestral de pagamentos; cronograma de desembolso mensal.</w:t>
            </w:r>
          </w:p>
        </w:tc>
        <w:tc>
          <w:tcPr>
            <w:tcW w:w="1695" w:type="dxa"/>
            <w:shd w:val="clear" w:color="auto" w:fill="auto"/>
            <w:vAlign w:val="center"/>
          </w:tcPr>
          <w:p w14:paraId="62E6C813" w14:textId="77777777" w:rsidR="001C7E6F" w:rsidRDefault="001C7E6F" w:rsidP="00BD3046">
            <w:pPr>
              <w:spacing w:after="0" w:line="240" w:lineRule="auto"/>
              <w:rPr>
                <w:sz w:val="14"/>
                <w:szCs w:val="14"/>
              </w:rPr>
            </w:pPr>
            <w:r>
              <w:rPr>
                <w:sz w:val="14"/>
                <w:szCs w:val="14"/>
              </w:rPr>
              <w:t>Ajustar cronograma e reprogramar priorizando entregas.</w:t>
            </w:r>
          </w:p>
        </w:tc>
        <w:tc>
          <w:tcPr>
            <w:tcW w:w="1680" w:type="dxa"/>
            <w:shd w:val="clear" w:color="auto" w:fill="auto"/>
            <w:vAlign w:val="center"/>
          </w:tcPr>
          <w:p w14:paraId="4A966B13" w14:textId="77777777" w:rsidR="001C7E6F" w:rsidRDefault="001C7E6F" w:rsidP="00BD3046">
            <w:pPr>
              <w:spacing w:after="0" w:line="240" w:lineRule="auto"/>
              <w:rPr>
                <w:sz w:val="14"/>
                <w:szCs w:val="14"/>
              </w:rPr>
            </w:pPr>
            <w:r>
              <w:rPr>
                <w:sz w:val="14"/>
                <w:szCs w:val="14"/>
              </w:rPr>
              <w:t>CGF; OGF; SEFAZ</w:t>
            </w:r>
          </w:p>
        </w:tc>
      </w:tr>
      <w:tr w:rsidR="001C7E6F" w14:paraId="5EC55E76" w14:textId="77777777" w:rsidTr="00BD3046">
        <w:trPr>
          <w:trHeight w:val="20"/>
        </w:trPr>
        <w:tc>
          <w:tcPr>
            <w:tcW w:w="1129" w:type="dxa"/>
            <w:vMerge/>
            <w:shd w:val="clear" w:color="auto" w:fill="auto"/>
            <w:vAlign w:val="center"/>
          </w:tcPr>
          <w:p w14:paraId="38983E38" w14:textId="77777777" w:rsidR="001C7E6F" w:rsidRDefault="001C7E6F" w:rsidP="00BD3046">
            <w:pPr>
              <w:widowControl w:val="0"/>
              <w:pBdr>
                <w:top w:val="nil"/>
                <w:left w:val="nil"/>
                <w:bottom w:val="nil"/>
                <w:right w:val="nil"/>
                <w:between w:val="nil"/>
              </w:pBdr>
              <w:spacing w:after="0"/>
              <w:rPr>
                <w:sz w:val="14"/>
                <w:szCs w:val="14"/>
              </w:rPr>
            </w:pPr>
          </w:p>
        </w:tc>
        <w:tc>
          <w:tcPr>
            <w:tcW w:w="1860" w:type="dxa"/>
            <w:shd w:val="clear" w:color="auto" w:fill="auto"/>
            <w:vAlign w:val="center"/>
          </w:tcPr>
          <w:p w14:paraId="4397BD84" w14:textId="77777777" w:rsidR="001C7E6F" w:rsidRDefault="001C7E6F" w:rsidP="00BD3046">
            <w:pPr>
              <w:spacing w:after="0" w:line="240" w:lineRule="auto"/>
              <w:rPr>
                <w:sz w:val="14"/>
                <w:szCs w:val="14"/>
              </w:rPr>
            </w:pPr>
            <w:r>
              <w:rPr>
                <w:sz w:val="14"/>
                <w:szCs w:val="14"/>
              </w:rPr>
              <w:t>P49. Não houve contingenciamento de despesas autorizadas?</w:t>
            </w:r>
          </w:p>
        </w:tc>
        <w:tc>
          <w:tcPr>
            <w:tcW w:w="495" w:type="dxa"/>
            <w:shd w:val="clear" w:color="auto" w:fill="auto"/>
            <w:vAlign w:val="center"/>
          </w:tcPr>
          <w:p w14:paraId="2F4E3C42"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C00000"/>
            <w:vAlign w:val="center"/>
          </w:tcPr>
          <w:p w14:paraId="676A7881" w14:textId="77777777" w:rsidR="001C7E6F" w:rsidRDefault="001C7E6F" w:rsidP="00BD3046">
            <w:pPr>
              <w:spacing w:after="0" w:line="240" w:lineRule="auto"/>
              <w:rPr>
                <w:sz w:val="14"/>
                <w:szCs w:val="14"/>
              </w:rPr>
            </w:pPr>
            <w:r>
              <w:rPr>
                <w:sz w:val="14"/>
                <w:szCs w:val="14"/>
              </w:rPr>
              <w:t>R25. Interrupção de ações governamentais essenciais por bloqueios.</w:t>
            </w:r>
          </w:p>
        </w:tc>
        <w:tc>
          <w:tcPr>
            <w:tcW w:w="1875" w:type="dxa"/>
            <w:shd w:val="clear" w:color="auto" w:fill="C00000"/>
            <w:vAlign w:val="center"/>
          </w:tcPr>
          <w:p w14:paraId="7A9DE678" w14:textId="77777777" w:rsidR="001C7E6F" w:rsidRDefault="001C7E6F" w:rsidP="00BD3046">
            <w:pPr>
              <w:spacing w:after="0" w:line="240" w:lineRule="auto"/>
              <w:rPr>
                <w:sz w:val="14"/>
                <w:szCs w:val="14"/>
              </w:rPr>
            </w:pPr>
            <w:r>
              <w:rPr>
                <w:sz w:val="14"/>
                <w:szCs w:val="14"/>
              </w:rPr>
              <w:t xml:space="preserve">5 – MUITO ALTO </w:t>
            </w:r>
          </w:p>
          <w:p w14:paraId="169F823B" w14:textId="77777777" w:rsidR="001C7E6F" w:rsidRDefault="001C7E6F" w:rsidP="00BD3046">
            <w:pPr>
              <w:spacing w:after="0" w:line="240" w:lineRule="auto"/>
              <w:rPr>
                <w:sz w:val="14"/>
                <w:szCs w:val="14"/>
              </w:rPr>
            </w:pPr>
            <w:r>
              <w:rPr>
                <w:sz w:val="14"/>
                <w:szCs w:val="14"/>
              </w:rPr>
              <w:t>Risco direto à execução de políticas e judicialização.</w:t>
            </w:r>
          </w:p>
        </w:tc>
        <w:tc>
          <w:tcPr>
            <w:tcW w:w="945" w:type="dxa"/>
            <w:vAlign w:val="center"/>
          </w:tcPr>
          <w:p w14:paraId="0053D5FF"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2B4552D5" w14:textId="77777777" w:rsidR="001C7E6F" w:rsidRDefault="001C7E6F" w:rsidP="00BD3046">
            <w:pPr>
              <w:spacing w:after="0" w:line="240" w:lineRule="auto"/>
              <w:jc w:val="center"/>
              <w:rPr>
                <w:sz w:val="14"/>
                <w:szCs w:val="14"/>
              </w:rPr>
            </w:pPr>
            <w:r>
              <w:rPr>
                <w:sz w:val="14"/>
                <w:szCs w:val="14"/>
              </w:rPr>
              <w:t>45</w:t>
            </w:r>
          </w:p>
        </w:tc>
        <w:tc>
          <w:tcPr>
            <w:tcW w:w="1920" w:type="dxa"/>
            <w:shd w:val="clear" w:color="auto" w:fill="auto"/>
            <w:vAlign w:val="center"/>
          </w:tcPr>
          <w:p w14:paraId="1D877BE4" w14:textId="77777777" w:rsidR="001C7E6F" w:rsidRDefault="001C7E6F" w:rsidP="00BD3046">
            <w:pPr>
              <w:spacing w:after="0" w:line="240" w:lineRule="auto"/>
              <w:rPr>
                <w:sz w:val="14"/>
                <w:szCs w:val="14"/>
              </w:rPr>
            </w:pPr>
            <w:r>
              <w:rPr>
                <w:sz w:val="14"/>
                <w:szCs w:val="14"/>
              </w:rPr>
              <w:t>Regras claras de contingenciamento com áreas blindadas e gatilhos.</w:t>
            </w:r>
          </w:p>
        </w:tc>
        <w:tc>
          <w:tcPr>
            <w:tcW w:w="1695" w:type="dxa"/>
            <w:shd w:val="clear" w:color="auto" w:fill="auto"/>
            <w:vAlign w:val="center"/>
          </w:tcPr>
          <w:p w14:paraId="71A898C4" w14:textId="77777777" w:rsidR="001C7E6F" w:rsidRDefault="001C7E6F" w:rsidP="00BD3046">
            <w:pPr>
              <w:spacing w:after="0" w:line="240" w:lineRule="auto"/>
              <w:rPr>
                <w:sz w:val="14"/>
                <w:szCs w:val="14"/>
              </w:rPr>
            </w:pPr>
            <w:r>
              <w:rPr>
                <w:sz w:val="14"/>
                <w:szCs w:val="14"/>
              </w:rPr>
              <w:t>Plano mínimo de continuidade e cronograma de desbloqueio.</w:t>
            </w:r>
          </w:p>
        </w:tc>
        <w:tc>
          <w:tcPr>
            <w:tcW w:w="1680" w:type="dxa"/>
            <w:shd w:val="clear" w:color="auto" w:fill="auto"/>
            <w:vAlign w:val="center"/>
          </w:tcPr>
          <w:p w14:paraId="6BF98738" w14:textId="77777777" w:rsidR="001C7E6F" w:rsidRDefault="001C7E6F" w:rsidP="00BD3046">
            <w:pPr>
              <w:spacing w:after="0" w:line="240" w:lineRule="auto"/>
              <w:rPr>
                <w:sz w:val="14"/>
                <w:szCs w:val="14"/>
              </w:rPr>
            </w:pPr>
            <w:r>
              <w:rPr>
                <w:sz w:val="14"/>
                <w:szCs w:val="14"/>
              </w:rPr>
              <w:t>SEFAZ; OGF; CGF</w:t>
            </w:r>
          </w:p>
        </w:tc>
      </w:tr>
      <w:tr w:rsidR="001C7E6F" w14:paraId="0F7867EF" w14:textId="77777777" w:rsidTr="00BD3046">
        <w:trPr>
          <w:trHeight w:val="20"/>
        </w:trPr>
        <w:tc>
          <w:tcPr>
            <w:tcW w:w="1129" w:type="dxa"/>
            <w:vMerge/>
            <w:shd w:val="clear" w:color="auto" w:fill="auto"/>
            <w:vAlign w:val="center"/>
          </w:tcPr>
          <w:p w14:paraId="54C5BD17" w14:textId="77777777" w:rsidR="001C7E6F" w:rsidRDefault="001C7E6F" w:rsidP="00BD3046">
            <w:pPr>
              <w:widowControl w:val="0"/>
              <w:pBdr>
                <w:top w:val="nil"/>
                <w:left w:val="nil"/>
                <w:bottom w:val="nil"/>
                <w:right w:val="nil"/>
                <w:between w:val="nil"/>
              </w:pBdr>
              <w:spacing w:after="0"/>
              <w:rPr>
                <w:sz w:val="14"/>
                <w:szCs w:val="14"/>
              </w:rPr>
            </w:pPr>
          </w:p>
        </w:tc>
        <w:tc>
          <w:tcPr>
            <w:tcW w:w="1860" w:type="dxa"/>
            <w:shd w:val="clear" w:color="auto" w:fill="auto"/>
            <w:vAlign w:val="center"/>
          </w:tcPr>
          <w:p w14:paraId="40F40E98" w14:textId="77777777" w:rsidR="001C7E6F" w:rsidRDefault="001C7E6F" w:rsidP="00BD3046">
            <w:pPr>
              <w:spacing w:after="0" w:line="240" w:lineRule="auto"/>
              <w:rPr>
                <w:sz w:val="14"/>
                <w:szCs w:val="14"/>
              </w:rPr>
            </w:pPr>
            <w:r>
              <w:rPr>
                <w:sz w:val="14"/>
                <w:szCs w:val="14"/>
              </w:rPr>
              <w:t>P50. Não houve desvinculação de recursos?</w:t>
            </w:r>
          </w:p>
        </w:tc>
        <w:tc>
          <w:tcPr>
            <w:tcW w:w="495" w:type="dxa"/>
            <w:shd w:val="clear" w:color="auto" w:fill="auto"/>
            <w:vAlign w:val="center"/>
          </w:tcPr>
          <w:p w14:paraId="6DE0C4FE"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C00000"/>
            <w:vAlign w:val="center"/>
          </w:tcPr>
          <w:p w14:paraId="62F23411" w14:textId="77777777" w:rsidR="001C7E6F" w:rsidRDefault="001C7E6F" w:rsidP="00BD3046">
            <w:pPr>
              <w:spacing w:after="0" w:line="240" w:lineRule="auto"/>
              <w:rPr>
                <w:sz w:val="14"/>
                <w:szCs w:val="14"/>
              </w:rPr>
            </w:pPr>
            <w:r>
              <w:rPr>
                <w:sz w:val="14"/>
                <w:szCs w:val="14"/>
              </w:rPr>
              <w:t>R26. Esvaziamento da finalidade do Fundo.</w:t>
            </w:r>
          </w:p>
        </w:tc>
        <w:tc>
          <w:tcPr>
            <w:tcW w:w="1875" w:type="dxa"/>
            <w:shd w:val="clear" w:color="auto" w:fill="C00000"/>
            <w:vAlign w:val="center"/>
          </w:tcPr>
          <w:p w14:paraId="00C44A52" w14:textId="77777777" w:rsidR="001C7E6F" w:rsidRDefault="001C7E6F" w:rsidP="00BD3046">
            <w:pPr>
              <w:spacing w:after="0" w:line="240" w:lineRule="auto"/>
              <w:rPr>
                <w:sz w:val="14"/>
                <w:szCs w:val="14"/>
              </w:rPr>
            </w:pPr>
            <w:r>
              <w:rPr>
                <w:sz w:val="14"/>
                <w:szCs w:val="14"/>
              </w:rPr>
              <w:t xml:space="preserve">5 – MUITO ALTO </w:t>
            </w:r>
          </w:p>
          <w:p w14:paraId="0563CC9D" w14:textId="77777777" w:rsidR="001C7E6F" w:rsidRDefault="001C7E6F" w:rsidP="00BD3046">
            <w:pPr>
              <w:spacing w:after="0" w:line="240" w:lineRule="auto"/>
              <w:rPr>
                <w:sz w:val="14"/>
                <w:szCs w:val="14"/>
              </w:rPr>
            </w:pPr>
            <w:r>
              <w:rPr>
                <w:sz w:val="14"/>
                <w:szCs w:val="14"/>
              </w:rPr>
              <w:t>Perda de legitimidade.</w:t>
            </w:r>
          </w:p>
        </w:tc>
        <w:tc>
          <w:tcPr>
            <w:tcW w:w="945" w:type="dxa"/>
            <w:vAlign w:val="center"/>
          </w:tcPr>
          <w:p w14:paraId="60AD4594"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725319FC" w14:textId="77777777" w:rsidR="001C7E6F" w:rsidRDefault="001C7E6F" w:rsidP="00BD3046">
            <w:pPr>
              <w:spacing w:after="0" w:line="240" w:lineRule="auto"/>
              <w:jc w:val="center"/>
              <w:rPr>
                <w:sz w:val="14"/>
                <w:szCs w:val="14"/>
              </w:rPr>
            </w:pPr>
            <w:r>
              <w:rPr>
                <w:sz w:val="14"/>
                <w:szCs w:val="14"/>
              </w:rPr>
              <w:t>45</w:t>
            </w:r>
          </w:p>
        </w:tc>
        <w:tc>
          <w:tcPr>
            <w:tcW w:w="1920" w:type="dxa"/>
            <w:shd w:val="clear" w:color="auto" w:fill="auto"/>
            <w:vAlign w:val="center"/>
          </w:tcPr>
          <w:p w14:paraId="7918C39E" w14:textId="77777777" w:rsidR="001C7E6F" w:rsidRDefault="001C7E6F" w:rsidP="00BD3046">
            <w:pPr>
              <w:spacing w:after="0" w:line="240" w:lineRule="auto"/>
              <w:rPr>
                <w:sz w:val="14"/>
                <w:szCs w:val="14"/>
              </w:rPr>
            </w:pPr>
            <w:r>
              <w:rPr>
                <w:sz w:val="14"/>
                <w:szCs w:val="14"/>
              </w:rPr>
              <w:t>Vedação legal expressa e cláusulas de proteção.</w:t>
            </w:r>
          </w:p>
        </w:tc>
        <w:tc>
          <w:tcPr>
            <w:tcW w:w="1695" w:type="dxa"/>
            <w:shd w:val="clear" w:color="auto" w:fill="auto"/>
            <w:vAlign w:val="center"/>
          </w:tcPr>
          <w:p w14:paraId="461573F7" w14:textId="77777777" w:rsidR="001C7E6F" w:rsidRDefault="001C7E6F" w:rsidP="00BD3046">
            <w:pPr>
              <w:spacing w:after="0" w:line="240" w:lineRule="auto"/>
              <w:rPr>
                <w:sz w:val="14"/>
                <w:szCs w:val="14"/>
              </w:rPr>
            </w:pPr>
            <w:r>
              <w:rPr>
                <w:sz w:val="14"/>
                <w:szCs w:val="14"/>
              </w:rPr>
              <w:t>Ação judicial (ADI) e recomposição orçamentária.</w:t>
            </w:r>
          </w:p>
        </w:tc>
        <w:tc>
          <w:tcPr>
            <w:tcW w:w="1680" w:type="dxa"/>
            <w:shd w:val="clear" w:color="auto" w:fill="auto"/>
            <w:vAlign w:val="center"/>
          </w:tcPr>
          <w:p w14:paraId="400EB667" w14:textId="77777777" w:rsidR="001C7E6F" w:rsidRDefault="001C7E6F" w:rsidP="00BD3046">
            <w:pPr>
              <w:spacing w:after="0" w:line="240" w:lineRule="auto"/>
              <w:rPr>
                <w:sz w:val="14"/>
                <w:szCs w:val="14"/>
              </w:rPr>
            </w:pPr>
            <w:r>
              <w:rPr>
                <w:sz w:val="14"/>
                <w:szCs w:val="14"/>
              </w:rPr>
              <w:t>Procuradoria; OGF; SEFAZ; CGF</w:t>
            </w:r>
          </w:p>
        </w:tc>
      </w:tr>
      <w:tr w:rsidR="001C7E6F" w14:paraId="272156E7" w14:textId="77777777" w:rsidTr="00BD3046">
        <w:trPr>
          <w:trHeight w:val="20"/>
        </w:trPr>
        <w:tc>
          <w:tcPr>
            <w:tcW w:w="1129" w:type="dxa"/>
            <w:vMerge/>
            <w:shd w:val="clear" w:color="auto" w:fill="auto"/>
            <w:vAlign w:val="center"/>
          </w:tcPr>
          <w:p w14:paraId="1937FF7D" w14:textId="77777777" w:rsidR="001C7E6F" w:rsidRDefault="001C7E6F" w:rsidP="00BD3046">
            <w:pPr>
              <w:widowControl w:val="0"/>
              <w:pBdr>
                <w:top w:val="nil"/>
                <w:left w:val="nil"/>
                <w:bottom w:val="nil"/>
                <w:right w:val="nil"/>
                <w:between w:val="nil"/>
              </w:pBdr>
              <w:spacing w:after="0"/>
              <w:rPr>
                <w:sz w:val="14"/>
                <w:szCs w:val="14"/>
              </w:rPr>
            </w:pPr>
          </w:p>
        </w:tc>
        <w:tc>
          <w:tcPr>
            <w:tcW w:w="1860" w:type="dxa"/>
            <w:shd w:val="clear" w:color="auto" w:fill="auto"/>
            <w:vAlign w:val="center"/>
          </w:tcPr>
          <w:p w14:paraId="145112B7" w14:textId="77777777" w:rsidR="001C7E6F" w:rsidRDefault="001C7E6F" w:rsidP="00BD3046">
            <w:pPr>
              <w:spacing w:after="0" w:line="240" w:lineRule="auto"/>
              <w:rPr>
                <w:sz w:val="14"/>
                <w:szCs w:val="14"/>
              </w:rPr>
            </w:pPr>
            <w:r>
              <w:rPr>
                <w:sz w:val="14"/>
                <w:szCs w:val="14"/>
              </w:rPr>
              <w:t>P52. Não houve perda de arrecadação por desvinculação de receitas (≥20% do programado para as receitas no último ano)?</w:t>
            </w:r>
          </w:p>
        </w:tc>
        <w:tc>
          <w:tcPr>
            <w:tcW w:w="495" w:type="dxa"/>
            <w:shd w:val="clear" w:color="auto" w:fill="auto"/>
            <w:vAlign w:val="center"/>
          </w:tcPr>
          <w:p w14:paraId="0547A1B8"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C00000"/>
            <w:vAlign w:val="center"/>
          </w:tcPr>
          <w:p w14:paraId="2813BBE7" w14:textId="77777777" w:rsidR="001C7E6F" w:rsidRDefault="001C7E6F" w:rsidP="00BD3046">
            <w:pPr>
              <w:spacing w:after="0" w:line="240" w:lineRule="auto"/>
              <w:rPr>
                <w:sz w:val="14"/>
                <w:szCs w:val="14"/>
              </w:rPr>
            </w:pPr>
            <w:r>
              <w:rPr>
                <w:sz w:val="14"/>
                <w:szCs w:val="14"/>
              </w:rPr>
              <w:t>R28. Desvinculação relevante (de ≥20% da receita) gera comprometimento do lastro financeiro para pagar as ações de combate à pobreza.</w:t>
            </w:r>
          </w:p>
        </w:tc>
        <w:tc>
          <w:tcPr>
            <w:tcW w:w="1875" w:type="dxa"/>
            <w:shd w:val="clear" w:color="auto" w:fill="C00000"/>
            <w:vAlign w:val="center"/>
          </w:tcPr>
          <w:p w14:paraId="181C5F44" w14:textId="77777777" w:rsidR="001C7E6F" w:rsidRDefault="001C7E6F" w:rsidP="00BD3046">
            <w:pPr>
              <w:spacing w:after="0" w:line="240" w:lineRule="auto"/>
              <w:rPr>
                <w:sz w:val="14"/>
                <w:szCs w:val="14"/>
              </w:rPr>
            </w:pPr>
            <w:r>
              <w:rPr>
                <w:sz w:val="14"/>
                <w:szCs w:val="14"/>
              </w:rPr>
              <w:t xml:space="preserve">5 – MUITO ALTO </w:t>
            </w:r>
          </w:p>
          <w:p w14:paraId="137F7F16" w14:textId="77777777" w:rsidR="001C7E6F" w:rsidRDefault="001C7E6F" w:rsidP="00BD3046">
            <w:pPr>
              <w:spacing w:after="0" w:line="240" w:lineRule="auto"/>
              <w:rPr>
                <w:sz w:val="14"/>
                <w:szCs w:val="14"/>
              </w:rPr>
            </w:pPr>
            <w:r>
              <w:rPr>
                <w:sz w:val="14"/>
                <w:szCs w:val="14"/>
              </w:rPr>
              <w:t>Esvaziamento do Fundo e paralisações.</w:t>
            </w:r>
          </w:p>
        </w:tc>
        <w:tc>
          <w:tcPr>
            <w:tcW w:w="945" w:type="dxa"/>
            <w:vAlign w:val="center"/>
          </w:tcPr>
          <w:p w14:paraId="1D3B1821"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7F19791C" w14:textId="77777777" w:rsidR="001C7E6F" w:rsidRDefault="001C7E6F" w:rsidP="00BD3046">
            <w:pPr>
              <w:spacing w:after="0" w:line="240" w:lineRule="auto"/>
              <w:jc w:val="center"/>
              <w:rPr>
                <w:sz w:val="14"/>
                <w:szCs w:val="14"/>
              </w:rPr>
            </w:pPr>
            <w:r>
              <w:rPr>
                <w:sz w:val="14"/>
                <w:szCs w:val="14"/>
              </w:rPr>
              <w:t>30</w:t>
            </w:r>
          </w:p>
        </w:tc>
        <w:tc>
          <w:tcPr>
            <w:tcW w:w="1920" w:type="dxa"/>
            <w:shd w:val="clear" w:color="auto" w:fill="auto"/>
            <w:vAlign w:val="center"/>
          </w:tcPr>
          <w:p w14:paraId="0F48202F" w14:textId="77777777" w:rsidR="001C7E6F" w:rsidRDefault="001C7E6F" w:rsidP="00BD3046">
            <w:pPr>
              <w:spacing w:after="0" w:line="240" w:lineRule="auto"/>
              <w:rPr>
                <w:sz w:val="14"/>
                <w:szCs w:val="14"/>
              </w:rPr>
            </w:pPr>
            <w:r>
              <w:rPr>
                <w:sz w:val="14"/>
                <w:szCs w:val="14"/>
              </w:rPr>
              <w:t>Vedação legal; pactos de preservação do adicional.</w:t>
            </w:r>
          </w:p>
        </w:tc>
        <w:tc>
          <w:tcPr>
            <w:tcW w:w="1695" w:type="dxa"/>
            <w:shd w:val="clear" w:color="auto" w:fill="auto"/>
            <w:vAlign w:val="center"/>
          </w:tcPr>
          <w:p w14:paraId="5D076C09" w14:textId="77777777" w:rsidR="001C7E6F" w:rsidRDefault="001C7E6F" w:rsidP="00BD3046">
            <w:pPr>
              <w:spacing w:after="0" w:line="240" w:lineRule="auto"/>
              <w:rPr>
                <w:sz w:val="14"/>
                <w:szCs w:val="14"/>
              </w:rPr>
            </w:pPr>
            <w:r>
              <w:rPr>
                <w:sz w:val="14"/>
                <w:szCs w:val="14"/>
              </w:rPr>
              <w:t>Recomposição via suplementação e priorização finalística.</w:t>
            </w:r>
          </w:p>
        </w:tc>
        <w:tc>
          <w:tcPr>
            <w:tcW w:w="1680" w:type="dxa"/>
            <w:shd w:val="clear" w:color="auto" w:fill="auto"/>
            <w:vAlign w:val="center"/>
          </w:tcPr>
          <w:p w14:paraId="00C8819F" w14:textId="77777777" w:rsidR="001C7E6F" w:rsidRDefault="001C7E6F" w:rsidP="00BD3046">
            <w:pPr>
              <w:spacing w:after="0" w:line="240" w:lineRule="auto"/>
              <w:rPr>
                <w:sz w:val="14"/>
                <w:szCs w:val="14"/>
              </w:rPr>
            </w:pPr>
            <w:r>
              <w:rPr>
                <w:sz w:val="14"/>
                <w:szCs w:val="14"/>
              </w:rPr>
              <w:t>Procuradoria; SEFAZ; OGF</w:t>
            </w:r>
          </w:p>
        </w:tc>
      </w:tr>
      <w:tr w:rsidR="001C7E6F" w14:paraId="73582C62" w14:textId="77777777" w:rsidTr="00BD3046">
        <w:trPr>
          <w:trHeight w:val="20"/>
        </w:trPr>
        <w:tc>
          <w:tcPr>
            <w:tcW w:w="1129" w:type="dxa"/>
            <w:vMerge w:val="restart"/>
            <w:shd w:val="clear" w:color="auto" w:fill="auto"/>
            <w:vAlign w:val="center"/>
          </w:tcPr>
          <w:p w14:paraId="450FA0DA" w14:textId="77777777" w:rsidR="001C7E6F" w:rsidRDefault="001C7E6F" w:rsidP="00BD3046">
            <w:pPr>
              <w:widowControl w:val="0"/>
              <w:pBdr>
                <w:top w:val="nil"/>
                <w:left w:val="nil"/>
                <w:bottom w:val="nil"/>
                <w:right w:val="nil"/>
                <w:between w:val="nil"/>
              </w:pBdr>
              <w:spacing w:after="0"/>
              <w:rPr>
                <w:sz w:val="14"/>
                <w:szCs w:val="14"/>
              </w:rPr>
            </w:pPr>
            <w:r>
              <w:rPr>
                <w:sz w:val="14"/>
                <w:szCs w:val="14"/>
              </w:rPr>
              <w:t>Político-Institucional</w:t>
            </w:r>
          </w:p>
        </w:tc>
        <w:tc>
          <w:tcPr>
            <w:tcW w:w="1860" w:type="dxa"/>
            <w:shd w:val="clear" w:color="auto" w:fill="auto"/>
            <w:vAlign w:val="center"/>
          </w:tcPr>
          <w:p w14:paraId="039AB4BC" w14:textId="77777777" w:rsidR="001C7E6F" w:rsidRDefault="001C7E6F" w:rsidP="00BD3046">
            <w:pPr>
              <w:spacing w:after="0" w:line="240" w:lineRule="auto"/>
              <w:rPr>
                <w:sz w:val="14"/>
                <w:szCs w:val="14"/>
              </w:rPr>
            </w:pPr>
            <w:r>
              <w:rPr>
                <w:sz w:val="14"/>
                <w:szCs w:val="14"/>
              </w:rPr>
              <w:t>P29. O Conselho não foi desativado ou perdeu autonomia nos últimos 5 anos?</w:t>
            </w:r>
          </w:p>
        </w:tc>
        <w:tc>
          <w:tcPr>
            <w:tcW w:w="495" w:type="dxa"/>
            <w:shd w:val="clear" w:color="auto" w:fill="auto"/>
            <w:vAlign w:val="center"/>
          </w:tcPr>
          <w:p w14:paraId="611450E2"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E36C09"/>
            <w:vAlign w:val="center"/>
          </w:tcPr>
          <w:p w14:paraId="636FDDF8" w14:textId="77777777" w:rsidR="001C7E6F" w:rsidRDefault="001C7E6F" w:rsidP="00BD3046">
            <w:pPr>
              <w:spacing w:after="0" w:line="240" w:lineRule="auto"/>
              <w:rPr>
                <w:sz w:val="14"/>
                <w:szCs w:val="14"/>
              </w:rPr>
            </w:pPr>
            <w:r>
              <w:rPr>
                <w:sz w:val="14"/>
                <w:szCs w:val="14"/>
              </w:rPr>
              <w:t>R31. Descontinuidade de governança.</w:t>
            </w:r>
          </w:p>
        </w:tc>
        <w:tc>
          <w:tcPr>
            <w:tcW w:w="1875" w:type="dxa"/>
            <w:shd w:val="clear" w:color="auto" w:fill="E36C09"/>
            <w:vAlign w:val="center"/>
          </w:tcPr>
          <w:p w14:paraId="55A35433" w14:textId="77777777" w:rsidR="001C7E6F" w:rsidRDefault="001C7E6F" w:rsidP="00BD3046">
            <w:pPr>
              <w:spacing w:after="0" w:line="240" w:lineRule="auto"/>
              <w:rPr>
                <w:sz w:val="14"/>
                <w:szCs w:val="14"/>
              </w:rPr>
            </w:pPr>
            <w:r>
              <w:rPr>
                <w:sz w:val="14"/>
                <w:szCs w:val="14"/>
              </w:rPr>
              <w:t>4 – ALTO</w:t>
            </w:r>
          </w:p>
          <w:p w14:paraId="75E211F3" w14:textId="77777777" w:rsidR="001C7E6F" w:rsidRDefault="001C7E6F" w:rsidP="00BD3046">
            <w:pPr>
              <w:spacing w:after="0" w:line="240" w:lineRule="auto"/>
              <w:rPr>
                <w:sz w:val="14"/>
                <w:szCs w:val="14"/>
              </w:rPr>
            </w:pPr>
            <w:r>
              <w:rPr>
                <w:sz w:val="14"/>
                <w:szCs w:val="14"/>
              </w:rPr>
              <w:t>Decisões políticas unilaterais, fragilizando a participação social.</w:t>
            </w:r>
          </w:p>
        </w:tc>
        <w:tc>
          <w:tcPr>
            <w:tcW w:w="945" w:type="dxa"/>
            <w:vAlign w:val="center"/>
          </w:tcPr>
          <w:p w14:paraId="7CD786EB"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735FD815" w14:textId="77777777" w:rsidR="001C7E6F" w:rsidRDefault="001C7E6F" w:rsidP="00BD3046">
            <w:pPr>
              <w:spacing w:after="0" w:line="240" w:lineRule="auto"/>
              <w:jc w:val="center"/>
              <w:rPr>
                <w:sz w:val="14"/>
                <w:szCs w:val="14"/>
              </w:rPr>
            </w:pPr>
            <w:r>
              <w:rPr>
                <w:sz w:val="14"/>
                <w:szCs w:val="14"/>
              </w:rPr>
              <w:t>36</w:t>
            </w:r>
          </w:p>
        </w:tc>
        <w:tc>
          <w:tcPr>
            <w:tcW w:w="1920" w:type="dxa"/>
            <w:shd w:val="clear" w:color="auto" w:fill="auto"/>
            <w:vAlign w:val="center"/>
          </w:tcPr>
          <w:p w14:paraId="3EF1A16E" w14:textId="77777777" w:rsidR="001C7E6F" w:rsidRDefault="001C7E6F" w:rsidP="00BD3046">
            <w:pPr>
              <w:spacing w:after="0" w:line="240" w:lineRule="auto"/>
              <w:rPr>
                <w:sz w:val="14"/>
                <w:szCs w:val="14"/>
              </w:rPr>
            </w:pPr>
            <w:r>
              <w:rPr>
                <w:sz w:val="14"/>
                <w:szCs w:val="14"/>
              </w:rPr>
              <w:t>Calendário fixo de mandatos. Recomposição automática para os ocupantes do poder público.</w:t>
            </w:r>
          </w:p>
        </w:tc>
        <w:tc>
          <w:tcPr>
            <w:tcW w:w="1695" w:type="dxa"/>
            <w:shd w:val="clear" w:color="auto" w:fill="auto"/>
            <w:vAlign w:val="center"/>
          </w:tcPr>
          <w:p w14:paraId="56CABFEB" w14:textId="77777777" w:rsidR="001C7E6F" w:rsidRDefault="001C7E6F" w:rsidP="00BD3046">
            <w:pPr>
              <w:spacing w:after="0" w:line="240" w:lineRule="auto"/>
              <w:rPr>
                <w:sz w:val="14"/>
                <w:szCs w:val="14"/>
              </w:rPr>
            </w:pPr>
            <w:r>
              <w:rPr>
                <w:sz w:val="14"/>
                <w:szCs w:val="14"/>
              </w:rPr>
              <w:t>Reativação imediata.</w:t>
            </w:r>
          </w:p>
        </w:tc>
        <w:tc>
          <w:tcPr>
            <w:tcW w:w="1680" w:type="dxa"/>
            <w:shd w:val="clear" w:color="auto" w:fill="auto"/>
            <w:vAlign w:val="center"/>
          </w:tcPr>
          <w:p w14:paraId="3B3174BC" w14:textId="77777777" w:rsidR="001C7E6F" w:rsidRDefault="001C7E6F" w:rsidP="00BD3046">
            <w:pPr>
              <w:spacing w:after="0" w:line="240" w:lineRule="auto"/>
              <w:rPr>
                <w:sz w:val="14"/>
                <w:szCs w:val="14"/>
              </w:rPr>
            </w:pPr>
            <w:r>
              <w:rPr>
                <w:sz w:val="14"/>
                <w:szCs w:val="14"/>
              </w:rPr>
              <w:t>CGF; OGF</w:t>
            </w:r>
          </w:p>
        </w:tc>
      </w:tr>
      <w:tr w:rsidR="001C7E6F" w14:paraId="496D6F5A" w14:textId="77777777" w:rsidTr="00BD3046">
        <w:trPr>
          <w:trHeight w:val="20"/>
        </w:trPr>
        <w:tc>
          <w:tcPr>
            <w:tcW w:w="1129" w:type="dxa"/>
            <w:vMerge/>
            <w:shd w:val="clear" w:color="auto" w:fill="auto"/>
            <w:vAlign w:val="center"/>
          </w:tcPr>
          <w:p w14:paraId="18AB8E82" w14:textId="77777777" w:rsidR="001C7E6F" w:rsidRDefault="001C7E6F" w:rsidP="00BD3046">
            <w:pPr>
              <w:widowControl w:val="0"/>
              <w:pBdr>
                <w:top w:val="nil"/>
                <w:left w:val="nil"/>
                <w:bottom w:val="nil"/>
                <w:right w:val="nil"/>
                <w:between w:val="nil"/>
              </w:pBdr>
              <w:spacing w:after="0"/>
              <w:rPr>
                <w:sz w:val="14"/>
                <w:szCs w:val="14"/>
              </w:rPr>
            </w:pPr>
          </w:p>
        </w:tc>
        <w:tc>
          <w:tcPr>
            <w:tcW w:w="1860" w:type="dxa"/>
            <w:shd w:val="clear" w:color="auto" w:fill="auto"/>
            <w:vAlign w:val="center"/>
          </w:tcPr>
          <w:p w14:paraId="0886E214" w14:textId="77777777" w:rsidR="001C7E6F" w:rsidRDefault="001C7E6F" w:rsidP="00BD3046">
            <w:pPr>
              <w:spacing w:after="0" w:line="240" w:lineRule="auto"/>
              <w:rPr>
                <w:sz w:val="14"/>
                <w:szCs w:val="14"/>
              </w:rPr>
            </w:pPr>
            <w:r>
              <w:rPr>
                <w:sz w:val="14"/>
                <w:szCs w:val="14"/>
              </w:rPr>
              <w:t>P30. Há Plano de Ação (PA) e Plano de Aplicação Financeira (PAF) aprovado para o exercício atual?</w:t>
            </w:r>
          </w:p>
        </w:tc>
        <w:tc>
          <w:tcPr>
            <w:tcW w:w="495" w:type="dxa"/>
            <w:shd w:val="clear" w:color="auto" w:fill="auto"/>
            <w:vAlign w:val="center"/>
          </w:tcPr>
          <w:p w14:paraId="399BCC5E"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E36C09"/>
            <w:vAlign w:val="center"/>
          </w:tcPr>
          <w:p w14:paraId="28FC0758" w14:textId="77777777" w:rsidR="001C7E6F" w:rsidRDefault="001C7E6F" w:rsidP="00BD3046">
            <w:pPr>
              <w:spacing w:after="0" w:line="240" w:lineRule="auto"/>
              <w:rPr>
                <w:sz w:val="14"/>
                <w:szCs w:val="14"/>
              </w:rPr>
            </w:pPr>
            <w:r>
              <w:rPr>
                <w:sz w:val="14"/>
                <w:szCs w:val="14"/>
              </w:rPr>
              <w:t>R32. Execução orçamentária e financeira sem autorização colegiada e sem legitimidade para as alocações.</w:t>
            </w:r>
          </w:p>
        </w:tc>
        <w:tc>
          <w:tcPr>
            <w:tcW w:w="1875" w:type="dxa"/>
            <w:shd w:val="clear" w:color="auto" w:fill="E36C09"/>
            <w:vAlign w:val="center"/>
          </w:tcPr>
          <w:p w14:paraId="67B28299" w14:textId="77777777" w:rsidR="001C7E6F" w:rsidRDefault="001C7E6F" w:rsidP="00BD3046">
            <w:pPr>
              <w:spacing w:after="0" w:line="240" w:lineRule="auto"/>
              <w:rPr>
                <w:sz w:val="14"/>
                <w:szCs w:val="14"/>
              </w:rPr>
            </w:pPr>
            <w:r>
              <w:rPr>
                <w:sz w:val="14"/>
                <w:szCs w:val="14"/>
              </w:rPr>
              <w:t>4 – ALTO</w:t>
            </w:r>
          </w:p>
          <w:p w14:paraId="46491A4C" w14:textId="77777777" w:rsidR="001C7E6F" w:rsidRDefault="001C7E6F" w:rsidP="00BD3046">
            <w:pPr>
              <w:spacing w:after="0" w:line="240" w:lineRule="auto"/>
              <w:rPr>
                <w:sz w:val="14"/>
                <w:szCs w:val="14"/>
              </w:rPr>
            </w:pPr>
            <w:r>
              <w:rPr>
                <w:sz w:val="14"/>
                <w:szCs w:val="14"/>
              </w:rPr>
              <w:t>Ausência de legitimidade e desvio de prioridades.</w:t>
            </w:r>
          </w:p>
        </w:tc>
        <w:tc>
          <w:tcPr>
            <w:tcW w:w="945" w:type="dxa"/>
            <w:vAlign w:val="center"/>
          </w:tcPr>
          <w:p w14:paraId="7D82B2F7"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1A18BA60" w14:textId="77777777" w:rsidR="001C7E6F" w:rsidRDefault="001C7E6F" w:rsidP="00BD3046">
            <w:pPr>
              <w:spacing w:after="0" w:line="240" w:lineRule="auto"/>
              <w:jc w:val="center"/>
              <w:rPr>
                <w:sz w:val="14"/>
                <w:szCs w:val="14"/>
              </w:rPr>
            </w:pPr>
            <w:r>
              <w:rPr>
                <w:sz w:val="14"/>
                <w:szCs w:val="14"/>
              </w:rPr>
              <w:t>36</w:t>
            </w:r>
          </w:p>
        </w:tc>
        <w:tc>
          <w:tcPr>
            <w:tcW w:w="1920" w:type="dxa"/>
            <w:shd w:val="clear" w:color="auto" w:fill="auto"/>
            <w:vAlign w:val="center"/>
          </w:tcPr>
          <w:p w14:paraId="41B2A61A" w14:textId="77777777" w:rsidR="001C7E6F" w:rsidRDefault="001C7E6F" w:rsidP="00BD3046">
            <w:pPr>
              <w:spacing w:after="0" w:line="240" w:lineRule="auto"/>
              <w:rPr>
                <w:sz w:val="14"/>
                <w:szCs w:val="14"/>
              </w:rPr>
            </w:pPr>
            <w:r>
              <w:rPr>
                <w:sz w:val="14"/>
                <w:szCs w:val="14"/>
              </w:rPr>
              <w:t>Calendário fixo para aprovação, com apoio técnico devido pelo OGF.</w:t>
            </w:r>
          </w:p>
        </w:tc>
        <w:tc>
          <w:tcPr>
            <w:tcW w:w="1695" w:type="dxa"/>
            <w:shd w:val="clear" w:color="auto" w:fill="auto"/>
            <w:vAlign w:val="center"/>
          </w:tcPr>
          <w:p w14:paraId="7D9B1A3E" w14:textId="77777777" w:rsidR="001C7E6F" w:rsidRDefault="001C7E6F" w:rsidP="00BD3046">
            <w:pPr>
              <w:spacing w:after="0" w:line="240" w:lineRule="auto"/>
              <w:rPr>
                <w:sz w:val="14"/>
                <w:szCs w:val="14"/>
              </w:rPr>
            </w:pPr>
            <w:r>
              <w:rPr>
                <w:sz w:val="14"/>
                <w:szCs w:val="14"/>
              </w:rPr>
              <w:t>PA/PAF simplificado.</w:t>
            </w:r>
          </w:p>
        </w:tc>
        <w:tc>
          <w:tcPr>
            <w:tcW w:w="1680" w:type="dxa"/>
            <w:shd w:val="clear" w:color="auto" w:fill="auto"/>
            <w:vAlign w:val="center"/>
          </w:tcPr>
          <w:p w14:paraId="424AC4D1" w14:textId="77777777" w:rsidR="001C7E6F" w:rsidRDefault="001C7E6F" w:rsidP="00BD3046">
            <w:pPr>
              <w:spacing w:after="0" w:line="240" w:lineRule="auto"/>
              <w:rPr>
                <w:sz w:val="14"/>
                <w:szCs w:val="14"/>
              </w:rPr>
            </w:pPr>
            <w:r>
              <w:rPr>
                <w:sz w:val="14"/>
                <w:szCs w:val="14"/>
              </w:rPr>
              <w:t>CGF; OGF</w:t>
            </w:r>
          </w:p>
        </w:tc>
      </w:tr>
      <w:tr w:rsidR="001C7E6F" w14:paraId="36D47C09" w14:textId="77777777" w:rsidTr="00BD3046">
        <w:trPr>
          <w:trHeight w:val="20"/>
        </w:trPr>
        <w:tc>
          <w:tcPr>
            <w:tcW w:w="1129" w:type="dxa"/>
            <w:vMerge w:val="restart"/>
            <w:shd w:val="clear" w:color="auto" w:fill="auto"/>
            <w:vAlign w:val="center"/>
          </w:tcPr>
          <w:p w14:paraId="065598FB" w14:textId="77777777" w:rsidR="001C7E6F" w:rsidRDefault="001C7E6F" w:rsidP="00BD3046">
            <w:pPr>
              <w:widowControl w:val="0"/>
              <w:pBdr>
                <w:top w:val="nil"/>
                <w:left w:val="nil"/>
                <w:bottom w:val="nil"/>
                <w:right w:val="nil"/>
                <w:between w:val="nil"/>
              </w:pBdr>
              <w:spacing w:after="0"/>
              <w:rPr>
                <w:sz w:val="14"/>
                <w:szCs w:val="14"/>
              </w:rPr>
            </w:pPr>
            <w:r>
              <w:rPr>
                <w:sz w:val="14"/>
                <w:szCs w:val="14"/>
              </w:rPr>
              <w:t>Institucional e Organizacional</w:t>
            </w:r>
          </w:p>
        </w:tc>
        <w:tc>
          <w:tcPr>
            <w:tcW w:w="1860" w:type="dxa"/>
            <w:shd w:val="clear" w:color="auto" w:fill="auto"/>
            <w:vAlign w:val="center"/>
          </w:tcPr>
          <w:p w14:paraId="1CDA7B06" w14:textId="77777777" w:rsidR="001C7E6F" w:rsidRDefault="001C7E6F" w:rsidP="00BD3046">
            <w:pPr>
              <w:spacing w:after="0" w:line="240" w:lineRule="auto"/>
              <w:rPr>
                <w:sz w:val="14"/>
                <w:szCs w:val="14"/>
              </w:rPr>
            </w:pPr>
            <w:r>
              <w:rPr>
                <w:sz w:val="14"/>
                <w:szCs w:val="14"/>
              </w:rPr>
              <w:t xml:space="preserve">P23. A composição do Conselho Gestor do Fundo é </w:t>
            </w:r>
            <w:r>
              <w:rPr>
                <w:sz w:val="14"/>
                <w:szCs w:val="14"/>
              </w:rPr>
              <w:lastRenderedPageBreak/>
              <w:t>paritária entre governo e sociedade civil?</w:t>
            </w:r>
          </w:p>
        </w:tc>
        <w:tc>
          <w:tcPr>
            <w:tcW w:w="495" w:type="dxa"/>
            <w:shd w:val="clear" w:color="auto" w:fill="auto"/>
            <w:vAlign w:val="center"/>
          </w:tcPr>
          <w:p w14:paraId="04AE649C" w14:textId="77777777" w:rsidR="001C7E6F" w:rsidRDefault="001C7E6F" w:rsidP="00BD3046">
            <w:pPr>
              <w:spacing w:after="0" w:line="240" w:lineRule="auto"/>
              <w:jc w:val="center"/>
              <w:rPr>
                <w:sz w:val="14"/>
                <w:szCs w:val="14"/>
              </w:rPr>
            </w:pPr>
            <w:r>
              <w:rPr>
                <w:sz w:val="14"/>
                <w:szCs w:val="14"/>
              </w:rPr>
              <w:lastRenderedPageBreak/>
              <w:t>2</w:t>
            </w:r>
          </w:p>
        </w:tc>
        <w:tc>
          <w:tcPr>
            <w:tcW w:w="1680" w:type="dxa"/>
            <w:shd w:val="clear" w:color="auto" w:fill="E36C09"/>
            <w:vAlign w:val="center"/>
          </w:tcPr>
          <w:p w14:paraId="31565677" w14:textId="77777777" w:rsidR="001C7E6F" w:rsidRDefault="001C7E6F" w:rsidP="00BD3046">
            <w:pPr>
              <w:spacing w:after="0" w:line="240" w:lineRule="auto"/>
              <w:rPr>
                <w:sz w:val="14"/>
                <w:szCs w:val="14"/>
              </w:rPr>
            </w:pPr>
            <w:r>
              <w:rPr>
                <w:sz w:val="14"/>
                <w:szCs w:val="14"/>
              </w:rPr>
              <w:t xml:space="preserve">R40. Assimetria de representação; inconstitucionalidade da </w:t>
            </w:r>
            <w:r>
              <w:rPr>
                <w:sz w:val="14"/>
                <w:szCs w:val="14"/>
              </w:rPr>
              <w:lastRenderedPageBreak/>
              <w:t>medida; perda de legitimidade e risco de captura.</w:t>
            </w:r>
          </w:p>
        </w:tc>
        <w:tc>
          <w:tcPr>
            <w:tcW w:w="1875" w:type="dxa"/>
            <w:shd w:val="clear" w:color="auto" w:fill="E36C09"/>
            <w:vAlign w:val="center"/>
          </w:tcPr>
          <w:p w14:paraId="583FE9FF" w14:textId="77777777" w:rsidR="001C7E6F" w:rsidRDefault="001C7E6F" w:rsidP="00BD3046">
            <w:pPr>
              <w:spacing w:after="0" w:line="240" w:lineRule="auto"/>
              <w:rPr>
                <w:sz w:val="14"/>
                <w:szCs w:val="14"/>
              </w:rPr>
            </w:pPr>
            <w:r>
              <w:rPr>
                <w:sz w:val="14"/>
                <w:szCs w:val="14"/>
              </w:rPr>
              <w:lastRenderedPageBreak/>
              <w:t>4 – ALTO</w:t>
            </w:r>
          </w:p>
          <w:p w14:paraId="2700C284" w14:textId="77777777" w:rsidR="001C7E6F" w:rsidRDefault="001C7E6F" w:rsidP="00BD3046">
            <w:pPr>
              <w:spacing w:after="0" w:line="240" w:lineRule="auto"/>
              <w:rPr>
                <w:sz w:val="14"/>
                <w:szCs w:val="14"/>
              </w:rPr>
            </w:pPr>
            <w:r>
              <w:rPr>
                <w:sz w:val="14"/>
                <w:szCs w:val="14"/>
              </w:rPr>
              <w:t>Fragiliza participação e controle social.</w:t>
            </w:r>
          </w:p>
        </w:tc>
        <w:tc>
          <w:tcPr>
            <w:tcW w:w="945" w:type="dxa"/>
            <w:vAlign w:val="center"/>
          </w:tcPr>
          <w:p w14:paraId="6333047D"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374014A4" w14:textId="77777777" w:rsidR="001C7E6F" w:rsidRDefault="001C7E6F" w:rsidP="00BD3046">
            <w:pPr>
              <w:spacing w:after="0" w:line="240" w:lineRule="auto"/>
              <w:jc w:val="center"/>
              <w:rPr>
                <w:sz w:val="14"/>
                <w:szCs w:val="14"/>
              </w:rPr>
            </w:pPr>
            <w:r>
              <w:rPr>
                <w:sz w:val="14"/>
                <w:szCs w:val="14"/>
              </w:rPr>
              <w:t>24</w:t>
            </w:r>
          </w:p>
        </w:tc>
        <w:tc>
          <w:tcPr>
            <w:tcW w:w="1920" w:type="dxa"/>
            <w:shd w:val="clear" w:color="auto" w:fill="auto"/>
            <w:vAlign w:val="center"/>
          </w:tcPr>
          <w:p w14:paraId="30649A44" w14:textId="77777777" w:rsidR="001C7E6F" w:rsidRDefault="001C7E6F" w:rsidP="00BD3046">
            <w:pPr>
              <w:spacing w:after="0" w:line="240" w:lineRule="auto"/>
              <w:rPr>
                <w:sz w:val="14"/>
                <w:szCs w:val="14"/>
              </w:rPr>
            </w:pPr>
            <w:r>
              <w:rPr>
                <w:sz w:val="14"/>
                <w:szCs w:val="14"/>
              </w:rPr>
              <w:t>Estabelecer paridade em lei e regimento; critérios públicos de escolha.</w:t>
            </w:r>
          </w:p>
        </w:tc>
        <w:tc>
          <w:tcPr>
            <w:tcW w:w="1695" w:type="dxa"/>
            <w:shd w:val="clear" w:color="auto" w:fill="auto"/>
            <w:vAlign w:val="center"/>
          </w:tcPr>
          <w:p w14:paraId="1E7EEF82" w14:textId="77777777" w:rsidR="001C7E6F" w:rsidRDefault="001C7E6F" w:rsidP="00BD3046">
            <w:pPr>
              <w:spacing w:after="0" w:line="240" w:lineRule="auto"/>
              <w:rPr>
                <w:sz w:val="14"/>
                <w:szCs w:val="14"/>
              </w:rPr>
            </w:pPr>
            <w:r>
              <w:rPr>
                <w:sz w:val="14"/>
                <w:szCs w:val="14"/>
              </w:rPr>
              <w:t xml:space="preserve">Recompor cadeiras; convocar processo </w:t>
            </w:r>
            <w:r>
              <w:rPr>
                <w:sz w:val="14"/>
                <w:szCs w:val="14"/>
              </w:rPr>
              <w:lastRenderedPageBreak/>
              <w:t>seletivo/indicações conforme regras.</w:t>
            </w:r>
          </w:p>
        </w:tc>
        <w:tc>
          <w:tcPr>
            <w:tcW w:w="1680" w:type="dxa"/>
            <w:shd w:val="clear" w:color="auto" w:fill="auto"/>
            <w:vAlign w:val="center"/>
          </w:tcPr>
          <w:p w14:paraId="06B708AD" w14:textId="77777777" w:rsidR="001C7E6F" w:rsidRDefault="001C7E6F" w:rsidP="00BD3046">
            <w:pPr>
              <w:spacing w:after="0" w:line="240" w:lineRule="auto"/>
              <w:rPr>
                <w:sz w:val="14"/>
                <w:szCs w:val="14"/>
              </w:rPr>
            </w:pPr>
            <w:r>
              <w:rPr>
                <w:sz w:val="14"/>
                <w:szCs w:val="14"/>
              </w:rPr>
              <w:lastRenderedPageBreak/>
              <w:t>OGF; Casa Civil; CGF; Sociedade Civil</w:t>
            </w:r>
          </w:p>
        </w:tc>
      </w:tr>
      <w:tr w:rsidR="001C7E6F" w14:paraId="09FEB515" w14:textId="77777777" w:rsidTr="00BD3046">
        <w:trPr>
          <w:trHeight w:val="20"/>
        </w:trPr>
        <w:tc>
          <w:tcPr>
            <w:tcW w:w="1129" w:type="dxa"/>
            <w:vMerge/>
            <w:shd w:val="clear" w:color="auto" w:fill="auto"/>
            <w:vAlign w:val="center"/>
          </w:tcPr>
          <w:p w14:paraId="10A73F09" w14:textId="77777777" w:rsidR="001C7E6F" w:rsidRDefault="001C7E6F" w:rsidP="00BD3046">
            <w:pPr>
              <w:widowControl w:val="0"/>
              <w:pBdr>
                <w:top w:val="nil"/>
                <w:left w:val="nil"/>
                <w:bottom w:val="nil"/>
                <w:right w:val="nil"/>
                <w:between w:val="nil"/>
              </w:pBdr>
              <w:spacing w:after="0"/>
              <w:rPr>
                <w:sz w:val="14"/>
                <w:szCs w:val="14"/>
              </w:rPr>
            </w:pPr>
          </w:p>
        </w:tc>
        <w:tc>
          <w:tcPr>
            <w:tcW w:w="1860" w:type="dxa"/>
            <w:shd w:val="clear" w:color="auto" w:fill="auto"/>
            <w:vAlign w:val="center"/>
          </w:tcPr>
          <w:p w14:paraId="7B2A06F8" w14:textId="77777777" w:rsidR="001C7E6F" w:rsidRDefault="001C7E6F" w:rsidP="00BD3046">
            <w:pPr>
              <w:spacing w:after="0" w:line="240" w:lineRule="auto"/>
              <w:rPr>
                <w:sz w:val="14"/>
                <w:szCs w:val="14"/>
              </w:rPr>
            </w:pPr>
            <w:r>
              <w:rPr>
                <w:sz w:val="14"/>
                <w:szCs w:val="14"/>
              </w:rPr>
              <w:t>P70. A Controladoria Interna não identificou irregularidades ou riscos no uso do Fundo nos últimos 5 anos?</w:t>
            </w:r>
          </w:p>
        </w:tc>
        <w:tc>
          <w:tcPr>
            <w:tcW w:w="495" w:type="dxa"/>
            <w:shd w:val="clear" w:color="auto" w:fill="auto"/>
            <w:vAlign w:val="center"/>
          </w:tcPr>
          <w:p w14:paraId="165A5BF8"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FFFF00"/>
            <w:vAlign w:val="center"/>
          </w:tcPr>
          <w:p w14:paraId="238706F2" w14:textId="77777777" w:rsidR="001C7E6F" w:rsidRDefault="001C7E6F" w:rsidP="00BD3046">
            <w:pPr>
              <w:spacing w:after="0" w:line="240" w:lineRule="auto"/>
              <w:rPr>
                <w:sz w:val="14"/>
                <w:szCs w:val="14"/>
              </w:rPr>
            </w:pPr>
            <w:r>
              <w:rPr>
                <w:sz w:val="14"/>
                <w:szCs w:val="14"/>
              </w:rPr>
              <w:t>R45. Fragilidade no controle interno e auditoria insuficiente.</w:t>
            </w:r>
          </w:p>
        </w:tc>
        <w:tc>
          <w:tcPr>
            <w:tcW w:w="1875" w:type="dxa"/>
            <w:shd w:val="clear" w:color="auto" w:fill="FFFF00"/>
            <w:vAlign w:val="center"/>
          </w:tcPr>
          <w:p w14:paraId="0E224131" w14:textId="77777777" w:rsidR="001C7E6F" w:rsidRDefault="001C7E6F" w:rsidP="00BD3046">
            <w:pPr>
              <w:spacing w:after="0" w:line="240" w:lineRule="auto"/>
              <w:rPr>
                <w:sz w:val="14"/>
                <w:szCs w:val="14"/>
              </w:rPr>
            </w:pPr>
            <w:r>
              <w:rPr>
                <w:sz w:val="14"/>
                <w:szCs w:val="14"/>
              </w:rPr>
              <w:t>3 – MÉDIO</w:t>
            </w:r>
          </w:p>
          <w:p w14:paraId="532BAF05" w14:textId="77777777" w:rsidR="001C7E6F" w:rsidRDefault="001C7E6F" w:rsidP="00BD3046">
            <w:pPr>
              <w:spacing w:after="0" w:line="240" w:lineRule="auto"/>
              <w:rPr>
                <w:sz w:val="14"/>
                <w:szCs w:val="14"/>
              </w:rPr>
            </w:pPr>
            <w:r>
              <w:rPr>
                <w:sz w:val="14"/>
                <w:szCs w:val="14"/>
              </w:rPr>
              <w:t>Reduz confiança e pode ocultar problemas.</w:t>
            </w:r>
          </w:p>
        </w:tc>
        <w:tc>
          <w:tcPr>
            <w:tcW w:w="945" w:type="dxa"/>
            <w:vAlign w:val="center"/>
          </w:tcPr>
          <w:p w14:paraId="4DE631D3"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131251C8" w14:textId="77777777" w:rsidR="001C7E6F" w:rsidRDefault="001C7E6F" w:rsidP="00BD3046">
            <w:pPr>
              <w:spacing w:after="0" w:line="240" w:lineRule="auto"/>
              <w:jc w:val="center"/>
              <w:rPr>
                <w:sz w:val="14"/>
                <w:szCs w:val="14"/>
              </w:rPr>
            </w:pPr>
            <w:r>
              <w:rPr>
                <w:sz w:val="14"/>
                <w:szCs w:val="14"/>
              </w:rPr>
              <w:t>18</w:t>
            </w:r>
          </w:p>
        </w:tc>
        <w:tc>
          <w:tcPr>
            <w:tcW w:w="1920" w:type="dxa"/>
            <w:shd w:val="clear" w:color="auto" w:fill="auto"/>
            <w:vAlign w:val="center"/>
          </w:tcPr>
          <w:p w14:paraId="40D82F3C" w14:textId="77777777" w:rsidR="001C7E6F" w:rsidRDefault="001C7E6F" w:rsidP="00BD3046">
            <w:pPr>
              <w:spacing w:after="0" w:line="240" w:lineRule="auto"/>
              <w:rPr>
                <w:sz w:val="14"/>
                <w:szCs w:val="14"/>
              </w:rPr>
            </w:pPr>
            <w:r>
              <w:rPr>
                <w:sz w:val="14"/>
                <w:szCs w:val="14"/>
              </w:rPr>
              <w:t>Auditorias periódicas independentes com plano anual.</w:t>
            </w:r>
          </w:p>
        </w:tc>
        <w:tc>
          <w:tcPr>
            <w:tcW w:w="1695" w:type="dxa"/>
            <w:shd w:val="clear" w:color="auto" w:fill="auto"/>
            <w:vAlign w:val="center"/>
          </w:tcPr>
          <w:p w14:paraId="4098F8DF" w14:textId="77777777" w:rsidR="001C7E6F" w:rsidRDefault="001C7E6F" w:rsidP="00BD3046">
            <w:pPr>
              <w:spacing w:after="0" w:line="240" w:lineRule="auto"/>
              <w:rPr>
                <w:sz w:val="14"/>
                <w:szCs w:val="14"/>
              </w:rPr>
            </w:pPr>
            <w:r>
              <w:rPr>
                <w:sz w:val="14"/>
                <w:szCs w:val="14"/>
              </w:rPr>
              <w:t>Revisar controles; implementar recomendações com prazos.</w:t>
            </w:r>
          </w:p>
        </w:tc>
        <w:tc>
          <w:tcPr>
            <w:tcW w:w="1680" w:type="dxa"/>
            <w:shd w:val="clear" w:color="auto" w:fill="auto"/>
            <w:vAlign w:val="center"/>
          </w:tcPr>
          <w:p w14:paraId="47906851" w14:textId="77777777" w:rsidR="001C7E6F" w:rsidRDefault="001C7E6F" w:rsidP="00BD3046">
            <w:pPr>
              <w:spacing w:after="0" w:line="240" w:lineRule="auto"/>
              <w:rPr>
                <w:sz w:val="14"/>
                <w:szCs w:val="14"/>
              </w:rPr>
            </w:pPr>
            <w:r>
              <w:rPr>
                <w:sz w:val="14"/>
                <w:szCs w:val="14"/>
              </w:rPr>
              <w:t>CI; OGF</w:t>
            </w:r>
          </w:p>
        </w:tc>
      </w:tr>
      <w:tr w:rsidR="001C7E6F" w14:paraId="5A97E368" w14:textId="77777777" w:rsidTr="00BD3046">
        <w:trPr>
          <w:trHeight w:val="20"/>
        </w:trPr>
        <w:tc>
          <w:tcPr>
            <w:tcW w:w="1129" w:type="dxa"/>
            <w:vMerge/>
            <w:shd w:val="clear" w:color="auto" w:fill="auto"/>
            <w:vAlign w:val="center"/>
          </w:tcPr>
          <w:p w14:paraId="0B75AF50" w14:textId="77777777" w:rsidR="001C7E6F" w:rsidRDefault="001C7E6F" w:rsidP="00BD3046">
            <w:pPr>
              <w:widowControl w:val="0"/>
              <w:pBdr>
                <w:top w:val="nil"/>
                <w:left w:val="nil"/>
                <w:bottom w:val="nil"/>
                <w:right w:val="nil"/>
                <w:between w:val="nil"/>
              </w:pBdr>
              <w:spacing w:after="0"/>
              <w:rPr>
                <w:sz w:val="14"/>
                <w:szCs w:val="14"/>
              </w:rPr>
            </w:pPr>
          </w:p>
        </w:tc>
        <w:tc>
          <w:tcPr>
            <w:tcW w:w="1860" w:type="dxa"/>
            <w:shd w:val="clear" w:color="auto" w:fill="auto"/>
            <w:vAlign w:val="center"/>
          </w:tcPr>
          <w:p w14:paraId="3CD34AE2" w14:textId="77777777" w:rsidR="001C7E6F" w:rsidRDefault="001C7E6F" w:rsidP="00BD3046">
            <w:pPr>
              <w:spacing w:after="0" w:line="240" w:lineRule="auto"/>
              <w:rPr>
                <w:sz w:val="14"/>
                <w:szCs w:val="14"/>
              </w:rPr>
            </w:pPr>
            <w:r>
              <w:rPr>
                <w:sz w:val="14"/>
                <w:szCs w:val="14"/>
              </w:rPr>
              <w:t>P71. O Tribunal de Contas não identificou irregularidades ou riscos no uso do Fundo nos últimos 5 anos?</w:t>
            </w:r>
          </w:p>
        </w:tc>
        <w:tc>
          <w:tcPr>
            <w:tcW w:w="495" w:type="dxa"/>
            <w:shd w:val="clear" w:color="auto" w:fill="auto"/>
            <w:vAlign w:val="center"/>
          </w:tcPr>
          <w:p w14:paraId="10EC8A22"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FFFF00"/>
            <w:vAlign w:val="center"/>
          </w:tcPr>
          <w:p w14:paraId="5D7BFF82" w14:textId="77777777" w:rsidR="001C7E6F" w:rsidRDefault="001C7E6F" w:rsidP="00BD3046">
            <w:pPr>
              <w:spacing w:after="0" w:line="240" w:lineRule="auto"/>
              <w:rPr>
                <w:sz w:val="14"/>
                <w:szCs w:val="14"/>
              </w:rPr>
            </w:pPr>
            <w:r>
              <w:rPr>
                <w:sz w:val="14"/>
                <w:szCs w:val="14"/>
              </w:rPr>
              <w:t>R46. Fragilidade no controle externo; risco de sanções.</w:t>
            </w:r>
          </w:p>
        </w:tc>
        <w:tc>
          <w:tcPr>
            <w:tcW w:w="1875" w:type="dxa"/>
            <w:shd w:val="clear" w:color="auto" w:fill="FFFF00"/>
            <w:vAlign w:val="center"/>
          </w:tcPr>
          <w:p w14:paraId="7906112A" w14:textId="77777777" w:rsidR="001C7E6F" w:rsidRDefault="001C7E6F" w:rsidP="00BD3046">
            <w:pPr>
              <w:spacing w:after="0" w:line="240" w:lineRule="auto"/>
              <w:rPr>
                <w:sz w:val="14"/>
                <w:szCs w:val="14"/>
              </w:rPr>
            </w:pPr>
            <w:r>
              <w:rPr>
                <w:sz w:val="14"/>
                <w:szCs w:val="14"/>
              </w:rPr>
              <w:t>3 – MÉDIO</w:t>
            </w:r>
          </w:p>
          <w:p w14:paraId="78CD6A85" w14:textId="77777777" w:rsidR="001C7E6F" w:rsidRDefault="001C7E6F" w:rsidP="00BD3046">
            <w:pPr>
              <w:spacing w:after="0" w:line="240" w:lineRule="auto"/>
              <w:rPr>
                <w:sz w:val="14"/>
                <w:szCs w:val="14"/>
              </w:rPr>
            </w:pPr>
            <w:r>
              <w:rPr>
                <w:sz w:val="14"/>
                <w:szCs w:val="14"/>
              </w:rPr>
              <w:t>Responsabilização posterior e glosas futuras.</w:t>
            </w:r>
          </w:p>
        </w:tc>
        <w:tc>
          <w:tcPr>
            <w:tcW w:w="945" w:type="dxa"/>
            <w:vAlign w:val="center"/>
          </w:tcPr>
          <w:p w14:paraId="7B7C70AA"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6FFB2FCD" w14:textId="77777777" w:rsidR="001C7E6F" w:rsidRDefault="001C7E6F" w:rsidP="00BD3046">
            <w:pPr>
              <w:spacing w:after="0" w:line="240" w:lineRule="auto"/>
              <w:jc w:val="center"/>
              <w:rPr>
                <w:sz w:val="14"/>
                <w:szCs w:val="14"/>
              </w:rPr>
            </w:pPr>
            <w:r>
              <w:rPr>
                <w:sz w:val="14"/>
                <w:szCs w:val="14"/>
              </w:rPr>
              <w:t>18</w:t>
            </w:r>
          </w:p>
        </w:tc>
        <w:tc>
          <w:tcPr>
            <w:tcW w:w="1920" w:type="dxa"/>
            <w:shd w:val="clear" w:color="auto" w:fill="auto"/>
            <w:vAlign w:val="center"/>
          </w:tcPr>
          <w:p w14:paraId="1265CA08" w14:textId="77777777" w:rsidR="001C7E6F" w:rsidRDefault="001C7E6F" w:rsidP="00BD3046">
            <w:pPr>
              <w:spacing w:after="0" w:line="240" w:lineRule="auto"/>
              <w:rPr>
                <w:sz w:val="14"/>
                <w:szCs w:val="14"/>
              </w:rPr>
            </w:pPr>
            <w:r>
              <w:rPr>
                <w:sz w:val="14"/>
                <w:szCs w:val="14"/>
              </w:rPr>
              <w:t>Fortalecer controles internos; cooperação técnica com TC.</w:t>
            </w:r>
          </w:p>
        </w:tc>
        <w:tc>
          <w:tcPr>
            <w:tcW w:w="1695" w:type="dxa"/>
            <w:shd w:val="clear" w:color="auto" w:fill="auto"/>
            <w:vAlign w:val="center"/>
          </w:tcPr>
          <w:p w14:paraId="66044070" w14:textId="77777777" w:rsidR="001C7E6F" w:rsidRDefault="001C7E6F" w:rsidP="00BD3046">
            <w:pPr>
              <w:spacing w:after="0" w:line="240" w:lineRule="auto"/>
              <w:rPr>
                <w:sz w:val="14"/>
                <w:szCs w:val="14"/>
              </w:rPr>
            </w:pPr>
            <w:r>
              <w:rPr>
                <w:sz w:val="14"/>
                <w:szCs w:val="14"/>
              </w:rPr>
              <w:t>Plano de saneamento com prazos e evidências.</w:t>
            </w:r>
          </w:p>
        </w:tc>
        <w:tc>
          <w:tcPr>
            <w:tcW w:w="1680" w:type="dxa"/>
            <w:shd w:val="clear" w:color="auto" w:fill="auto"/>
            <w:vAlign w:val="center"/>
          </w:tcPr>
          <w:p w14:paraId="4C28F6FB" w14:textId="77777777" w:rsidR="001C7E6F" w:rsidRDefault="001C7E6F" w:rsidP="00BD3046">
            <w:pPr>
              <w:spacing w:after="0" w:line="240" w:lineRule="auto"/>
              <w:rPr>
                <w:sz w:val="14"/>
                <w:szCs w:val="14"/>
              </w:rPr>
            </w:pPr>
            <w:r>
              <w:rPr>
                <w:sz w:val="14"/>
                <w:szCs w:val="14"/>
              </w:rPr>
              <w:t>OGF; CI; TC</w:t>
            </w:r>
          </w:p>
        </w:tc>
      </w:tr>
      <w:tr w:rsidR="001C7E6F" w14:paraId="708C73E2" w14:textId="77777777" w:rsidTr="00BD3046">
        <w:trPr>
          <w:trHeight w:val="20"/>
        </w:trPr>
        <w:tc>
          <w:tcPr>
            <w:tcW w:w="1129" w:type="dxa"/>
            <w:vMerge/>
            <w:shd w:val="clear" w:color="auto" w:fill="auto"/>
            <w:vAlign w:val="center"/>
          </w:tcPr>
          <w:p w14:paraId="0FFC0006" w14:textId="77777777" w:rsidR="001C7E6F" w:rsidRDefault="001C7E6F" w:rsidP="00BD3046">
            <w:pPr>
              <w:widowControl w:val="0"/>
              <w:pBdr>
                <w:top w:val="nil"/>
                <w:left w:val="nil"/>
                <w:bottom w:val="nil"/>
                <w:right w:val="nil"/>
                <w:between w:val="nil"/>
              </w:pBdr>
              <w:spacing w:after="0"/>
              <w:rPr>
                <w:sz w:val="14"/>
                <w:szCs w:val="14"/>
              </w:rPr>
            </w:pPr>
          </w:p>
        </w:tc>
        <w:tc>
          <w:tcPr>
            <w:tcW w:w="1860" w:type="dxa"/>
            <w:shd w:val="clear" w:color="auto" w:fill="auto"/>
            <w:vAlign w:val="center"/>
          </w:tcPr>
          <w:p w14:paraId="5199A797" w14:textId="77777777" w:rsidR="001C7E6F" w:rsidRDefault="001C7E6F" w:rsidP="00BD3046">
            <w:pPr>
              <w:spacing w:after="0" w:line="240" w:lineRule="auto"/>
              <w:rPr>
                <w:sz w:val="14"/>
                <w:szCs w:val="14"/>
              </w:rPr>
            </w:pPr>
            <w:r>
              <w:rPr>
                <w:sz w:val="14"/>
                <w:szCs w:val="14"/>
              </w:rPr>
              <w:t>P72. O Ministério Público (Estadual ou de Contas) não identificou irregularidades ou riscos no uso do Fundo nos últimos 5 anos?</w:t>
            </w:r>
          </w:p>
        </w:tc>
        <w:tc>
          <w:tcPr>
            <w:tcW w:w="495" w:type="dxa"/>
            <w:shd w:val="clear" w:color="auto" w:fill="auto"/>
            <w:vAlign w:val="center"/>
          </w:tcPr>
          <w:p w14:paraId="0EBF3BA7"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E36C09"/>
            <w:vAlign w:val="center"/>
          </w:tcPr>
          <w:p w14:paraId="59602971" w14:textId="77777777" w:rsidR="001C7E6F" w:rsidRDefault="001C7E6F" w:rsidP="00BD3046">
            <w:pPr>
              <w:spacing w:after="0" w:line="240" w:lineRule="auto"/>
              <w:rPr>
                <w:sz w:val="14"/>
                <w:szCs w:val="14"/>
              </w:rPr>
            </w:pPr>
            <w:r>
              <w:rPr>
                <w:sz w:val="14"/>
                <w:szCs w:val="14"/>
              </w:rPr>
              <w:t>R47. Judicialização por irregularidades/ilegalidades.</w:t>
            </w:r>
          </w:p>
        </w:tc>
        <w:tc>
          <w:tcPr>
            <w:tcW w:w="1875" w:type="dxa"/>
            <w:shd w:val="clear" w:color="auto" w:fill="E36C09"/>
            <w:vAlign w:val="center"/>
          </w:tcPr>
          <w:p w14:paraId="5922C198" w14:textId="77777777" w:rsidR="001C7E6F" w:rsidRDefault="001C7E6F" w:rsidP="00BD3046">
            <w:pPr>
              <w:spacing w:after="0" w:line="240" w:lineRule="auto"/>
              <w:rPr>
                <w:sz w:val="14"/>
                <w:szCs w:val="14"/>
              </w:rPr>
            </w:pPr>
            <w:r>
              <w:rPr>
                <w:sz w:val="14"/>
                <w:szCs w:val="14"/>
              </w:rPr>
              <w:t>4 – ALTO</w:t>
            </w:r>
          </w:p>
          <w:p w14:paraId="2569D37D" w14:textId="77777777" w:rsidR="001C7E6F" w:rsidRDefault="001C7E6F" w:rsidP="00BD3046">
            <w:pPr>
              <w:spacing w:after="0" w:line="240" w:lineRule="auto"/>
              <w:rPr>
                <w:sz w:val="14"/>
                <w:szCs w:val="14"/>
              </w:rPr>
            </w:pPr>
            <w:r>
              <w:rPr>
                <w:sz w:val="14"/>
                <w:szCs w:val="14"/>
              </w:rPr>
              <w:t>Pode paralisar políticas públicas e gerar bloqueios.</w:t>
            </w:r>
          </w:p>
        </w:tc>
        <w:tc>
          <w:tcPr>
            <w:tcW w:w="945" w:type="dxa"/>
            <w:vAlign w:val="center"/>
          </w:tcPr>
          <w:p w14:paraId="67E33222"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12072662" w14:textId="77777777" w:rsidR="001C7E6F" w:rsidRDefault="001C7E6F" w:rsidP="00BD3046">
            <w:pPr>
              <w:spacing w:after="0" w:line="240" w:lineRule="auto"/>
              <w:jc w:val="center"/>
              <w:rPr>
                <w:sz w:val="14"/>
                <w:szCs w:val="14"/>
              </w:rPr>
            </w:pPr>
            <w:r>
              <w:rPr>
                <w:sz w:val="14"/>
                <w:szCs w:val="14"/>
              </w:rPr>
              <w:t>24</w:t>
            </w:r>
          </w:p>
        </w:tc>
        <w:tc>
          <w:tcPr>
            <w:tcW w:w="1920" w:type="dxa"/>
            <w:shd w:val="clear" w:color="auto" w:fill="auto"/>
            <w:vAlign w:val="center"/>
          </w:tcPr>
          <w:p w14:paraId="375843E3" w14:textId="77777777" w:rsidR="001C7E6F" w:rsidRDefault="001C7E6F" w:rsidP="00BD3046">
            <w:pPr>
              <w:spacing w:after="0" w:line="240" w:lineRule="auto"/>
              <w:rPr>
                <w:sz w:val="14"/>
                <w:szCs w:val="14"/>
              </w:rPr>
            </w:pPr>
            <w:r>
              <w:rPr>
                <w:sz w:val="14"/>
                <w:szCs w:val="14"/>
              </w:rPr>
              <w:t>Prestação de contas proativa e transparência ativa.</w:t>
            </w:r>
          </w:p>
        </w:tc>
        <w:tc>
          <w:tcPr>
            <w:tcW w:w="1695" w:type="dxa"/>
            <w:shd w:val="clear" w:color="auto" w:fill="auto"/>
            <w:vAlign w:val="center"/>
          </w:tcPr>
          <w:p w14:paraId="50311D7A" w14:textId="77777777" w:rsidR="001C7E6F" w:rsidRDefault="001C7E6F" w:rsidP="00BD3046">
            <w:pPr>
              <w:spacing w:after="0" w:line="240" w:lineRule="auto"/>
              <w:rPr>
                <w:sz w:val="14"/>
                <w:szCs w:val="14"/>
              </w:rPr>
            </w:pPr>
            <w:r>
              <w:rPr>
                <w:sz w:val="14"/>
                <w:szCs w:val="14"/>
              </w:rPr>
              <w:t>Firmar TAC/ajuste de conduta; corrigir falhas identificadas.</w:t>
            </w:r>
          </w:p>
        </w:tc>
        <w:tc>
          <w:tcPr>
            <w:tcW w:w="1680" w:type="dxa"/>
            <w:shd w:val="clear" w:color="auto" w:fill="auto"/>
            <w:vAlign w:val="center"/>
          </w:tcPr>
          <w:p w14:paraId="0744AC23" w14:textId="77777777" w:rsidR="001C7E6F" w:rsidRDefault="001C7E6F" w:rsidP="00BD3046">
            <w:pPr>
              <w:spacing w:after="0" w:line="240" w:lineRule="auto"/>
              <w:rPr>
                <w:sz w:val="14"/>
                <w:szCs w:val="14"/>
              </w:rPr>
            </w:pPr>
            <w:r>
              <w:rPr>
                <w:sz w:val="14"/>
                <w:szCs w:val="14"/>
              </w:rPr>
              <w:t>OGF; Ministério Público; Procuradoria; CI</w:t>
            </w:r>
          </w:p>
        </w:tc>
      </w:tr>
      <w:tr w:rsidR="001C7E6F" w14:paraId="725FB053" w14:textId="77777777" w:rsidTr="00BD3046">
        <w:trPr>
          <w:trHeight w:val="20"/>
        </w:trPr>
        <w:tc>
          <w:tcPr>
            <w:tcW w:w="1129" w:type="dxa"/>
            <w:vMerge/>
            <w:shd w:val="clear" w:color="auto" w:fill="auto"/>
            <w:vAlign w:val="center"/>
          </w:tcPr>
          <w:p w14:paraId="574695A5" w14:textId="77777777" w:rsidR="001C7E6F" w:rsidRDefault="001C7E6F" w:rsidP="00BD3046">
            <w:pPr>
              <w:widowControl w:val="0"/>
              <w:pBdr>
                <w:top w:val="nil"/>
                <w:left w:val="nil"/>
                <w:bottom w:val="nil"/>
                <w:right w:val="nil"/>
                <w:between w:val="nil"/>
              </w:pBdr>
              <w:spacing w:after="0"/>
              <w:rPr>
                <w:sz w:val="14"/>
                <w:szCs w:val="14"/>
              </w:rPr>
            </w:pPr>
          </w:p>
        </w:tc>
        <w:tc>
          <w:tcPr>
            <w:tcW w:w="1860" w:type="dxa"/>
            <w:shd w:val="clear" w:color="auto" w:fill="auto"/>
            <w:vAlign w:val="center"/>
          </w:tcPr>
          <w:p w14:paraId="49E7AE30" w14:textId="77777777" w:rsidR="001C7E6F" w:rsidRDefault="001C7E6F" w:rsidP="00BD3046">
            <w:pPr>
              <w:spacing w:after="0" w:line="240" w:lineRule="auto"/>
              <w:rPr>
                <w:sz w:val="14"/>
                <w:szCs w:val="14"/>
              </w:rPr>
            </w:pPr>
            <w:r>
              <w:rPr>
                <w:sz w:val="14"/>
                <w:szCs w:val="14"/>
              </w:rPr>
              <w:t>P73. Não foram identificadas fraudes ou ações judiciais relacionadas ao uso do Fundo?</w:t>
            </w:r>
          </w:p>
        </w:tc>
        <w:tc>
          <w:tcPr>
            <w:tcW w:w="495" w:type="dxa"/>
            <w:shd w:val="clear" w:color="auto" w:fill="auto"/>
            <w:vAlign w:val="center"/>
          </w:tcPr>
          <w:p w14:paraId="581239B5"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C00000"/>
            <w:vAlign w:val="center"/>
          </w:tcPr>
          <w:p w14:paraId="4E3CBF87" w14:textId="77777777" w:rsidR="001C7E6F" w:rsidRDefault="001C7E6F" w:rsidP="00BD3046">
            <w:pPr>
              <w:spacing w:after="0" w:line="240" w:lineRule="auto"/>
              <w:rPr>
                <w:sz w:val="14"/>
                <w:szCs w:val="14"/>
              </w:rPr>
            </w:pPr>
            <w:r>
              <w:rPr>
                <w:sz w:val="14"/>
                <w:szCs w:val="14"/>
              </w:rPr>
              <w:t>R48. Integridade comprometida; litígios e sanções.</w:t>
            </w:r>
          </w:p>
        </w:tc>
        <w:tc>
          <w:tcPr>
            <w:tcW w:w="1875" w:type="dxa"/>
            <w:shd w:val="clear" w:color="auto" w:fill="C00000"/>
            <w:vAlign w:val="center"/>
          </w:tcPr>
          <w:p w14:paraId="0B8C71AB" w14:textId="77777777" w:rsidR="001C7E6F" w:rsidRDefault="001C7E6F" w:rsidP="00BD3046">
            <w:pPr>
              <w:spacing w:after="0" w:line="240" w:lineRule="auto"/>
              <w:rPr>
                <w:sz w:val="14"/>
                <w:szCs w:val="14"/>
              </w:rPr>
            </w:pPr>
            <w:r>
              <w:rPr>
                <w:sz w:val="14"/>
                <w:szCs w:val="14"/>
              </w:rPr>
              <w:t xml:space="preserve">5 – MUITO ALTO </w:t>
            </w:r>
          </w:p>
          <w:p w14:paraId="25F15582" w14:textId="77777777" w:rsidR="001C7E6F" w:rsidRDefault="001C7E6F" w:rsidP="00BD3046">
            <w:pPr>
              <w:spacing w:after="0" w:line="240" w:lineRule="auto"/>
              <w:rPr>
                <w:sz w:val="14"/>
                <w:szCs w:val="14"/>
              </w:rPr>
            </w:pPr>
            <w:r>
              <w:rPr>
                <w:sz w:val="14"/>
                <w:szCs w:val="14"/>
              </w:rPr>
              <w:t>Bloqueios judiciais e crise institucional.</w:t>
            </w:r>
          </w:p>
        </w:tc>
        <w:tc>
          <w:tcPr>
            <w:tcW w:w="945" w:type="dxa"/>
            <w:vAlign w:val="center"/>
          </w:tcPr>
          <w:p w14:paraId="366A3265"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231C2230" w14:textId="77777777" w:rsidR="001C7E6F" w:rsidRDefault="001C7E6F" w:rsidP="00BD3046">
            <w:pPr>
              <w:spacing w:after="0" w:line="240" w:lineRule="auto"/>
              <w:jc w:val="center"/>
              <w:rPr>
                <w:sz w:val="14"/>
                <w:szCs w:val="14"/>
              </w:rPr>
            </w:pPr>
            <w:r>
              <w:rPr>
                <w:sz w:val="14"/>
                <w:szCs w:val="14"/>
              </w:rPr>
              <w:t>45</w:t>
            </w:r>
          </w:p>
        </w:tc>
        <w:tc>
          <w:tcPr>
            <w:tcW w:w="1920" w:type="dxa"/>
            <w:shd w:val="clear" w:color="auto" w:fill="auto"/>
            <w:vAlign w:val="center"/>
          </w:tcPr>
          <w:p w14:paraId="09584895" w14:textId="77777777" w:rsidR="001C7E6F" w:rsidRDefault="001C7E6F" w:rsidP="00BD3046">
            <w:pPr>
              <w:spacing w:after="0" w:line="240" w:lineRule="auto"/>
              <w:rPr>
                <w:sz w:val="14"/>
                <w:szCs w:val="14"/>
              </w:rPr>
            </w:pPr>
            <w:r>
              <w:rPr>
                <w:sz w:val="14"/>
                <w:szCs w:val="14"/>
              </w:rPr>
              <w:t>Programa de Integridade; canais de denúncia; controles preventivos.</w:t>
            </w:r>
          </w:p>
        </w:tc>
        <w:tc>
          <w:tcPr>
            <w:tcW w:w="1695" w:type="dxa"/>
            <w:shd w:val="clear" w:color="auto" w:fill="auto"/>
            <w:vAlign w:val="center"/>
          </w:tcPr>
          <w:p w14:paraId="1AE53800" w14:textId="77777777" w:rsidR="001C7E6F" w:rsidRDefault="001C7E6F" w:rsidP="00BD3046">
            <w:pPr>
              <w:spacing w:after="0" w:line="240" w:lineRule="auto"/>
              <w:rPr>
                <w:sz w:val="14"/>
                <w:szCs w:val="14"/>
              </w:rPr>
            </w:pPr>
            <w:r>
              <w:rPr>
                <w:sz w:val="14"/>
                <w:szCs w:val="14"/>
              </w:rPr>
              <w:t>Protocolo anticorrupção: suspensão cautelar, apuração e saneamento.</w:t>
            </w:r>
          </w:p>
        </w:tc>
        <w:tc>
          <w:tcPr>
            <w:tcW w:w="1680" w:type="dxa"/>
            <w:shd w:val="clear" w:color="auto" w:fill="auto"/>
            <w:vAlign w:val="center"/>
          </w:tcPr>
          <w:p w14:paraId="66A2107E" w14:textId="77777777" w:rsidR="001C7E6F" w:rsidRDefault="001C7E6F" w:rsidP="00BD3046">
            <w:pPr>
              <w:spacing w:after="0" w:line="240" w:lineRule="auto"/>
              <w:rPr>
                <w:sz w:val="14"/>
                <w:szCs w:val="14"/>
              </w:rPr>
            </w:pPr>
            <w:r>
              <w:rPr>
                <w:sz w:val="14"/>
                <w:szCs w:val="14"/>
              </w:rPr>
              <w:t>CI; OGF; Procuradoria</w:t>
            </w:r>
          </w:p>
        </w:tc>
      </w:tr>
      <w:tr w:rsidR="001C7E6F" w14:paraId="2C898D13" w14:textId="77777777" w:rsidTr="00BD3046">
        <w:trPr>
          <w:trHeight w:val="20"/>
        </w:trPr>
        <w:tc>
          <w:tcPr>
            <w:tcW w:w="1129" w:type="dxa"/>
            <w:vMerge w:val="restart"/>
            <w:shd w:val="clear" w:color="auto" w:fill="auto"/>
            <w:vAlign w:val="center"/>
          </w:tcPr>
          <w:p w14:paraId="5BFC5856" w14:textId="77777777" w:rsidR="001C7E6F" w:rsidRDefault="001C7E6F" w:rsidP="00BD3046">
            <w:pPr>
              <w:widowControl w:val="0"/>
              <w:pBdr>
                <w:top w:val="nil"/>
                <w:left w:val="nil"/>
                <w:bottom w:val="nil"/>
                <w:right w:val="nil"/>
                <w:between w:val="nil"/>
              </w:pBdr>
              <w:spacing w:after="0"/>
              <w:rPr>
                <w:sz w:val="14"/>
                <w:szCs w:val="14"/>
              </w:rPr>
            </w:pPr>
            <w:r>
              <w:rPr>
                <w:sz w:val="14"/>
                <w:szCs w:val="14"/>
              </w:rPr>
              <w:t>Avaliativa</w:t>
            </w:r>
          </w:p>
        </w:tc>
        <w:tc>
          <w:tcPr>
            <w:tcW w:w="1860" w:type="dxa"/>
            <w:shd w:val="clear" w:color="auto" w:fill="auto"/>
            <w:vAlign w:val="center"/>
          </w:tcPr>
          <w:p w14:paraId="7AD5C291" w14:textId="77777777" w:rsidR="001C7E6F" w:rsidRDefault="001C7E6F" w:rsidP="00BD3046">
            <w:pPr>
              <w:spacing w:after="0" w:line="240" w:lineRule="auto"/>
              <w:rPr>
                <w:sz w:val="14"/>
                <w:szCs w:val="14"/>
              </w:rPr>
            </w:pPr>
            <w:r>
              <w:rPr>
                <w:sz w:val="14"/>
                <w:szCs w:val="14"/>
              </w:rPr>
              <w:t>P56. As ações planejadas foram executadas (totais liquidados por ação) em ≥ 85% do valor autorizado?</w:t>
            </w:r>
          </w:p>
        </w:tc>
        <w:tc>
          <w:tcPr>
            <w:tcW w:w="495" w:type="dxa"/>
            <w:shd w:val="clear" w:color="auto" w:fill="auto"/>
            <w:vAlign w:val="center"/>
          </w:tcPr>
          <w:p w14:paraId="75962105"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E36C09"/>
            <w:vAlign w:val="center"/>
          </w:tcPr>
          <w:p w14:paraId="1B7DAFD5" w14:textId="77777777" w:rsidR="001C7E6F" w:rsidRDefault="001C7E6F" w:rsidP="00BD3046">
            <w:pPr>
              <w:spacing w:after="0" w:line="240" w:lineRule="auto"/>
              <w:rPr>
                <w:sz w:val="14"/>
                <w:szCs w:val="14"/>
              </w:rPr>
            </w:pPr>
            <w:r>
              <w:rPr>
                <w:sz w:val="14"/>
                <w:szCs w:val="14"/>
              </w:rPr>
              <w:t>R50. Metas de entrega física não cumpridas.</w:t>
            </w:r>
          </w:p>
        </w:tc>
        <w:tc>
          <w:tcPr>
            <w:tcW w:w="1875" w:type="dxa"/>
            <w:shd w:val="clear" w:color="auto" w:fill="E36C09"/>
            <w:vAlign w:val="center"/>
          </w:tcPr>
          <w:p w14:paraId="3FCF5153" w14:textId="77777777" w:rsidR="001C7E6F" w:rsidRDefault="001C7E6F" w:rsidP="00BD3046">
            <w:pPr>
              <w:spacing w:after="0" w:line="240" w:lineRule="auto"/>
              <w:rPr>
                <w:sz w:val="14"/>
                <w:szCs w:val="14"/>
              </w:rPr>
            </w:pPr>
            <w:r>
              <w:rPr>
                <w:sz w:val="14"/>
                <w:szCs w:val="14"/>
              </w:rPr>
              <w:t>4 – ALTO</w:t>
            </w:r>
          </w:p>
          <w:p w14:paraId="0F6FB9EB" w14:textId="77777777" w:rsidR="001C7E6F" w:rsidRDefault="001C7E6F" w:rsidP="00BD3046">
            <w:pPr>
              <w:spacing w:after="0" w:line="240" w:lineRule="auto"/>
              <w:rPr>
                <w:sz w:val="14"/>
                <w:szCs w:val="14"/>
              </w:rPr>
            </w:pPr>
            <w:r>
              <w:rPr>
                <w:sz w:val="14"/>
                <w:szCs w:val="14"/>
              </w:rPr>
              <w:t>Compromete a eficácia do Fundo e dos direitos sociais.</w:t>
            </w:r>
          </w:p>
        </w:tc>
        <w:tc>
          <w:tcPr>
            <w:tcW w:w="945" w:type="dxa"/>
            <w:vAlign w:val="center"/>
          </w:tcPr>
          <w:p w14:paraId="4C3C1AE7"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38E0E20A" w14:textId="77777777" w:rsidR="001C7E6F" w:rsidRDefault="001C7E6F" w:rsidP="00BD3046">
            <w:pPr>
              <w:spacing w:after="0" w:line="240" w:lineRule="auto"/>
              <w:jc w:val="center"/>
              <w:rPr>
                <w:sz w:val="14"/>
                <w:szCs w:val="14"/>
              </w:rPr>
            </w:pPr>
            <w:r>
              <w:rPr>
                <w:sz w:val="14"/>
                <w:szCs w:val="14"/>
              </w:rPr>
              <w:t>36</w:t>
            </w:r>
          </w:p>
        </w:tc>
        <w:tc>
          <w:tcPr>
            <w:tcW w:w="1920" w:type="dxa"/>
            <w:shd w:val="clear" w:color="auto" w:fill="auto"/>
            <w:vAlign w:val="center"/>
          </w:tcPr>
          <w:p w14:paraId="264C7679" w14:textId="77777777" w:rsidR="001C7E6F" w:rsidRDefault="001C7E6F" w:rsidP="00BD3046">
            <w:pPr>
              <w:spacing w:after="0" w:line="240" w:lineRule="auto"/>
              <w:rPr>
                <w:sz w:val="14"/>
                <w:szCs w:val="14"/>
              </w:rPr>
            </w:pPr>
            <w:r>
              <w:rPr>
                <w:sz w:val="14"/>
                <w:szCs w:val="14"/>
              </w:rPr>
              <w:t>Elaborar planejamento com base no princípio do realismo orçamentário.</w:t>
            </w:r>
          </w:p>
        </w:tc>
        <w:tc>
          <w:tcPr>
            <w:tcW w:w="1695" w:type="dxa"/>
            <w:shd w:val="clear" w:color="auto" w:fill="auto"/>
            <w:vAlign w:val="center"/>
          </w:tcPr>
          <w:p w14:paraId="5E69B574" w14:textId="77777777" w:rsidR="001C7E6F" w:rsidRDefault="001C7E6F" w:rsidP="00BD3046">
            <w:pPr>
              <w:spacing w:after="0" w:line="240" w:lineRule="auto"/>
              <w:rPr>
                <w:sz w:val="14"/>
                <w:szCs w:val="14"/>
              </w:rPr>
            </w:pPr>
            <w:r>
              <w:rPr>
                <w:sz w:val="14"/>
                <w:szCs w:val="14"/>
              </w:rPr>
              <w:t>Reprogramar ações com foco finalístico.</w:t>
            </w:r>
          </w:p>
        </w:tc>
        <w:tc>
          <w:tcPr>
            <w:tcW w:w="1680" w:type="dxa"/>
            <w:shd w:val="clear" w:color="auto" w:fill="auto"/>
            <w:vAlign w:val="center"/>
          </w:tcPr>
          <w:p w14:paraId="18631782" w14:textId="77777777" w:rsidR="001C7E6F" w:rsidRDefault="001C7E6F" w:rsidP="00BD3046">
            <w:pPr>
              <w:spacing w:after="0" w:line="240" w:lineRule="auto"/>
              <w:rPr>
                <w:sz w:val="14"/>
                <w:szCs w:val="14"/>
              </w:rPr>
            </w:pPr>
            <w:r>
              <w:rPr>
                <w:sz w:val="14"/>
                <w:szCs w:val="14"/>
              </w:rPr>
              <w:t>OGF; CGF</w:t>
            </w:r>
          </w:p>
        </w:tc>
      </w:tr>
      <w:tr w:rsidR="001C7E6F" w14:paraId="58F58B35" w14:textId="77777777" w:rsidTr="00BD3046">
        <w:trPr>
          <w:trHeight w:val="20"/>
        </w:trPr>
        <w:tc>
          <w:tcPr>
            <w:tcW w:w="1129" w:type="dxa"/>
            <w:vMerge/>
            <w:shd w:val="clear" w:color="auto" w:fill="auto"/>
            <w:vAlign w:val="center"/>
          </w:tcPr>
          <w:p w14:paraId="33F5EA3E" w14:textId="77777777" w:rsidR="001C7E6F" w:rsidRDefault="001C7E6F" w:rsidP="00BD3046">
            <w:pPr>
              <w:widowControl w:val="0"/>
              <w:pBdr>
                <w:top w:val="nil"/>
                <w:left w:val="nil"/>
                <w:bottom w:val="nil"/>
                <w:right w:val="nil"/>
                <w:between w:val="nil"/>
              </w:pBdr>
              <w:spacing w:after="0"/>
              <w:rPr>
                <w:sz w:val="14"/>
                <w:szCs w:val="14"/>
              </w:rPr>
            </w:pPr>
          </w:p>
        </w:tc>
        <w:tc>
          <w:tcPr>
            <w:tcW w:w="1860" w:type="dxa"/>
            <w:shd w:val="clear" w:color="auto" w:fill="auto"/>
            <w:vAlign w:val="center"/>
          </w:tcPr>
          <w:p w14:paraId="7C282C47" w14:textId="77777777" w:rsidR="001C7E6F" w:rsidRDefault="001C7E6F" w:rsidP="00BD3046">
            <w:pPr>
              <w:spacing w:after="0" w:line="240" w:lineRule="auto"/>
              <w:rPr>
                <w:sz w:val="14"/>
                <w:szCs w:val="14"/>
              </w:rPr>
            </w:pPr>
            <w:r>
              <w:rPr>
                <w:sz w:val="14"/>
                <w:szCs w:val="14"/>
              </w:rPr>
              <w:t>P57. Não há indícios de desvio de finalidade?</w:t>
            </w:r>
          </w:p>
        </w:tc>
        <w:tc>
          <w:tcPr>
            <w:tcW w:w="495" w:type="dxa"/>
            <w:shd w:val="clear" w:color="auto" w:fill="auto"/>
            <w:vAlign w:val="center"/>
          </w:tcPr>
          <w:p w14:paraId="2C37A53E" w14:textId="77777777" w:rsidR="001C7E6F" w:rsidRDefault="001C7E6F" w:rsidP="00BD3046">
            <w:pPr>
              <w:spacing w:after="0" w:line="240" w:lineRule="auto"/>
              <w:jc w:val="center"/>
              <w:rPr>
                <w:sz w:val="14"/>
                <w:szCs w:val="14"/>
              </w:rPr>
            </w:pPr>
            <w:r>
              <w:rPr>
                <w:sz w:val="14"/>
                <w:szCs w:val="14"/>
              </w:rPr>
              <w:t>3</w:t>
            </w:r>
          </w:p>
        </w:tc>
        <w:tc>
          <w:tcPr>
            <w:tcW w:w="1680" w:type="dxa"/>
            <w:shd w:val="clear" w:color="auto" w:fill="E36C09"/>
            <w:vAlign w:val="center"/>
          </w:tcPr>
          <w:p w14:paraId="6DCB0254" w14:textId="77777777" w:rsidR="001C7E6F" w:rsidRDefault="001C7E6F" w:rsidP="00BD3046">
            <w:pPr>
              <w:spacing w:after="0" w:line="240" w:lineRule="auto"/>
              <w:rPr>
                <w:sz w:val="14"/>
                <w:szCs w:val="14"/>
              </w:rPr>
            </w:pPr>
            <w:r>
              <w:rPr>
                <w:sz w:val="14"/>
                <w:szCs w:val="14"/>
              </w:rPr>
              <w:t>R51. Uso indevido de recursos.</w:t>
            </w:r>
          </w:p>
        </w:tc>
        <w:tc>
          <w:tcPr>
            <w:tcW w:w="1875" w:type="dxa"/>
            <w:shd w:val="clear" w:color="auto" w:fill="E36C09"/>
            <w:vAlign w:val="center"/>
          </w:tcPr>
          <w:p w14:paraId="2025434F" w14:textId="77777777" w:rsidR="001C7E6F" w:rsidRDefault="001C7E6F" w:rsidP="00BD3046">
            <w:pPr>
              <w:spacing w:after="0" w:line="240" w:lineRule="auto"/>
              <w:rPr>
                <w:sz w:val="14"/>
                <w:szCs w:val="14"/>
              </w:rPr>
            </w:pPr>
            <w:r>
              <w:rPr>
                <w:sz w:val="14"/>
                <w:szCs w:val="14"/>
              </w:rPr>
              <w:t>4 – ALTO</w:t>
            </w:r>
          </w:p>
          <w:p w14:paraId="5093EBAA" w14:textId="77777777" w:rsidR="001C7E6F" w:rsidRDefault="001C7E6F" w:rsidP="00BD3046">
            <w:pPr>
              <w:spacing w:after="0" w:line="240" w:lineRule="auto"/>
              <w:rPr>
                <w:sz w:val="14"/>
                <w:szCs w:val="14"/>
              </w:rPr>
            </w:pPr>
            <w:r>
              <w:rPr>
                <w:sz w:val="14"/>
                <w:szCs w:val="14"/>
              </w:rPr>
              <w:t>Risco de improbidade, devolução de valores ao Fundo e sanções.</w:t>
            </w:r>
          </w:p>
        </w:tc>
        <w:tc>
          <w:tcPr>
            <w:tcW w:w="945" w:type="dxa"/>
            <w:vAlign w:val="center"/>
          </w:tcPr>
          <w:p w14:paraId="55C4BAEA"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77437AE5" w14:textId="77777777" w:rsidR="001C7E6F" w:rsidRDefault="001C7E6F" w:rsidP="00BD3046">
            <w:pPr>
              <w:spacing w:after="0" w:line="240" w:lineRule="auto"/>
              <w:jc w:val="center"/>
              <w:rPr>
                <w:sz w:val="14"/>
                <w:szCs w:val="14"/>
              </w:rPr>
            </w:pPr>
            <w:r>
              <w:rPr>
                <w:sz w:val="14"/>
                <w:szCs w:val="14"/>
              </w:rPr>
              <w:t>36</w:t>
            </w:r>
          </w:p>
        </w:tc>
        <w:tc>
          <w:tcPr>
            <w:tcW w:w="1920" w:type="dxa"/>
            <w:shd w:val="clear" w:color="auto" w:fill="auto"/>
            <w:vAlign w:val="center"/>
          </w:tcPr>
          <w:p w14:paraId="72CEA5DD" w14:textId="77777777" w:rsidR="001C7E6F" w:rsidRDefault="001C7E6F" w:rsidP="00BD3046">
            <w:pPr>
              <w:spacing w:after="0" w:line="240" w:lineRule="auto"/>
              <w:rPr>
                <w:sz w:val="14"/>
                <w:szCs w:val="14"/>
              </w:rPr>
            </w:pPr>
            <w:r>
              <w:rPr>
                <w:sz w:val="14"/>
                <w:szCs w:val="14"/>
              </w:rPr>
              <w:t>Trâmite jurídico prévio de elegibilidade.</w:t>
            </w:r>
          </w:p>
        </w:tc>
        <w:tc>
          <w:tcPr>
            <w:tcW w:w="1695" w:type="dxa"/>
            <w:shd w:val="clear" w:color="auto" w:fill="auto"/>
            <w:vAlign w:val="center"/>
          </w:tcPr>
          <w:p w14:paraId="7CBE0718" w14:textId="77777777" w:rsidR="001C7E6F" w:rsidRDefault="001C7E6F" w:rsidP="00BD3046">
            <w:pPr>
              <w:spacing w:after="0" w:line="240" w:lineRule="auto"/>
              <w:rPr>
                <w:sz w:val="14"/>
                <w:szCs w:val="14"/>
              </w:rPr>
            </w:pPr>
            <w:r>
              <w:rPr>
                <w:sz w:val="14"/>
                <w:szCs w:val="14"/>
              </w:rPr>
              <w:t>Anular empenhos e restituir recursos à finalidade do Fundo.</w:t>
            </w:r>
          </w:p>
        </w:tc>
        <w:tc>
          <w:tcPr>
            <w:tcW w:w="1680" w:type="dxa"/>
            <w:shd w:val="clear" w:color="auto" w:fill="auto"/>
            <w:vAlign w:val="center"/>
          </w:tcPr>
          <w:p w14:paraId="21230EA5" w14:textId="77777777" w:rsidR="001C7E6F" w:rsidRDefault="001C7E6F" w:rsidP="00BD3046">
            <w:pPr>
              <w:spacing w:after="0" w:line="240" w:lineRule="auto"/>
              <w:rPr>
                <w:sz w:val="14"/>
                <w:szCs w:val="14"/>
              </w:rPr>
            </w:pPr>
            <w:r>
              <w:rPr>
                <w:sz w:val="14"/>
                <w:szCs w:val="14"/>
              </w:rPr>
              <w:t>OGF; CGF; Procuradoria; CI</w:t>
            </w:r>
          </w:p>
        </w:tc>
      </w:tr>
      <w:tr w:rsidR="001C7E6F" w14:paraId="33A5CC8F" w14:textId="77777777" w:rsidTr="00BD3046">
        <w:trPr>
          <w:trHeight w:val="20"/>
        </w:trPr>
        <w:tc>
          <w:tcPr>
            <w:tcW w:w="1129" w:type="dxa"/>
            <w:shd w:val="clear" w:color="auto" w:fill="auto"/>
            <w:vAlign w:val="center"/>
          </w:tcPr>
          <w:p w14:paraId="5EEA6417" w14:textId="77777777" w:rsidR="001C7E6F" w:rsidRDefault="001C7E6F" w:rsidP="00BD3046">
            <w:pPr>
              <w:spacing w:after="0" w:line="240" w:lineRule="auto"/>
              <w:rPr>
                <w:sz w:val="14"/>
                <w:szCs w:val="14"/>
              </w:rPr>
            </w:pPr>
            <w:r>
              <w:rPr>
                <w:sz w:val="14"/>
                <w:szCs w:val="14"/>
              </w:rPr>
              <w:t>Histórico-Evolutiva</w:t>
            </w:r>
          </w:p>
        </w:tc>
        <w:tc>
          <w:tcPr>
            <w:tcW w:w="1860" w:type="dxa"/>
            <w:shd w:val="clear" w:color="auto" w:fill="auto"/>
            <w:vAlign w:val="center"/>
          </w:tcPr>
          <w:p w14:paraId="610EBF83" w14:textId="77777777" w:rsidR="001C7E6F" w:rsidRDefault="001C7E6F" w:rsidP="00BD3046">
            <w:pPr>
              <w:spacing w:after="0" w:line="240" w:lineRule="auto"/>
              <w:rPr>
                <w:sz w:val="14"/>
                <w:szCs w:val="14"/>
              </w:rPr>
            </w:pPr>
            <w:r>
              <w:rPr>
                <w:sz w:val="14"/>
                <w:szCs w:val="14"/>
              </w:rPr>
              <w:t>P41. Nenhuma política financiada foi descontinuada por falta de programação orçamentária fixada com recursos do Fundo?</w:t>
            </w:r>
          </w:p>
        </w:tc>
        <w:tc>
          <w:tcPr>
            <w:tcW w:w="495" w:type="dxa"/>
            <w:shd w:val="clear" w:color="auto" w:fill="auto"/>
            <w:vAlign w:val="center"/>
          </w:tcPr>
          <w:p w14:paraId="0DD5F9C8" w14:textId="77777777" w:rsidR="001C7E6F" w:rsidRDefault="001C7E6F" w:rsidP="00BD3046">
            <w:pPr>
              <w:spacing w:after="0" w:line="240" w:lineRule="auto"/>
              <w:jc w:val="center"/>
              <w:rPr>
                <w:sz w:val="14"/>
                <w:szCs w:val="14"/>
              </w:rPr>
            </w:pPr>
            <w:r>
              <w:rPr>
                <w:sz w:val="14"/>
                <w:szCs w:val="14"/>
              </w:rPr>
              <w:t>2</w:t>
            </w:r>
          </w:p>
        </w:tc>
        <w:tc>
          <w:tcPr>
            <w:tcW w:w="1680" w:type="dxa"/>
            <w:shd w:val="clear" w:color="auto" w:fill="C00000"/>
            <w:vAlign w:val="center"/>
          </w:tcPr>
          <w:p w14:paraId="64DC246D" w14:textId="77777777" w:rsidR="001C7E6F" w:rsidRDefault="001C7E6F" w:rsidP="00BD3046">
            <w:pPr>
              <w:spacing w:after="0" w:line="240" w:lineRule="auto"/>
              <w:rPr>
                <w:sz w:val="14"/>
                <w:szCs w:val="14"/>
              </w:rPr>
            </w:pPr>
            <w:r>
              <w:rPr>
                <w:sz w:val="14"/>
                <w:szCs w:val="14"/>
              </w:rPr>
              <w:t>R55. Descontinuidade de serviços essenciais por falhas de programação.</w:t>
            </w:r>
          </w:p>
        </w:tc>
        <w:tc>
          <w:tcPr>
            <w:tcW w:w="1875" w:type="dxa"/>
            <w:shd w:val="clear" w:color="auto" w:fill="C00000"/>
            <w:vAlign w:val="center"/>
          </w:tcPr>
          <w:p w14:paraId="6C6E6155" w14:textId="77777777" w:rsidR="001C7E6F" w:rsidRDefault="001C7E6F" w:rsidP="00BD3046">
            <w:pPr>
              <w:spacing w:after="0" w:line="240" w:lineRule="auto"/>
              <w:rPr>
                <w:sz w:val="14"/>
                <w:szCs w:val="14"/>
              </w:rPr>
            </w:pPr>
            <w:r>
              <w:rPr>
                <w:sz w:val="14"/>
                <w:szCs w:val="14"/>
              </w:rPr>
              <w:t>5 – MUITO ALTO</w:t>
            </w:r>
          </w:p>
          <w:p w14:paraId="6198DDC2" w14:textId="77777777" w:rsidR="001C7E6F" w:rsidRDefault="001C7E6F" w:rsidP="00BD3046">
            <w:pPr>
              <w:spacing w:after="0" w:line="240" w:lineRule="auto"/>
              <w:rPr>
                <w:sz w:val="14"/>
                <w:szCs w:val="14"/>
              </w:rPr>
            </w:pPr>
            <w:r>
              <w:rPr>
                <w:sz w:val="14"/>
                <w:szCs w:val="14"/>
              </w:rPr>
              <w:t>Dano direto a populações vulneráveis.</w:t>
            </w:r>
          </w:p>
        </w:tc>
        <w:tc>
          <w:tcPr>
            <w:tcW w:w="945" w:type="dxa"/>
            <w:vAlign w:val="center"/>
          </w:tcPr>
          <w:p w14:paraId="40803A43" w14:textId="77777777" w:rsidR="001C7E6F" w:rsidRDefault="001C7E6F" w:rsidP="00BD3046">
            <w:pPr>
              <w:spacing w:after="0" w:line="240" w:lineRule="auto"/>
              <w:jc w:val="center"/>
              <w:rPr>
                <w:sz w:val="14"/>
                <w:szCs w:val="14"/>
              </w:rPr>
            </w:pPr>
            <w:r>
              <w:rPr>
                <w:sz w:val="14"/>
                <w:szCs w:val="14"/>
              </w:rPr>
              <w:t>3</w:t>
            </w:r>
          </w:p>
        </w:tc>
        <w:tc>
          <w:tcPr>
            <w:tcW w:w="825" w:type="dxa"/>
            <w:vAlign w:val="center"/>
          </w:tcPr>
          <w:p w14:paraId="1247ED91" w14:textId="77777777" w:rsidR="001C7E6F" w:rsidRDefault="001C7E6F" w:rsidP="00BD3046">
            <w:pPr>
              <w:spacing w:after="0" w:line="240" w:lineRule="auto"/>
              <w:jc w:val="center"/>
              <w:rPr>
                <w:sz w:val="14"/>
                <w:szCs w:val="14"/>
              </w:rPr>
            </w:pPr>
            <w:r>
              <w:rPr>
                <w:sz w:val="14"/>
                <w:szCs w:val="14"/>
              </w:rPr>
              <w:t>45</w:t>
            </w:r>
          </w:p>
        </w:tc>
        <w:tc>
          <w:tcPr>
            <w:tcW w:w="1920" w:type="dxa"/>
            <w:shd w:val="clear" w:color="auto" w:fill="auto"/>
            <w:vAlign w:val="center"/>
          </w:tcPr>
          <w:p w14:paraId="6C718341" w14:textId="77777777" w:rsidR="001C7E6F" w:rsidRDefault="001C7E6F" w:rsidP="00BD3046">
            <w:pPr>
              <w:spacing w:after="0" w:line="240" w:lineRule="auto"/>
              <w:rPr>
                <w:sz w:val="14"/>
                <w:szCs w:val="14"/>
              </w:rPr>
            </w:pPr>
            <w:r>
              <w:rPr>
                <w:sz w:val="14"/>
                <w:szCs w:val="14"/>
              </w:rPr>
              <w:t>Reservar programação mínima para assegurar continuidade de serviços prestados.</w:t>
            </w:r>
          </w:p>
        </w:tc>
        <w:tc>
          <w:tcPr>
            <w:tcW w:w="1695" w:type="dxa"/>
            <w:shd w:val="clear" w:color="auto" w:fill="auto"/>
            <w:vAlign w:val="center"/>
          </w:tcPr>
          <w:p w14:paraId="59C53B90" w14:textId="77777777" w:rsidR="001C7E6F" w:rsidRDefault="001C7E6F" w:rsidP="00BD3046">
            <w:pPr>
              <w:spacing w:after="0" w:line="240" w:lineRule="auto"/>
              <w:rPr>
                <w:sz w:val="14"/>
                <w:szCs w:val="14"/>
              </w:rPr>
            </w:pPr>
            <w:r>
              <w:rPr>
                <w:sz w:val="14"/>
                <w:szCs w:val="14"/>
              </w:rPr>
              <w:t>Plano emergencial de continuidade e recomposição orçamentária.</w:t>
            </w:r>
          </w:p>
        </w:tc>
        <w:tc>
          <w:tcPr>
            <w:tcW w:w="1680" w:type="dxa"/>
            <w:shd w:val="clear" w:color="auto" w:fill="auto"/>
            <w:vAlign w:val="center"/>
          </w:tcPr>
          <w:p w14:paraId="7E8AF354" w14:textId="77777777" w:rsidR="001C7E6F" w:rsidRDefault="001C7E6F" w:rsidP="00BD3046">
            <w:pPr>
              <w:spacing w:after="0" w:line="240" w:lineRule="auto"/>
              <w:rPr>
                <w:sz w:val="14"/>
                <w:szCs w:val="14"/>
              </w:rPr>
            </w:pPr>
            <w:r>
              <w:rPr>
                <w:sz w:val="14"/>
                <w:szCs w:val="14"/>
              </w:rPr>
              <w:t>OGF; CGF; Secretarias Finalísticas</w:t>
            </w:r>
          </w:p>
        </w:tc>
      </w:tr>
    </w:tbl>
    <w:p w14:paraId="7AA56B47" w14:textId="77777777" w:rsidR="001C7E6F" w:rsidRDefault="001C7E6F" w:rsidP="001C7E6F">
      <w:pPr>
        <w:pBdr>
          <w:top w:val="nil"/>
          <w:left w:val="nil"/>
          <w:bottom w:val="nil"/>
          <w:right w:val="nil"/>
          <w:between w:val="nil"/>
        </w:pBdr>
        <w:spacing w:after="300" w:line="360" w:lineRule="auto"/>
        <w:jc w:val="both"/>
        <w:rPr>
          <w:rFonts w:ascii="Arial" w:eastAsia="Arial" w:hAnsi="Arial" w:cs="Arial"/>
          <w:color w:val="000000"/>
          <w:sz w:val="20"/>
          <w:szCs w:val="20"/>
        </w:rPr>
      </w:pPr>
      <w:r>
        <w:rPr>
          <w:rFonts w:ascii="Arial" w:eastAsia="Arial" w:hAnsi="Arial" w:cs="Arial"/>
          <w:color w:val="000000"/>
          <w:sz w:val="20"/>
          <w:szCs w:val="20"/>
        </w:rPr>
        <w:t>Fonte: Elaboração própria.</w:t>
      </w:r>
    </w:p>
    <w:p w14:paraId="3711811F" w14:textId="77777777" w:rsidR="001C7E6F" w:rsidRDefault="001C7E6F" w:rsidP="001C7E6F">
      <w:pPr>
        <w:pBdr>
          <w:top w:val="nil"/>
          <w:left w:val="nil"/>
          <w:bottom w:val="nil"/>
          <w:right w:val="nil"/>
          <w:between w:val="nil"/>
        </w:pBdr>
        <w:spacing w:after="300" w:line="360" w:lineRule="auto"/>
        <w:jc w:val="both"/>
        <w:rPr>
          <w:rFonts w:ascii="Arial" w:eastAsia="Arial" w:hAnsi="Arial" w:cs="Arial"/>
          <w:color w:val="000000"/>
          <w:sz w:val="20"/>
          <w:szCs w:val="20"/>
        </w:rPr>
      </w:pPr>
    </w:p>
    <w:p w14:paraId="7F93C6F1" w14:textId="77777777" w:rsidR="001C7E6F" w:rsidRPr="00A04B57" w:rsidRDefault="001C7E6F" w:rsidP="00DB0181">
      <w:pPr>
        <w:pBdr>
          <w:top w:val="nil"/>
          <w:left w:val="nil"/>
          <w:bottom w:val="nil"/>
          <w:right w:val="nil"/>
          <w:between w:val="nil"/>
        </w:pBdr>
        <w:spacing w:after="300" w:line="360" w:lineRule="auto"/>
        <w:jc w:val="both"/>
        <w:rPr>
          <w:rFonts w:ascii="Times New Roman" w:eastAsia="Arial" w:hAnsi="Times New Roman" w:cs="Times New Roman"/>
          <w:color w:val="000000"/>
          <w:sz w:val="20"/>
          <w:szCs w:val="20"/>
        </w:rPr>
        <w:sectPr w:rsidR="001C7E6F" w:rsidRPr="00A04B57">
          <w:type w:val="continuous"/>
          <w:pgSz w:w="16838" w:h="11906" w:orient="landscape"/>
          <w:pgMar w:top="1701" w:right="1701" w:bottom="1134" w:left="1134" w:header="0" w:footer="510" w:gutter="0"/>
          <w:cols w:space="720"/>
        </w:sectPr>
      </w:pPr>
    </w:p>
    <w:p w14:paraId="03F8CA92" w14:textId="7A7FF8E9" w:rsidR="00DB0181" w:rsidRDefault="00DB0181" w:rsidP="00B40789">
      <w:pPr>
        <w:spacing w:line="360" w:lineRule="auto"/>
        <w:rPr>
          <w:rFonts w:ascii="Times New Roman" w:hAnsi="Times New Roman" w:cs="Times New Roman"/>
        </w:rPr>
      </w:pPr>
    </w:p>
    <w:p w14:paraId="1A7CF37D" w14:textId="77777777" w:rsidR="00DB0181" w:rsidRPr="00A04B57" w:rsidRDefault="00DB0181" w:rsidP="00B40789">
      <w:pPr>
        <w:spacing w:line="360" w:lineRule="auto"/>
        <w:rPr>
          <w:rFonts w:ascii="Times New Roman" w:hAnsi="Times New Roman" w:cs="Times New Roman"/>
        </w:rPr>
      </w:pPr>
    </w:p>
    <w:sectPr w:rsidR="00DB0181" w:rsidRPr="00A04B57" w:rsidSect="0090123B">
      <w:type w:val="continuous"/>
      <w:pgSz w:w="11906" w:h="16838" w:code="9"/>
      <w:pgMar w:top="1701" w:right="1134" w:bottom="1134" w:left="1701" w:header="0" w:footer="510" w:gutter="0"/>
      <w:cols w:space="28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1D01E" w14:textId="77777777" w:rsidR="0032733E" w:rsidRDefault="0032733E" w:rsidP="00FB5F63">
      <w:pPr>
        <w:spacing w:after="0" w:line="240" w:lineRule="auto"/>
      </w:pPr>
      <w:r>
        <w:separator/>
      </w:r>
    </w:p>
    <w:p w14:paraId="14FA0AAF" w14:textId="77777777" w:rsidR="0032733E" w:rsidRDefault="0032733E"/>
  </w:endnote>
  <w:endnote w:type="continuationSeparator" w:id="0">
    <w:p w14:paraId="477C32BD" w14:textId="77777777" w:rsidR="0032733E" w:rsidRDefault="0032733E" w:rsidP="00FB5F63">
      <w:pPr>
        <w:spacing w:after="0" w:line="240" w:lineRule="auto"/>
      </w:pPr>
      <w:r>
        <w:continuationSeparator/>
      </w:r>
    </w:p>
    <w:p w14:paraId="02B35B26" w14:textId="77777777" w:rsidR="0032733E" w:rsidRDefault="00327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A6841" w14:textId="508746FF" w:rsidR="003926FC" w:rsidRPr="00640C6D" w:rsidRDefault="003926FC" w:rsidP="00640C6D">
    <w:pPr>
      <w:tabs>
        <w:tab w:val="left" w:pos="1252"/>
      </w:tabs>
      <w:spacing w:after="0"/>
      <w:jc w:val="right"/>
      <w:rPr>
        <w:rFonts w:ascii="Arial" w:hAnsi="Arial" w:cs="Arial"/>
        <w:b/>
        <w:sz w:val="20"/>
        <w:szCs w:val="20"/>
      </w:rPr>
    </w:pPr>
    <w:r>
      <w:rPr>
        <w:rFonts w:ascii="Arial" w:hAnsi="Arial" w:cs="Arial"/>
        <w:b/>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F9B11" w14:textId="77777777" w:rsidR="0032733E" w:rsidRDefault="0032733E" w:rsidP="00FB5F63">
      <w:pPr>
        <w:spacing w:after="0" w:line="240" w:lineRule="auto"/>
      </w:pPr>
      <w:r>
        <w:separator/>
      </w:r>
    </w:p>
  </w:footnote>
  <w:footnote w:type="continuationSeparator" w:id="0">
    <w:p w14:paraId="1E145497" w14:textId="77777777" w:rsidR="0032733E" w:rsidRDefault="0032733E" w:rsidP="00FB5F63">
      <w:pPr>
        <w:spacing w:after="0" w:line="240" w:lineRule="auto"/>
      </w:pPr>
      <w:r>
        <w:continuationSeparator/>
      </w:r>
    </w:p>
    <w:p w14:paraId="0CFDE91E" w14:textId="77777777" w:rsidR="0032733E" w:rsidRDefault="0032733E"/>
  </w:footnote>
  <w:footnote w:id="1">
    <w:p w14:paraId="29732050" w14:textId="79363207" w:rsidR="003926FC" w:rsidRPr="00164417" w:rsidRDefault="003926FC"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w:t>
      </w:r>
      <w:r w:rsidR="00164417" w:rsidRPr="00164417">
        <w:rPr>
          <w:rFonts w:ascii="Times New Roman" w:hAnsi="Times New Roman" w:cs="Times New Roman"/>
        </w:rPr>
        <w:t>https://g1.globo.com/rj/rio-de-janeiro/noticia/2025/05/14/rj-usa-para-outras-finalidades-r-9-bilhoes-do-fundo-de-combate-a-pobreza-aponta-tce.ghtml</w:t>
      </w:r>
    </w:p>
  </w:footnote>
  <w:footnote w:id="2">
    <w:p w14:paraId="30C2A36C" w14:textId="1989C7B7" w:rsidR="003926FC" w:rsidRPr="00164417" w:rsidRDefault="003926FC"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Anexo 1 deste estudo.</w:t>
      </w:r>
    </w:p>
  </w:footnote>
  <w:footnote w:id="3">
    <w:p w14:paraId="1738FB50" w14:textId="0215530F" w:rsidR="003926FC" w:rsidRPr="00164417" w:rsidRDefault="003926FC" w:rsidP="00164417">
      <w:pPr>
        <w:pBdr>
          <w:top w:val="nil"/>
          <w:left w:val="nil"/>
          <w:bottom w:val="nil"/>
          <w:right w:val="nil"/>
          <w:between w:val="nil"/>
        </w:pBdr>
        <w:spacing w:after="0" w:line="240" w:lineRule="auto"/>
        <w:jc w:val="both"/>
        <w:rPr>
          <w:rFonts w:ascii="Times New Roman" w:eastAsia="Arial" w:hAnsi="Times New Roman" w:cs="Times New Roman"/>
          <w:sz w:val="20"/>
          <w:szCs w:val="20"/>
        </w:rPr>
      </w:pPr>
      <w:r w:rsidRPr="00164417">
        <w:rPr>
          <w:rFonts w:ascii="Times New Roman" w:hAnsi="Times New Roman" w:cs="Times New Roman"/>
          <w:sz w:val="20"/>
          <w:szCs w:val="20"/>
          <w:vertAlign w:val="superscript"/>
        </w:rPr>
        <w:footnoteRef/>
      </w:r>
      <w:r w:rsidRPr="00164417">
        <w:rPr>
          <w:rFonts w:ascii="Times New Roman" w:eastAsia="Arial" w:hAnsi="Times New Roman" w:cs="Times New Roman"/>
          <w:sz w:val="20"/>
          <w:szCs w:val="20"/>
        </w:rPr>
        <w:t xml:space="preserve"> Conforme evidenciado na aplicação do MoMMA com Rio de Janeiro e São Paulo, diferentes aspectos que não puderam ser analisados neste primeiro momento, seja por limitação temporal ou pela não disponibilização/solicitação das informações necessárias via Lei de Acesso à Informação, foram classificados com o padrão N/A (não aplicável ou não avaliado). Esse critério foi adotado para evitar distorções no cálculo, distinguindo claramente a ausência de conformidade da ausência de verificação.</w:t>
      </w:r>
    </w:p>
  </w:footnote>
  <w:footnote w:id="4">
    <w:p w14:paraId="44DAF9F3" w14:textId="6361F9CB" w:rsidR="003926FC" w:rsidRPr="00164417" w:rsidRDefault="003926FC"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Anexo 2 deste estudo.</w:t>
      </w:r>
    </w:p>
  </w:footnote>
  <w:footnote w:id="5">
    <w:p w14:paraId="264F8C61" w14:textId="77777777" w:rsidR="003926FC" w:rsidRPr="00164417" w:rsidRDefault="003926FC" w:rsidP="00164417">
      <w:pPr>
        <w:pBdr>
          <w:top w:val="nil"/>
          <w:left w:val="nil"/>
          <w:bottom w:val="nil"/>
          <w:right w:val="nil"/>
          <w:between w:val="nil"/>
        </w:pBdr>
        <w:spacing w:after="0" w:line="240" w:lineRule="auto"/>
        <w:jc w:val="both"/>
        <w:rPr>
          <w:rFonts w:ascii="Times New Roman" w:eastAsia="Arial" w:hAnsi="Times New Roman" w:cs="Times New Roman"/>
          <w:sz w:val="20"/>
          <w:szCs w:val="20"/>
        </w:rPr>
      </w:pPr>
      <w:r w:rsidRPr="00164417">
        <w:rPr>
          <w:rFonts w:ascii="Times New Roman" w:hAnsi="Times New Roman" w:cs="Times New Roman"/>
          <w:sz w:val="20"/>
          <w:szCs w:val="20"/>
          <w:vertAlign w:val="superscript"/>
        </w:rPr>
        <w:footnoteRef/>
      </w:r>
      <w:r w:rsidRPr="00164417">
        <w:rPr>
          <w:rFonts w:ascii="Times New Roman" w:eastAsia="Arial" w:hAnsi="Times New Roman" w:cs="Times New Roman"/>
          <w:sz w:val="20"/>
          <w:szCs w:val="20"/>
        </w:rPr>
        <w:t xml:space="preserve"> COMMITTEE OF SPONSORING ORGANIZATIONS OF THE TREADWAY COMMISSION (COSO). Gerenciamento de riscos corporativos integrado em estratégia e performance: sumário executivo. Sumário Executivo. Tradução Price Watherhouse Coopers, Instituto dos Auditores Internos do Brasil, 2017. Disponível em: http://conteudo.iiabrasil.org.br/coso. Acesso em: 303 set. 2025.</w:t>
      </w:r>
    </w:p>
  </w:footnote>
  <w:footnote w:id="6">
    <w:p w14:paraId="54C92E11" w14:textId="77777777" w:rsidR="003926FC" w:rsidRPr="00164417" w:rsidRDefault="003926FC" w:rsidP="00164417">
      <w:pPr>
        <w:pBdr>
          <w:top w:val="nil"/>
          <w:left w:val="nil"/>
          <w:bottom w:val="nil"/>
          <w:right w:val="nil"/>
          <w:between w:val="nil"/>
        </w:pBdr>
        <w:spacing w:after="0" w:line="240" w:lineRule="auto"/>
        <w:jc w:val="both"/>
        <w:rPr>
          <w:rFonts w:ascii="Times New Roman" w:eastAsia="Arial" w:hAnsi="Times New Roman" w:cs="Times New Roman"/>
          <w:sz w:val="20"/>
          <w:szCs w:val="20"/>
        </w:rPr>
      </w:pPr>
      <w:r w:rsidRPr="00164417">
        <w:rPr>
          <w:rFonts w:ascii="Times New Roman" w:hAnsi="Times New Roman" w:cs="Times New Roman"/>
          <w:sz w:val="20"/>
          <w:szCs w:val="20"/>
          <w:vertAlign w:val="superscript"/>
        </w:rPr>
        <w:footnoteRef/>
      </w:r>
      <w:r w:rsidRPr="00164417">
        <w:rPr>
          <w:rFonts w:ascii="Times New Roman" w:eastAsia="Arial" w:hAnsi="Times New Roman" w:cs="Times New Roman"/>
          <w:sz w:val="20"/>
          <w:szCs w:val="20"/>
        </w:rPr>
        <w:t xml:space="preserve"> ASSOCIAÇÃO BRASILEIRA DE NORMAS TÉCNICAS. ABNT NBR ISO 31000: Gestão de riscos - Diretrizes. Rio de Janeiro: ABNT, 2018. </w:t>
      </w:r>
    </w:p>
  </w:footnote>
  <w:footnote w:id="7">
    <w:p w14:paraId="44F9314B" w14:textId="77777777" w:rsidR="003926FC" w:rsidRPr="00164417" w:rsidRDefault="003926FC" w:rsidP="00164417">
      <w:pPr>
        <w:pBdr>
          <w:top w:val="nil"/>
          <w:left w:val="nil"/>
          <w:bottom w:val="nil"/>
          <w:right w:val="nil"/>
          <w:between w:val="nil"/>
        </w:pBdr>
        <w:spacing w:after="0" w:line="240" w:lineRule="auto"/>
        <w:jc w:val="both"/>
        <w:rPr>
          <w:rFonts w:ascii="Times New Roman" w:eastAsia="Arial" w:hAnsi="Times New Roman" w:cs="Times New Roman"/>
          <w:sz w:val="20"/>
          <w:szCs w:val="20"/>
        </w:rPr>
      </w:pPr>
      <w:r w:rsidRPr="00164417">
        <w:rPr>
          <w:rFonts w:ascii="Times New Roman" w:hAnsi="Times New Roman" w:cs="Times New Roman"/>
          <w:sz w:val="20"/>
          <w:szCs w:val="20"/>
          <w:vertAlign w:val="superscript"/>
        </w:rPr>
        <w:footnoteRef/>
      </w:r>
      <w:r w:rsidRPr="00164417">
        <w:rPr>
          <w:rFonts w:ascii="Times New Roman" w:eastAsia="Arial" w:hAnsi="Times New Roman" w:cs="Times New Roman"/>
          <w:sz w:val="20"/>
          <w:szCs w:val="20"/>
        </w:rPr>
        <w:t xml:space="preserve"> BRASIL. Tribunal de Contas da União. Manual de gestão de riscos do TCU. Brasília: TCU, Secretaria de Planejamento, Governança e Gestão, 2020.</w:t>
      </w:r>
    </w:p>
  </w:footnote>
  <w:footnote w:id="8">
    <w:p w14:paraId="26E4F266" w14:textId="77777777" w:rsidR="003926FC" w:rsidRPr="00164417" w:rsidRDefault="003926FC" w:rsidP="00164417">
      <w:pPr>
        <w:pBdr>
          <w:top w:val="nil"/>
          <w:left w:val="nil"/>
          <w:bottom w:val="nil"/>
          <w:right w:val="nil"/>
          <w:between w:val="nil"/>
        </w:pBdr>
        <w:spacing w:after="0" w:line="240" w:lineRule="auto"/>
        <w:jc w:val="both"/>
        <w:rPr>
          <w:rFonts w:ascii="Times New Roman" w:eastAsia="Arial" w:hAnsi="Times New Roman" w:cs="Times New Roman"/>
          <w:sz w:val="20"/>
          <w:szCs w:val="20"/>
        </w:rPr>
      </w:pPr>
      <w:r w:rsidRPr="00164417">
        <w:rPr>
          <w:rFonts w:ascii="Times New Roman" w:hAnsi="Times New Roman" w:cs="Times New Roman"/>
          <w:sz w:val="20"/>
          <w:szCs w:val="20"/>
          <w:vertAlign w:val="superscript"/>
        </w:rPr>
        <w:footnoteRef/>
      </w:r>
      <w:r w:rsidRPr="00164417">
        <w:rPr>
          <w:rFonts w:ascii="Times New Roman" w:eastAsia="Arial" w:hAnsi="Times New Roman" w:cs="Times New Roman"/>
          <w:sz w:val="20"/>
          <w:szCs w:val="20"/>
        </w:rPr>
        <w:t xml:space="preserve"> A adoção do nível 3 de probabilidade como parâmetro inicial do Mapa de Criticidade e Avaliação dos Riscos reflete um padrão prudencial e equilibrado, que reconhece a possibilidade concreta de ocorrência dos riscos, sem presumi-los recorrentes e inevitáveis ou raros e improváveis. Esse procedimento garante maior neutralidade comparativa entre diferentes Fundos e permite refinar empiricamente conforme evidências históricas ou sinais de fragilidade nos controles. </w:t>
      </w:r>
    </w:p>
  </w:footnote>
  <w:footnote w:id="9">
    <w:p w14:paraId="3A4270E0" w14:textId="33FD8BA0" w:rsidR="003926FC" w:rsidRPr="00164417" w:rsidRDefault="003926FC"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Fonte: IBGE, em parceria com os Órgãos Estaduais de Estatística, Secretarias Estaduais de Governo e Superintendência da Zona Franca de Manaus - SUFRAMA.</w:t>
      </w:r>
    </w:p>
  </w:footnote>
  <w:footnote w:id="10">
    <w:p w14:paraId="03788F3B" w14:textId="77777777" w:rsidR="003926FC" w:rsidRPr="00164417" w:rsidRDefault="003926FC"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https://aplicacoes.cidadania.gov.br/vis/data3</w:t>
      </w:r>
    </w:p>
  </w:footnote>
  <w:footnote w:id="11">
    <w:p w14:paraId="44F11E64" w14:textId="4F12BD4C" w:rsidR="004E368A" w:rsidRPr="00164417" w:rsidRDefault="004E368A"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Anexo 3 deste estudo.</w:t>
      </w:r>
    </w:p>
  </w:footnote>
  <w:footnote w:id="12">
    <w:p w14:paraId="56D6F075" w14:textId="01C3DA8B" w:rsidR="004E368A" w:rsidRPr="00164417" w:rsidRDefault="004E368A"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Anexo 4</w:t>
      </w:r>
      <w:r w:rsidRPr="00164417">
        <w:rPr>
          <w:rFonts w:ascii="Times New Roman" w:hAnsi="Times New Roman" w:cs="Times New Roman"/>
        </w:rPr>
        <w:t xml:space="preserve"> deste estudo.</w:t>
      </w:r>
    </w:p>
  </w:footnote>
  <w:footnote w:id="13">
    <w:p w14:paraId="0F538BF5" w14:textId="411CEEFA" w:rsidR="004E368A" w:rsidRPr="00164417" w:rsidRDefault="004E368A"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w:t>
      </w:r>
      <w:r w:rsidRPr="00164417">
        <w:rPr>
          <w:rFonts w:ascii="Times New Roman" w:hAnsi="Times New Roman" w:cs="Times New Roman"/>
        </w:rPr>
        <w:t xml:space="preserve">Anexo </w:t>
      </w:r>
      <w:r w:rsidRPr="00164417">
        <w:rPr>
          <w:rFonts w:ascii="Times New Roman" w:hAnsi="Times New Roman" w:cs="Times New Roman"/>
        </w:rPr>
        <w:t>5</w:t>
      </w:r>
      <w:r w:rsidRPr="00164417">
        <w:rPr>
          <w:rFonts w:ascii="Times New Roman" w:hAnsi="Times New Roman" w:cs="Times New Roman"/>
        </w:rPr>
        <w:t xml:space="preserve"> deste estudo.</w:t>
      </w:r>
    </w:p>
  </w:footnote>
  <w:footnote w:id="14">
    <w:p w14:paraId="7BE76344" w14:textId="49E2193C" w:rsidR="003926FC" w:rsidRPr="00164417" w:rsidRDefault="003926FC"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Fonte: IBGE, em parceria com os Órgãos Estaduais de Estatística, Secretarias Estaduais de Governo e Superintendência da Zona Franca de Manaus - SUFRAMA.</w:t>
      </w:r>
    </w:p>
  </w:footnote>
  <w:footnote w:id="15">
    <w:p w14:paraId="493DC8E0" w14:textId="77777777" w:rsidR="003926FC" w:rsidRPr="00164417" w:rsidRDefault="003926FC"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https://aplicacoes.cidadania.gov.br/vis/data3</w:t>
      </w:r>
    </w:p>
  </w:footnote>
  <w:footnote w:id="16">
    <w:p w14:paraId="27E4979A" w14:textId="77884E5A" w:rsidR="003C6085" w:rsidRPr="00164417" w:rsidRDefault="003C6085"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Anexo 6 deste estudo</w:t>
      </w:r>
    </w:p>
  </w:footnote>
  <w:footnote w:id="17">
    <w:p w14:paraId="6EB63761" w14:textId="4AD751FA" w:rsidR="00215D71" w:rsidRPr="00164417" w:rsidRDefault="00215D71"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Anexo 7 deste estudo.</w:t>
      </w:r>
    </w:p>
  </w:footnote>
  <w:footnote w:id="18">
    <w:p w14:paraId="1B5A02E4" w14:textId="52A8A411" w:rsidR="00215D71" w:rsidRPr="00164417" w:rsidRDefault="00215D71" w:rsidP="00164417">
      <w:pPr>
        <w:pStyle w:val="Textodenotaderodap"/>
        <w:jc w:val="both"/>
        <w:rPr>
          <w:rFonts w:ascii="Times New Roman" w:hAnsi="Times New Roman" w:cs="Times New Roman"/>
        </w:rPr>
      </w:pPr>
      <w:r w:rsidRPr="00164417">
        <w:rPr>
          <w:rStyle w:val="Refdenotaderodap"/>
          <w:rFonts w:ascii="Times New Roman" w:hAnsi="Times New Roman" w:cs="Times New Roman"/>
        </w:rPr>
        <w:footnoteRef/>
      </w:r>
      <w:r w:rsidRPr="00164417">
        <w:rPr>
          <w:rFonts w:ascii="Times New Roman" w:hAnsi="Times New Roman" w:cs="Times New Roman"/>
        </w:rPr>
        <w:t xml:space="preserve"> Anexo 8 deste estudo.</w:t>
      </w:r>
    </w:p>
  </w:footnote>
  <w:footnote w:id="19">
    <w:p w14:paraId="236C3AF3" w14:textId="77777777" w:rsidR="001C7E6F" w:rsidRPr="008B3290" w:rsidRDefault="001C7E6F" w:rsidP="001C7E6F">
      <w:pPr>
        <w:pStyle w:val="Textodenotaderodap"/>
        <w:jc w:val="both"/>
        <w:rPr>
          <w:rFonts w:ascii="Arial" w:hAnsi="Arial" w:cs="Arial"/>
          <w:sz w:val="18"/>
          <w:szCs w:val="18"/>
        </w:rPr>
      </w:pPr>
      <w:r w:rsidRPr="008B3290">
        <w:rPr>
          <w:rStyle w:val="Refdenotaderodap"/>
          <w:rFonts w:ascii="Arial" w:hAnsi="Arial" w:cs="Arial"/>
          <w:sz w:val="18"/>
          <w:szCs w:val="18"/>
        </w:rPr>
        <w:footnoteRef/>
      </w:r>
      <w:r w:rsidRPr="008B3290">
        <w:rPr>
          <w:rFonts w:ascii="Arial" w:hAnsi="Arial" w:cs="Arial"/>
          <w:sz w:val="18"/>
          <w:szCs w:val="18"/>
        </w:rPr>
        <w:t xml:space="preserve"> ALERJ, Estudo apresentado com base nos dados de 2023 revela que a população em situação de pobreza no Rio de Janeiro é de cerca de 3,4 milhões de pessoas, o equivalente a 21% da população fluminense. Em 04/09/2025. </w:t>
      </w:r>
      <w:hyperlink r:id="rId1" w:anchor=":~:text=COMISS%EF %BF%83O" w:history="1">
        <w:r w:rsidRPr="008B3290">
          <w:rPr>
            <w:rStyle w:val="Hyperlink"/>
            <w:rFonts w:ascii="Arial" w:hAnsi="Arial" w:cs="Arial"/>
            <w:sz w:val="18"/>
            <w:szCs w:val="18"/>
          </w:rPr>
          <w:t>https://www.alerj.rj.gov.br/Visualizar/Noticia/78511#:~:text=COMISS%EF %BF%83O</w:t>
        </w:r>
      </w:hyperlink>
      <w:r w:rsidRPr="008B3290">
        <w:rPr>
          <w:rFonts w:ascii="Arial" w:hAnsi="Arial" w:cs="Arial"/>
          <w:sz w:val="18"/>
          <w:szCs w:val="18"/>
        </w:rPr>
        <w:t xml:space="preserve"> </w:t>
      </w:r>
    </w:p>
  </w:footnote>
  <w:footnote w:id="20">
    <w:p w14:paraId="0A1E4ABB" w14:textId="77777777" w:rsidR="001C7E6F" w:rsidRPr="008B3290" w:rsidRDefault="001C7E6F" w:rsidP="001C7E6F">
      <w:pPr>
        <w:pStyle w:val="Textodenotaderodap"/>
        <w:jc w:val="both"/>
        <w:rPr>
          <w:rFonts w:ascii="Arial" w:hAnsi="Arial" w:cs="Arial"/>
          <w:sz w:val="18"/>
          <w:szCs w:val="18"/>
        </w:rPr>
      </w:pPr>
      <w:r w:rsidRPr="008B3290">
        <w:rPr>
          <w:rStyle w:val="Refdenotaderodap"/>
          <w:rFonts w:ascii="Arial" w:hAnsi="Arial" w:cs="Arial"/>
          <w:sz w:val="18"/>
          <w:szCs w:val="18"/>
        </w:rPr>
        <w:footnoteRef/>
      </w:r>
      <w:r w:rsidRPr="008B3290">
        <w:rPr>
          <w:rFonts w:ascii="Arial" w:hAnsi="Arial" w:cs="Arial"/>
          <w:sz w:val="18"/>
          <w:szCs w:val="18"/>
        </w:rPr>
        <w:t xml:space="preserve"> Art. 4º O Governo do Estado do Rio de Janeiro deverá aplicar 5% (cinco por cento) dos recursos do Fundo Estadual de Combate à Pobreza e Desigualdade no Fundo Estadual de Habitação de Interesse Social, criado pela Lei Estadual nº 4.962, de 20 de dezembro de 2006. § 1º A aplicação indicada no caput deste artigo torna-se obrigatória consoante as deliberações sobre a alocação de recursos do Conselho Gestor do Fundo Estadual de Habitação de Interesse Social, nos termos do art. 9º da Lei Estadual nº 4.962, de 20 de dezembro de 2006.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635AF" w14:textId="77777777" w:rsidR="003926FC" w:rsidRDefault="003926FC" w:rsidP="00070E5F">
    <w:pPr>
      <w:tabs>
        <w:tab w:val="left" w:pos="1252"/>
      </w:tabs>
      <w:spacing w:after="0"/>
      <w:jc w:val="right"/>
      <w:rPr>
        <w:rFonts w:ascii="Arial" w:hAnsi="Arial" w:cs="Arial"/>
        <w:sz w:val="20"/>
        <w:szCs w:val="20"/>
      </w:rPr>
    </w:pPr>
  </w:p>
  <w:p w14:paraId="7766213C" w14:textId="77777777" w:rsidR="003926FC" w:rsidRDefault="003926FC" w:rsidP="005F7AA6">
    <w:pPr>
      <w:tabs>
        <w:tab w:val="right" w:pos="9071"/>
      </w:tabs>
      <w:spacing w:after="0"/>
      <w:rPr>
        <w:rFonts w:ascii="Arial" w:hAnsi="Arial" w:cs="Arial"/>
        <w:sz w:val="20"/>
        <w:szCs w:val="20"/>
      </w:rPr>
    </w:pPr>
  </w:p>
  <w:p w14:paraId="2415F083" w14:textId="77777777" w:rsidR="003926FC" w:rsidRDefault="003926FC" w:rsidP="005F7AA6">
    <w:pPr>
      <w:tabs>
        <w:tab w:val="right" w:pos="9071"/>
      </w:tabs>
      <w:spacing w:after="0"/>
      <w:rPr>
        <w:rFonts w:ascii="Arial" w:hAnsi="Arial" w:cs="Arial"/>
        <w:sz w:val="20"/>
        <w:szCs w:val="20"/>
      </w:rPr>
    </w:pPr>
  </w:p>
  <w:p w14:paraId="5BE6970D" w14:textId="77777777" w:rsidR="003926FC" w:rsidRDefault="003926FC" w:rsidP="005F7AA6">
    <w:pPr>
      <w:tabs>
        <w:tab w:val="right" w:pos="9071"/>
      </w:tabs>
      <w:spacing w:after="0"/>
      <w:rPr>
        <w:rFonts w:ascii="Arial" w:hAnsi="Arial" w:cs="Arial"/>
        <w:b/>
        <w:sz w:val="16"/>
        <w:szCs w:val="16"/>
      </w:rPr>
    </w:pPr>
  </w:p>
  <w:p w14:paraId="383DB041" w14:textId="77777777" w:rsidR="003926FC" w:rsidRPr="00A93D83" w:rsidRDefault="003926FC" w:rsidP="005F7AA6">
    <w:pPr>
      <w:tabs>
        <w:tab w:val="right" w:pos="9071"/>
      </w:tabs>
      <w:spacing w:after="0"/>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099C"/>
    <w:multiLevelType w:val="multilevel"/>
    <w:tmpl w:val="FE5CC79A"/>
    <w:numStyleLink w:val="ETECListaNumerada"/>
  </w:abstractNum>
  <w:abstractNum w:abstractNumId="1" w15:restartNumberingAfterBreak="0">
    <w:nsid w:val="035D3B45"/>
    <w:multiLevelType w:val="hybridMultilevel"/>
    <w:tmpl w:val="23D88B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54B4368"/>
    <w:multiLevelType w:val="hybridMultilevel"/>
    <w:tmpl w:val="721623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E7E3A39"/>
    <w:multiLevelType w:val="multilevel"/>
    <w:tmpl w:val="B23E6216"/>
    <w:lvl w:ilvl="0">
      <w:start w:val="1"/>
      <w:numFmt w:val="lowerLetter"/>
      <w:pStyle w:val="05PargrafoNumeradoCha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A45AA0"/>
    <w:multiLevelType w:val="hybridMultilevel"/>
    <w:tmpl w:val="335A6CA0"/>
    <w:lvl w:ilvl="0" w:tplc="0416001B">
      <w:start w:val="1"/>
      <w:numFmt w:val="low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0EBE41ED"/>
    <w:multiLevelType w:val="multilevel"/>
    <w:tmpl w:val="E8DCCC12"/>
    <w:lvl w:ilvl="0">
      <w:start w:val="1"/>
      <w:numFmt w:val="decimal"/>
      <w:pStyle w:val="Ttulo1"/>
      <w:lvlText w:val="%1."/>
      <w:lvlJc w:val="left"/>
      <w:pPr>
        <w:ind w:left="720" w:hanging="360"/>
      </w:pPr>
      <w:rPr>
        <w:rFonts w:hint="default"/>
      </w:rPr>
    </w:lvl>
    <w:lvl w:ilvl="1">
      <w:start w:val="1"/>
      <w:numFmt w:val="decimal"/>
      <w:pStyle w:val="Ttulo2"/>
      <w:isLgl/>
      <w:lvlText w:val="%1.%2."/>
      <w:lvlJc w:val="left"/>
      <w:pPr>
        <w:ind w:left="720" w:hanging="36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98377D"/>
    <w:multiLevelType w:val="hybridMultilevel"/>
    <w:tmpl w:val="DB5CDA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62E0603"/>
    <w:multiLevelType w:val="multilevel"/>
    <w:tmpl w:val="C90E9EF2"/>
    <w:lvl w:ilvl="0">
      <w:start w:val="1"/>
      <w:numFmt w:val="decimal"/>
      <w:pStyle w:val="01TtuloPPGTCU"/>
      <w:lvlText w:val="%1."/>
      <w:lvlJc w:val="left"/>
      <w:pPr>
        <w:ind w:left="340" w:hanging="340"/>
      </w:pPr>
      <w:rPr>
        <w:rFonts w:hint="default"/>
      </w:rPr>
    </w:lvl>
    <w:lvl w:ilvl="1">
      <w:start w:val="1"/>
      <w:numFmt w:val="decimal"/>
      <w:pStyle w:val="02SubttuloPPGTCU"/>
      <w:lvlText w:val="%1.%2."/>
      <w:lvlJc w:val="left"/>
      <w:pPr>
        <w:ind w:left="510" w:hanging="510"/>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07" w:hanging="907"/>
      </w:pPr>
      <w:rPr>
        <w:rFonts w:hint="default"/>
      </w:rPr>
    </w:lvl>
    <w:lvl w:ilvl="4">
      <w:start w:val="1"/>
      <w:numFmt w:val="decimal"/>
      <w:pStyle w:val="Ttulo5"/>
      <w:lvlText w:val="%1.%2.%3.%4.%5."/>
      <w:lvlJc w:val="left"/>
      <w:pPr>
        <w:ind w:left="1134" w:hanging="1134"/>
      </w:pPr>
      <w:rPr>
        <w:rFonts w:hint="default"/>
        <w:color w:val="C6080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48186A"/>
    <w:multiLevelType w:val="hybridMultilevel"/>
    <w:tmpl w:val="A65232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67B6B48"/>
    <w:multiLevelType w:val="hybridMultilevel"/>
    <w:tmpl w:val="CCFA2D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0FA24EE"/>
    <w:multiLevelType w:val="hybridMultilevel"/>
    <w:tmpl w:val="D2A6A1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4E85E2B"/>
    <w:multiLevelType w:val="hybridMultilevel"/>
    <w:tmpl w:val="B0BA75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B4204D4"/>
    <w:multiLevelType w:val="multilevel"/>
    <w:tmpl w:val="FE5CC79A"/>
    <w:styleLink w:val="ETECListaNumerada"/>
    <w:lvl w:ilvl="0">
      <w:start w:val="1"/>
      <w:numFmt w:val="decimal"/>
      <w:pStyle w:val="Listanumerada"/>
      <w:suff w:val="space"/>
      <w:lvlText w:val="%1."/>
      <w:lvlJc w:val="left"/>
      <w:pPr>
        <w:ind w:left="567" w:hanging="207"/>
      </w:pPr>
      <w:rPr>
        <w:rFonts w:ascii="Cambria" w:hAnsi="Cambria" w:hint="default"/>
        <w:b/>
        <w:i w:val="0"/>
        <w:color w:val="auto"/>
        <w:sz w:val="24"/>
      </w:rPr>
    </w:lvl>
    <w:lvl w:ilvl="1">
      <w:start w:val="1"/>
      <w:numFmt w:val="decimal"/>
      <w:suff w:val="space"/>
      <w:lvlText w:val="%1.%2."/>
      <w:lvlJc w:val="left"/>
      <w:pPr>
        <w:ind w:left="1440" w:hanging="360"/>
      </w:pPr>
      <w:rPr>
        <w:rFonts w:ascii="Cambria" w:hAnsi="Cambria" w:hint="default"/>
        <w:b/>
        <w:i w:val="0"/>
        <w:color w:val="auto"/>
        <w:sz w:val="24"/>
      </w:rPr>
    </w:lvl>
    <w:lvl w:ilvl="2">
      <w:start w:val="1"/>
      <w:numFmt w:val="decimal"/>
      <w:suff w:val="space"/>
      <w:lvlText w:val="%1.%2.%3."/>
      <w:lvlJc w:val="left"/>
      <w:pPr>
        <w:ind w:left="2160" w:hanging="180"/>
      </w:pPr>
      <w:rPr>
        <w:rFonts w:ascii="Cambria" w:hAnsi="Cambria" w:hint="default"/>
        <w:b/>
        <w:i w:val="0"/>
        <w:color w:val="auto"/>
        <w:sz w:val="24"/>
      </w:rPr>
    </w:lvl>
    <w:lvl w:ilvl="3">
      <w:start w:val="1"/>
      <w:numFmt w:val="decimal"/>
      <w:suff w:val="space"/>
      <w:lvlText w:val="%1.%2.%3.%4."/>
      <w:lvlJc w:val="left"/>
      <w:pPr>
        <w:ind w:left="2880" w:hanging="360"/>
      </w:pPr>
      <w:rPr>
        <w:rFonts w:ascii="Cambria" w:hAnsi="Cambria" w:hint="default"/>
        <w:b/>
        <w:i w:val="0"/>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C886EA4"/>
    <w:multiLevelType w:val="hybridMultilevel"/>
    <w:tmpl w:val="95E63AC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17">
      <w:start w:val="1"/>
      <w:numFmt w:val="lowerLetter"/>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15:restartNumberingAfterBreak="0">
    <w:nsid w:val="3E895C3D"/>
    <w:multiLevelType w:val="multilevel"/>
    <w:tmpl w:val="9B0CB4A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411E6788"/>
    <w:multiLevelType w:val="hybridMultilevel"/>
    <w:tmpl w:val="534CEB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17A1985"/>
    <w:multiLevelType w:val="hybridMultilevel"/>
    <w:tmpl w:val="87FEBD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252795A"/>
    <w:multiLevelType w:val="multilevel"/>
    <w:tmpl w:val="7BEA51AC"/>
    <w:lvl w:ilvl="0">
      <w:start w:val="1"/>
      <w:numFmt w:val="lowerRoman"/>
      <w:pStyle w:val="04Pargrafo-Numerado-ArtigoChar"/>
      <w:lvlText w:val="%1."/>
      <w:lvlJc w:val="righ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46E57399"/>
    <w:multiLevelType w:val="hybridMultilevel"/>
    <w:tmpl w:val="0C20A8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77B77B8"/>
    <w:multiLevelType w:val="multilevel"/>
    <w:tmpl w:val="4B80D7D6"/>
    <w:lvl w:ilvl="0">
      <w:start w:val="1"/>
      <w:numFmt w:val="decimal"/>
      <w:pStyle w:val="04Pargrafo-Numerado-Artigo"/>
      <w:lvlText w:val="Art. %1º "/>
      <w:lvlJc w:val="left"/>
      <w:pPr>
        <w:ind w:left="360" w:hanging="360"/>
      </w:pPr>
      <w:rPr>
        <w:rFonts w:ascii="Times New Roman" w:hAnsi="Times New Roman" w:hint="default"/>
        <w:b/>
        <w:i w:val="0"/>
        <w:caps w:val="0"/>
        <w:strike w:val="0"/>
        <w:dstrike w:val="0"/>
        <w:vanish w:val="0"/>
        <w:color w:val="auto"/>
        <w:sz w:val="24"/>
        <w:vertAlign w:val="baseline"/>
      </w:rPr>
    </w:lvl>
    <w:lvl w:ilvl="1">
      <w:start w:val="1"/>
      <w:numFmt w:val="upperRoman"/>
      <w:lvlText w:val="%2 -"/>
      <w:lvlJc w:val="right"/>
      <w:pPr>
        <w:ind w:left="0" w:firstLine="0"/>
      </w:pPr>
      <w:rPr>
        <w:rFonts w:hint="default"/>
      </w:rPr>
    </w:lvl>
    <w:lvl w:ilvl="2">
      <w:start w:val="1"/>
      <w:numFmt w:val="decimal"/>
      <w:lvlText w:val="§ %3º"/>
      <w:lvlJc w:val="left"/>
      <w:pPr>
        <w:ind w:left="720" w:hanging="432"/>
      </w:pPr>
      <w:rPr>
        <w:rFonts w:hint="default"/>
        <w:b/>
        <w:i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0" w15:restartNumberingAfterBreak="0">
    <w:nsid w:val="4C76215F"/>
    <w:multiLevelType w:val="hybridMultilevel"/>
    <w:tmpl w:val="07BE7B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EC519A3"/>
    <w:multiLevelType w:val="hybridMultilevel"/>
    <w:tmpl w:val="602C0B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F565DBA"/>
    <w:multiLevelType w:val="hybridMultilevel"/>
    <w:tmpl w:val="DE34FA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1C531CD"/>
    <w:multiLevelType w:val="hybridMultilevel"/>
    <w:tmpl w:val="60B20F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2402748"/>
    <w:multiLevelType w:val="hybridMultilevel"/>
    <w:tmpl w:val="6A2EDC4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4296390"/>
    <w:multiLevelType w:val="hybridMultilevel"/>
    <w:tmpl w:val="CB2E51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756569D"/>
    <w:multiLevelType w:val="hybridMultilevel"/>
    <w:tmpl w:val="983CC0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78A0BE9"/>
    <w:multiLevelType w:val="hybridMultilevel"/>
    <w:tmpl w:val="2A8452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D060C1B"/>
    <w:multiLevelType w:val="hybridMultilevel"/>
    <w:tmpl w:val="51E63E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E855DE1"/>
    <w:multiLevelType w:val="hybridMultilevel"/>
    <w:tmpl w:val="9B1CECC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0" w15:restartNumberingAfterBreak="0">
    <w:nsid w:val="608D5DF3"/>
    <w:multiLevelType w:val="multilevel"/>
    <w:tmpl w:val="034E1BB2"/>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15:restartNumberingAfterBreak="0">
    <w:nsid w:val="61C479B7"/>
    <w:multiLevelType w:val="hybridMultilevel"/>
    <w:tmpl w:val="5A1A30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1E54F51"/>
    <w:multiLevelType w:val="hybridMultilevel"/>
    <w:tmpl w:val="50E6F6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3B56A9F"/>
    <w:multiLevelType w:val="hybridMultilevel"/>
    <w:tmpl w:val="072EBB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63E634C9"/>
    <w:multiLevelType w:val="hybridMultilevel"/>
    <w:tmpl w:val="8C16CA6C"/>
    <w:lvl w:ilvl="0" w:tplc="40042D8C">
      <w:start w:val="1"/>
      <w:numFmt w:val="decimal"/>
      <w:pStyle w:val="05PargrafoNumerado"/>
      <w:lvlText w:val="§ %1º "/>
      <w:lvlJc w:val="left"/>
      <w:pPr>
        <w:ind w:left="720" w:hanging="360"/>
      </w:pPr>
      <w:rPr>
        <w:rFonts w:ascii="Times New Roman" w:hAnsi="Times New Roman" w:hint="default"/>
        <w:b/>
        <w:i w:val="0"/>
        <w:caps w:val="0"/>
        <w:strike w:val="0"/>
        <w:dstrike w:val="0"/>
        <w:vanish w:val="0"/>
        <w:color w:val="auto"/>
        <w:sz w:val="24"/>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6814169"/>
    <w:multiLevelType w:val="hybridMultilevel"/>
    <w:tmpl w:val="9738D2FC"/>
    <w:lvl w:ilvl="0" w:tplc="CE7CF930">
      <w:start w:val="1"/>
      <w:numFmt w:val="bullet"/>
      <w:pStyle w:val="11TpMarcadoresPPGTCU"/>
      <w:lvlText w:val="●"/>
      <w:lvlJc w:val="left"/>
      <w:pPr>
        <w:ind w:left="8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60019">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6" w15:restartNumberingAfterBreak="0">
    <w:nsid w:val="6AA3492B"/>
    <w:multiLevelType w:val="multilevel"/>
    <w:tmpl w:val="1D70B2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pStyle w:val="Ttulo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ABE5755"/>
    <w:multiLevelType w:val="hybridMultilevel"/>
    <w:tmpl w:val="209C58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D187182"/>
    <w:multiLevelType w:val="multilevel"/>
    <w:tmpl w:val="A78074F2"/>
    <w:lvl w:ilvl="0">
      <w:start w:val="1"/>
      <w:numFmt w:val="lowerRoman"/>
      <w:lvlText w:val="%1."/>
      <w:lvlJc w:val="righ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15:restartNumberingAfterBreak="0">
    <w:nsid w:val="756B65C6"/>
    <w:multiLevelType w:val="hybridMultilevel"/>
    <w:tmpl w:val="6F429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762E0D65"/>
    <w:multiLevelType w:val="hybridMultilevel"/>
    <w:tmpl w:val="1734A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7DC0DD3"/>
    <w:multiLevelType w:val="hybridMultilevel"/>
    <w:tmpl w:val="3594F6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7938295E"/>
    <w:multiLevelType w:val="hybridMultilevel"/>
    <w:tmpl w:val="DBF4D6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ABB36CB"/>
    <w:multiLevelType w:val="hybridMultilevel"/>
    <w:tmpl w:val="27F0784E"/>
    <w:lvl w:ilvl="0" w:tplc="564AB35A">
      <w:start w:val="10"/>
      <w:numFmt w:val="decimal"/>
      <w:pStyle w:val="04Pargrafo-Art-10"/>
      <w:lvlText w:val="Art. %1 "/>
      <w:lvlJc w:val="left"/>
      <w:pPr>
        <w:ind w:left="720" w:hanging="360"/>
      </w:pPr>
      <w:rPr>
        <w:rFonts w:ascii="Times New Roman" w:hAnsi="Times New Roman" w:hint="default"/>
        <w:b/>
        <w:i w:val="0"/>
        <w:caps w:val="0"/>
        <w:strike w:val="0"/>
        <w:dstrike w:val="0"/>
        <w:vanish w:val="0"/>
        <w:color w:val="auto"/>
        <w:sz w:val="24"/>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CCE3D20"/>
    <w:multiLevelType w:val="hybridMultilevel"/>
    <w:tmpl w:val="79DA08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7D601745"/>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6" w15:restartNumberingAfterBreak="0">
    <w:nsid w:val="7E293044"/>
    <w:multiLevelType w:val="hybridMultilevel"/>
    <w:tmpl w:val="8868A1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E70615C"/>
    <w:multiLevelType w:val="multilevel"/>
    <w:tmpl w:val="A4FE240A"/>
    <w:lvl w:ilvl="0">
      <w:start w:val="1"/>
      <w:numFmt w:val="lowerRoman"/>
      <w:lvlText w:val="%1."/>
      <w:lvlJc w:val="righ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45"/>
  </w:num>
  <w:num w:numId="2">
    <w:abstractNumId w:val="12"/>
  </w:num>
  <w:num w:numId="3">
    <w:abstractNumId w:val="7"/>
  </w:num>
  <w:num w:numId="4">
    <w:abstractNumId w:val="35"/>
  </w:num>
  <w:num w:numId="5">
    <w:abstractNumId w:val="0"/>
    <w:lvlOverride w:ilvl="0">
      <w:startOverride w:val="1"/>
      <w:lvl w:ilvl="0">
        <w:start w:val="1"/>
        <w:numFmt w:val="decimal"/>
        <w:pStyle w:val="Listanumerada"/>
        <w:lvlText w:val="%1."/>
        <w:lvlJc w:val="left"/>
        <w:pPr>
          <w:ind w:left="8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lowerLetter"/>
        <w:lvlText w:val="%2."/>
        <w:lvlJc w:val="left"/>
        <w:pPr>
          <w:ind w:left="1590" w:hanging="360"/>
        </w:pPr>
        <w:rPr>
          <w:rFonts w:hint="default"/>
        </w:rPr>
      </w:lvl>
    </w:lvlOverride>
    <w:lvlOverride w:ilvl="2">
      <w:startOverride w:val="1"/>
      <w:lvl w:ilvl="2">
        <w:start w:val="1"/>
        <w:numFmt w:val="lowerRoman"/>
        <w:lvlText w:val="%3."/>
        <w:lvlJc w:val="right"/>
        <w:pPr>
          <w:ind w:left="2310" w:hanging="180"/>
        </w:pPr>
        <w:rPr>
          <w:rFonts w:hint="default"/>
        </w:rPr>
      </w:lvl>
    </w:lvlOverride>
    <w:lvlOverride w:ilvl="3">
      <w:startOverride w:val="1"/>
      <w:lvl w:ilvl="3">
        <w:start w:val="1"/>
        <w:numFmt w:val="decimal"/>
        <w:lvlText w:val="%4."/>
        <w:lvlJc w:val="left"/>
        <w:pPr>
          <w:ind w:left="3030" w:hanging="360"/>
        </w:pPr>
        <w:rPr>
          <w:rFonts w:hint="default"/>
        </w:rPr>
      </w:lvl>
    </w:lvlOverride>
    <w:lvlOverride w:ilvl="4">
      <w:startOverride w:val="1"/>
      <w:lvl w:ilvl="4">
        <w:start w:val="1"/>
        <w:numFmt w:val="lowerLetter"/>
        <w:lvlText w:val="%5."/>
        <w:lvlJc w:val="left"/>
        <w:pPr>
          <w:ind w:left="3750" w:hanging="360"/>
        </w:pPr>
        <w:rPr>
          <w:rFonts w:hint="default"/>
        </w:rPr>
      </w:lvl>
    </w:lvlOverride>
    <w:lvlOverride w:ilvl="5">
      <w:startOverride w:val="1"/>
      <w:lvl w:ilvl="5">
        <w:start w:val="1"/>
        <w:numFmt w:val="lowerRoman"/>
        <w:lvlText w:val="%6."/>
        <w:lvlJc w:val="right"/>
        <w:pPr>
          <w:ind w:left="4470" w:hanging="180"/>
        </w:pPr>
        <w:rPr>
          <w:rFonts w:hint="default"/>
        </w:rPr>
      </w:lvl>
    </w:lvlOverride>
    <w:lvlOverride w:ilvl="6">
      <w:startOverride w:val="1"/>
      <w:lvl w:ilvl="6">
        <w:start w:val="1"/>
        <w:numFmt w:val="decimal"/>
        <w:lvlText w:val="%7."/>
        <w:lvlJc w:val="left"/>
        <w:pPr>
          <w:ind w:left="5190" w:hanging="360"/>
        </w:pPr>
        <w:rPr>
          <w:rFonts w:hint="default"/>
        </w:rPr>
      </w:lvl>
    </w:lvlOverride>
    <w:lvlOverride w:ilvl="7">
      <w:startOverride w:val="1"/>
      <w:lvl w:ilvl="7">
        <w:start w:val="1"/>
        <w:numFmt w:val="lowerLetter"/>
        <w:lvlText w:val="%8."/>
        <w:lvlJc w:val="left"/>
        <w:pPr>
          <w:ind w:left="5910" w:hanging="360"/>
        </w:pPr>
        <w:rPr>
          <w:rFonts w:hint="default"/>
        </w:rPr>
      </w:lvl>
    </w:lvlOverride>
    <w:lvlOverride w:ilvl="8">
      <w:startOverride w:val="1"/>
      <w:lvl w:ilvl="8">
        <w:start w:val="1"/>
        <w:numFmt w:val="lowerRoman"/>
        <w:lvlText w:val="%9."/>
        <w:lvlJc w:val="right"/>
        <w:pPr>
          <w:ind w:left="6630" w:hanging="180"/>
        </w:pPr>
        <w:rPr>
          <w:rFonts w:hint="default"/>
        </w:rPr>
      </w:lvl>
    </w:lvlOverride>
  </w:num>
  <w:num w:numId="6">
    <w:abstractNumId w:val="19"/>
  </w:num>
  <w:num w:numId="7">
    <w:abstractNumId w:val="43"/>
  </w:num>
  <w:num w:numId="8">
    <w:abstractNumId w:val="34"/>
  </w:num>
  <w:num w:numId="9">
    <w:abstractNumId w:val="36"/>
  </w:num>
  <w:num w:numId="10">
    <w:abstractNumId w:val="30"/>
  </w:num>
  <w:num w:numId="11">
    <w:abstractNumId w:val="31"/>
  </w:num>
  <w:num w:numId="12">
    <w:abstractNumId w:val="28"/>
  </w:num>
  <w:num w:numId="13">
    <w:abstractNumId w:val="8"/>
  </w:num>
  <w:num w:numId="14">
    <w:abstractNumId w:val="40"/>
  </w:num>
  <w:num w:numId="15">
    <w:abstractNumId w:val="26"/>
  </w:num>
  <w:num w:numId="16">
    <w:abstractNumId w:val="25"/>
  </w:num>
  <w:num w:numId="17">
    <w:abstractNumId w:val="39"/>
  </w:num>
  <w:num w:numId="18">
    <w:abstractNumId w:val="9"/>
  </w:num>
  <w:num w:numId="19">
    <w:abstractNumId w:val="1"/>
  </w:num>
  <w:num w:numId="20">
    <w:abstractNumId w:val="18"/>
  </w:num>
  <w:num w:numId="21">
    <w:abstractNumId w:val="22"/>
  </w:num>
  <w:num w:numId="22">
    <w:abstractNumId w:val="2"/>
  </w:num>
  <w:num w:numId="23">
    <w:abstractNumId w:val="16"/>
  </w:num>
  <w:num w:numId="24">
    <w:abstractNumId w:val="46"/>
  </w:num>
  <w:num w:numId="25">
    <w:abstractNumId w:val="33"/>
  </w:num>
  <w:num w:numId="26">
    <w:abstractNumId w:val="6"/>
  </w:num>
  <w:num w:numId="27">
    <w:abstractNumId w:val="21"/>
  </w:num>
  <w:num w:numId="28">
    <w:abstractNumId w:val="41"/>
  </w:num>
  <w:num w:numId="29">
    <w:abstractNumId w:val="23"/>
  </w:num>
  <w:num w:numId="30">
    <w:abstractNumId w:val="44"/>
  </w:num>
  <w:num w:numId="31">
    <w:abstractNumId w:val="42"/>
  </w:num>
  <w:num w:numId="32">
    <w:abstractNumId w:val="15"/>
  </w:num>
  <w:num w:numId="33">
    <w:abstractNumId w:val="11"/>
  </w:num>
  <w:num w:numId="34">
    <w:abstractNumId w:val="32"/>
  </w:num>
  <w:num w:numId="35">
    <w:abstractNumId w:val="27"/>
  </w:num>
  <w:num w:numId="36">
    <w:abstractNumId w:val="37"/>
  </w:num>
  <w:num w:numId="37">
    <w:abstractNumId w:val="10"/>
  </w:num>
  <w:num w:numId="38">
    <w:abstractNumId w:val="4"/>
  </w:num>
  <w:num w:numId="39">
    <w:abstractNumId w:val="20"/>
  </w:num>
  <w:num w:numId="40">
    <w:abstractNumId w:val="29"/>
  </w:num>
  <w:num w:numId="41">
    <w:abstractNumId w:val="17"/>
  </w:num>
  <w:num w:numId="42">
    <w:abstractNumId w:val="3"/>
  </w:num>
  <w:num w:numId="43">
    <w:abstractNumId w:val="14"/>
  </w:num>
  <w:num w:numId="44">
    <w:abstractNumId w:val="47"/>
  </w:num>
  <w:num w:numId="45">
    <w:abstractNumId w:val="38"/>
  </w:num>
  <w:num w:numId="46">
    <w:abstractNumId w:val="5"/>
  </w:num>
  <w:num w:numId="47">
    <w:abstractNumId w:val="13"/>
  </w:num>
  <w:num w:numId="48">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C4F"/>
    <w:rsid w:val="00000662"/>
    <w:rsid w:val="000006EA"/>
    <w:rsid w:val="00001807"/>
    <w:rsid w:val="00004001"/>
    <w:rsid w:val="00005526"/>
    <w:rsid w:val="00007B74"/>
    <w:rsid w:val="000109C0"/>
    <w:rsid w:val="00011C4F"/>
    <w:rsid w:val="00013E2C"/>
    <w:rsid w:val="00016745"/>
    <w:rsid w:val="00022714"/>
    <w:rsid w:val="000262A6"/>
    <w:rsid w:val="00026569"/>
    <w:rsid w:val="0002729A"/>
    <w:rsid w:val="00027893"/>
    <w:rsid w:val="00034727"/>
    <w:rsid w:val="000347F0"/>
    <w:rsid w:val="00035EA6"/>
    <w:rsid w:val="000419BE"/>
    <w:rsid w:val="00043E8D"/>
    <w:rsid w:val="0004405A"/>
    <w:rsid w:val="00045F31"/>
    <w:rsid w:val="00046203"/>
    <w:rsid w:val="0004729A"/>
    <w:rsid w:val="00047501"/>
    <w:rsid w:val="000475A6"/>
    <w:rsid w:val="00052330"/>
    <w:rsid w:val="00052FD2"/>
    <w:rsid w:val="0006129D"/>
    <w:rsid w:val="000658B0"/>
    <w:rsid w:val="00067B55"/>
    <w:rsid w:val="00070E5F"/>
    <w:rsid w:val="0007596E"/>
    <w:rsid w:val="00077984"/>
    <w:rsid w:val="000802D0"/>
    <w:rsid w:val="00080596"/>
    <w:rsid w:val="0008204C"/>
    <w:rsid w:val="00086575"/>
    <w:rsid w:val="000874F3"/>
    <w:rsid w:val="00087E80"/>
    <w:rsid w:val="0009203B"/>
    <w:rsid w:val="00092B82"/>
    <w:rsid w:val="00094356"/>
    <w:rsid w:val="000943FD"/>
    <w:rsid w:val="00094875"/>
    <w:rsid w:val="00094D62"/>
    <w:rsid w:val="00096153"/>
    <w:rsid w:val="0009678D"/>
    <w:rsid w:val="000978EA"/>
    <w:rsid w:val="000A02E4"/>
    <w:rsid w:val="000A1CC5"/>
    <w:rsid w:val="000A1FDB"/>
    <w:rsid w:val="000A3A18"/>
    <w:rsid w:val="000A7813"/>
    <w:rsid w:val="000B09C4"/>
    <w:rsid w:val="000B2CBD"/>
    <w:rsid w:val="000B35A1"/>
    <w:rsid w:val="000B3828"/>
    <w:rsid w:val="000C0AE9"/>
    <w:rsid w:val="000C15EF"/>
    <w:rsid w:val="000C1741"/>
    <w:rsid w:val="000C70F3"/>
    <w:rsid w:val="000D2AD8"/>
    <w:rsid w:val="000D41D7"/>
    <w:rsid w:val="000D457B"/>
    <w:rsid w:val="000D61D2"/>
    <w:rsid w:val="000D79BA"/>
    <w:rsid w:val="000E05FA"/>
    <w:rsid w:val="000E0943"/>
    <w:rsid w:val="000E1521"/>
    <w:rsid w:val="000E7936"/>
    <w:rsid w:val="000F33B1"/>
    <w:rsid w:val="000F397D"/>
    <w:rsid w:val="000F6656"/>
    <w:rsid w:val="000F6ACC"/>
    <w:rsid w:val="001000EF"/>
    <w:rsid w:val="0010280D"/>
    <w:rsid w:val="00102932"/>
    <w:rsid w:val="00103847"/>
    <w:rsid w:val="001054E6"/>
    <w:rsid w:val="00105D48"/>
    <w:rsid w:val="00106AE0"/>
    <w:rsid w:val="00106C6F"/>
    <w:rsid w:val="00114E3E"/>
    <w:rsid w:val="001163D0"/>
    <w:rsid w:val="00116F22"/>
    <w:rsid w:val="0011764E"/>
    <w:rsid w:val="0012014E"/>
    <w:rsid w:val="0012016D"/>
    <w:rsid w:val="00120388"/>
    <w:rsid w:val="00120635"/>
    <w:rsid w:val="00124683"/>
    <w:rsid w:val="00124E80"/>
    <w:rsid w:val="00124F9C"/>
    <w:rsid w:val="00125D29"/>
    <w:rsid w:val="001300EB"/>
    <w:rsid w:val="00131D85"/>
    <w:rsid w:val="001322A6"/>
    <w:rsid w:val="0014209D"/>
    <w:rsid w:val="00142621"/>
    <w:rsid w:val="001429E1"/>
    <w:rsid w:val="00144C44"/>
    <w:rsid w:val="001567B7"/>
    <w:rsid w:val="00157F89"/>
    <w:rsid w:val="00160CEA"/>
    <w:rsid w:val="00164417"/>
    <w:rsid w:val="001650D3"/>
    <w:rsid w:val="00170A7C"/>
    <w:rsid w:val="00172606"/>
    <w:rsid w:val="00177BF0"/>
    <w:rsid w:val="001811CD"/>
    <w:rsid w:val="001832C0"/>
    <w:rsid w:val="00183951"/>
    <w:rsid w:val="0019129C"/>
    <w:rsid w:val="001913A5"/>
    <w:rsid w:val="0019445A"/>
    <w:rsid w:val="001A0FBA"/>
    <w:rsid w:val="001A1EFA"/>
    <w:rsid w:val="001A2029"/>
    <w:rsid w:val="001A39F1"/>
    <w:rsid w:val="001A6BBB"/>
    <w:rsid w:val="001B1FCC"/>
    <w:rsid w:val="001B290C"/>
    <w:rsid w:val="001B29FB"/>
    <w:rsid w:val="001B3B83"/>
    <w:rsid w:val="001B3F91"/>
    <w:rsid w:val="001B6184"/>
    <w:rsid w:val="001B7349"/>
    <w:rsid w:val="001B76BD"/>
    <w:rsid w:val="001B78F4"/>
    <w:rsid w:val="001C2112"/>
    <w:rsid w:val="001C22ED"/>
    <w:rsid w:val="001C7E6F"/>
    <w:rsid w:val="001D0DC4"/>
    <w:rsid w:val="001D0ED3"/>
    <w:rsid w:val="001D640C"/>
    <w:rsid w:val="001D7692"/>
    <w:rsid w:val="001E3561"/>
    <w:rsid w:val="001E3C5B"/>
    <w:rsid w:val="001F2AB8"/>
    <w:rsid w:val="001F4F33"/>
    <w:rsid w:val="001F5B92"/>
    <w:rsid w:val="001F6395"/>
    <w:rsid w:val="001F6FFE"/>
    <w:rsid w:val="00201777"/>
    <w:rsid w:val="00204AA6"/>
    <w:rsid w:val="00212130"/>
    <w:rsid w:val="00213A96"/>
    <w:rsid w:val="002146DB"/>
    <w:rsid w:val="00214B8A"/>
    <w:rsid w:val="002150CA"/>
    <w:rsid w:val="00215D71"/>
    <w:rsid w:val="00217B1C"/>
    <w:rsid w:val="00220F40"/>
    <w:rsid w:val="00220F4C"/>
    <w:rsid w:val="00223DF2"/>
    <w:rsid w:val="0022554E"/>
    <w:rsid w:val="00226051"/>
    <w:rsid w:val="00226720"/>
    <w:rsid w:val="00233127"/>
    <w:rsid w:val="00233637"/>
    <w:rsid w:val="002360C3"/>
    <w:rsid w:val="0024081F"/>
    <w:rsid w:val="0024148E"/>
    <w:rsid w:val="00241707"/>
    <w:rsid w:val="0024717F"/>
    <w:rsid w:val="00255AB7"/>
    <w:rsid w:val="002567F7"/>
    <w:rsid w:val="00256A5D"/>
    <w:rsid w:val="00257B38"/>
    <w:rsid w:val="00257F69"/>
    <w:rsid w:val="00261AC0"/>
    <w:rsid w:val="00264B1D"/>
    <w:rsid w:val="00265D6F"/>
    <w:rsid w:val="002672BF"/>
    <w:rsid w:val="00270260"/>
    <w:rsid w:val="00276AE9"/>
    <w:rsid w:val="00283D33"/>
    <w:rsid w:val="00284F6E"/>
    <w:rsid w:val="002906A6"/>
    <w:rsid w:val="00290A4B"/>
    <w:rsid w:val="002914EF"/>
    <w:rsid w:val="002920AC"/>
    <w:rsid w:val="00293D03"/>
    <w:rsid w:val="002959FE"/>
    <w:rsid w:val="00295F21"/>
    <w:rsid w:val="002A00E0"/>
    <w:rsid w:val="002A56C0"/>
    <w:rsid w:val="002A707E"/>
    <w:rsid w:val="002B09D6"/>
    <w:rsid w:val="002B2F3C"/>
    <w:rsid w:val="002B30BA"/>
    <w:rsid w:val="002C056F"/>
    <w:rsid w:val="002C0BC8"/>
    <w:rsid w:val="002C3DB6"/>
    <w:rsid w:val="002C439F"/>
    <w:rsid w:val="002C4CAF"/>
    <w:rsid w:val="002D0B14"/>
    <w:rsid w:val="002D114E"/>
    <w:rsid w:val="002D6AD2"/>
    <w:rsid w:val="002D6E45"/>
    <w:rsid w:val="002E1ED3"/>
    <w:rsid w:val="002E2DBE"/>
    <w:rsid w:val="002E31FF"/>
    <w:rsid w:val="002E363C"/>
    <w:rsid w:val="002E5BBE"/>
    <w:rsid w:val="002E6DD5"/>
    <w:rsid w:val="002F08FD"/>
    <w:rsid w:val="002F0AED"/>
    <w:rsid w:val="002F52CD"/>
    <w:rsid w:val="002F7098"/>
    <w:rsid w:val="002F70D4"/>
    <w:rsid w:val="002F7DCF"/>
    <w:rsid w:val="00301F95"/>
    <w:rsid w:val="0030224A"/>
    <w:rsid w:val="0030339D"/>
    <w:rsid w:val="00304FE4"/>
    <w:rsid w:val="00305D57"/>
    <w:rsid w:val="00316030"/>
    <w:rsid w:val="0031754D"/>
    <w:rsid w:val="00320A11"/>
    <w:rsid w:val="00322FFF"/>
    <w:rsid w:val="0032617E"/>
    <w:rsid w:val="0032733E"/>
    <w:rsid w:val="00331283"/>
    <w:rsid w:val="00331E78"/>
    <w:rsid w:val="0033558F"/>
    <w:rsid w:val="0033710A"/>
    <w:rsid w:val="0034203F"/>
    <w:rsid w:val="00342231"/>
    <w:rsid w:val="00342A43"/>
    <w:rsid w:val="00343C93"/>
    <w:rsid w:val="00343F38"/>
    <w:rsid w:val="00344CCD"/>
    <w:rsid w:val="00344E65"/>
    <w:rsid w:val="00350BA9"/>
    <w:rsid w:val="00350C68"/>
    <w:rsid w:val="003519AD"/>
    <w:rsid w:val="00353382"/>
    <w:rsid w:val="00354530"/>
    <w:rsid w:val="00354CFF"/>
    <w:rsid w:val="003608AA"/>
    <w:rsid w:val="00372EFB"/>
    <w:rsid w:val="0037472F"/>
    <w:rsid w:val="00377225"/>
    <w:rsid w:val="00386AAE"/>
    <w:rsid w:val="00390671"/>
    <w:rsid w:val="00392312"/>
    <w:rsid w:val="003926FC"/>
    <w:rsid w:val="00392FDB"/>
    <w:rsid w:val="00393FC7"/>
    <w:rsid w:val="00395F3E"/>
    <w:rsid w:val="00396AAB"/>
    <w:rsid w:val="00397F15"/>
    <w:rsid w:val="003A25EC"/>
    <w:rsid w:val="003A37E5"/>
    <w:rsid w:val="003A503A"/>
    <w:rsid w:val="003B3DC3"/>
    <w:rsid w:val="003B3DC9"/>
    <w:rsid w:val="003B51E6"/>
    <w:rsid w:val="003B7B20"/>
    <w:rsid w:val="003C1058"/>
    <w:rsid w:val="003C10F4"/>
    <w:rsid w:val="003C1E19"/>
    <w:rsid w:val="003C5DAA"/>
    <w:rsid w:val="003C6085"/>
    <w:rsid w:val="003D2529"/>
    <w:rsid w:val="003D3100"/>
    <w:rsid w:val="003D5EAA"/>
    <w:rsid w:val="003E1725"/>
    <w:rsid w:val="003E2455"/>
    <w:rsid w:val="003E24B7"/>
    <w:rsid w:val="003E281F"/>
    <w:rsid w:val="003E3BD3"/>
    <w:rsid w:val="003E3F72"/>
    <w:rsid w:val="003E4442"/>
    <w:rsid w:val="003E6AD6"/>
    <w:rsid w:val="003F1FF8"/>
    <w:rsid w:val="003F4D82"/>
    <w:rsid w:val="003F5831"/>
    <w:rsid w:val="00400A59"/>
    <w:rsid w:val="00401771"/>
    <w:rsid w:val="004031F1"/>
    <w:rsid w:val="00404165"/>
    <w:rsid w:val="00410FC5"/>
    <w:rsid w:val="0041100D"/>
    <w:rsid w:val="00411304"/>
    <w:rsid w:val="00412084"/>
    <w:rsid w:val="0041394A"/>
    <w:rsid w:val="00413A94"/>
    <w:rsid w:val="00414B9A"/>
    <w:rsid w:val="00414BBC"/>
    <w:rsid w:val="00414E9B"/>
    <w:rsid w:val="00415FBE"/>
    <w:rsid w:val="00416B84"/>
    <w:rsid w:val="00417AFB"/>
    <w:rsid w:val="0042142A"/>
    <w:rsid w:val="00423A1D"/>
    <w:rsid w:val="00424027"/>
    <w:rsid w:val="00424D18"/>
    <w:rsid w:val="0043178F"/>
    <w:rsid w:val="00433703"/>
    <w:rsid w:val="0043645B"/>
    <w:rsid w:val="0043751F"/>
    <w:rsid w:val="00437A61"/>
    <w:rsid w:val="00437FD4"/>
    <w:rsid w:val="004400AB"/>
    <w:rsid w:val="004443EA"/>
    <w:rsid w:val="00444F13"/>
    <w:rsid w:val="00445CBD"/>
    <w:rsid w:val="004500AA"/>
    <w:rsid w:val="00450792"/>
    <w:rsid w:val="004541D8"/>
    <w:rsid w:val="00460312"/>
    <w:rsid w:val="00461E14"/>
    <w:rsid w:val="00464D2B"/>
    <w:rsid w:val="0046687F"/>
    <w:rsid w:val="004722B7"/>
    <w:rsid w:val="004746E3"/>
    <w:rsid w:val="00474A4D"/>
    <w:rsid w:val="00475EF9"/>
    <w:rsid w:val="00477D1D"/>
    <w:rsid w:val="004811F2"/>
    <w:rsid w:val="0048697E"/>
    <w:rsid w:val="004872E9"/>
    <w:rsid w:val="00490E71"/>
    <w:rsid w:val="004964FD"/>
    <w:rsid w:val="00497347"/>
    <w:rsid w:val="004A117C"/>
    <w:rsid w:val="004A1B46"/>
    <w:rsid w:val="004A28F3"/>
    <w:rsid w:val="004A6D59"/>
    <w:rsid w:val="004B0226"/>
    <w:rsid w:val="004B2E0C"/>
    <w:rsid w:val="004B4548"/>
    <w:rsid w:val="004B4A21"/>
    <w:rsid w:val="004B5A9E"/>
    <w:rsid w:val="004B6473"/>
    <w:rsid w:val="004B71CD"/>
    <w:rsid w:val="004C056A"/>
    <w:rsid w:val="004C33B1"/>
    <w:rsid w:val="004C553D"/>
    <w:rsid w:val="004C566F"/>
    <w:rsid w:val="004C682C"/>
    <w:rsid w:val="004D05CB"/>
    <w:rsid w:val="004D17E8"/>
    <w:rsid w:val="004D1C7B"/>
    <w:rsid w:val="004D2883"/>
    <w:rsid w:val="004D2B3B"/>
    <w:rsid w:val="004D48D3"/>
    <w:rsid w:val="004D6A23"/>
    <w:rsid w:val="004E0900"/>
    <w:rsid w:val="004E1168"/>
    <w:rsid w:val="004E1723"/>
    <w:rsid w:val="004E3106"/>
    <w:rsid w:val="004E368A"/>
    <w:rsid w:val="004E5B85"/>
    <w:rsid w:val="004E6452"/>
    <w:rsid w:val="004F08C1"/>
    <w:rsid w:val="004F12AE"/>
    <w:rsid w:val="004F6874"/>
    <w:rsid w:val="00500B22"/>
    <w:rsid w:val="00501A4D"/>
    <w:rsid w:val="00506C41"/>
    <w:rsid w:val="00507147"/>
    <w:rsid w:val="005111C4"/>
    <w:rsid w:val="0051172E"/>
    <w:rsid w:val="005142FC"/>
    <w:rsid w:val="00514E07"/>
    <w:rsid w:val="00516DEB"/>
    <w:rsid w:val="0051754E"/>
    <w:rsid w:val="0052275F"/>
    <w:rsid w:val="00522BD1"/>
    <w:rsid w:val="005238A8"/>
    <w:rsid w:val="00523CC0"/>
    <w:rsid w:val="0052693C"/>
    <w:rsid w:val="00526D44"/>
    <w:rsid w:val="00526DE2"/>
    <w:rsid w:val="005311CD"/>
    <w:rsid w:val="005312A1"/>
    <w:rsid w:val="00537A81"/>
    <w:rsid w:val="00543941"/>
    <w:rsid w:val="00543EF0"/>
    <w:rsid w:val="005473BE"/>
    <w:rsid w:val="005476E4"/>
    <w:rsid w:val="005505EB"/>
    <w:rsid w:val="005548EB"/>
    <w:rsid w:val="00554A79"/>
    <w:rsid w:val="00555B35"/>
    <w:rsid w:val="00561268"/>
    <w:rsid w:val="00561874"/>
    <w:rsid w:val="0056346C"/>
    <w:rsid w:val="005665EC"/>
    <w:rsid w:val="005672F2"/>
    <w:rsid w:val="00572CED"/>
    <w:rsid w:val="005739AE"/>
    <w:rsid w:val="005757CC"/>
    <w:rsid w:val="00576DA2"/>
    <w:rsid w:val="00576F6A"/>
    <w:rsid w:val="005775CC"/>
    <w:rsid w:val="00580015"/>
    <w:rsid w:val="00583B77"/>
    <w:rsid w:val="00584395"/>
    <w:rsid w:val="00587C9B"/>
    <w:rsid w:val="005915C2"/>
    <w:rsid w:val="00592C0B"/>
    <w:rsid w:val="005931A1"/>
    <w:rsid w:val="0059371E"/>
    <w:rsid w:val="005A2E11"/>
    <w:rsid w:val="005A3076"/>
    <w:rsid w:val="005A3918"/>
    <w:rsid w:val="005A60D0"/>
    <w:rsid w:val="005A6867"/>
    <w:rsid w:val="005A7E14"/>
    <w:rsid w:val="005B102F"/>
    <w:rsid w:val="005B2595"/>
    <w:rsid w:val="005B3EFF"/>
    <w:rsid w:val="005C104C"/>
    <w:rsid w:val="005C1885"/>
    <w:rsid w:val="005C29BD"/>
    <w:rsid w:val="005C37BC"/>
    <w:rsid w:val="005C3FA8"/>
    <w:rsid w:val="005C5E9D"/>
    <w:rsid w:val="005D1099"/>
    <w:rsid w:val="005D2254"/>
    <w:rsid w:val="005D7127"/>
    <w:rsid w:val="005D7A10"/>
    <w:rsid w:val="005E09AC"/>
    <w:rsid w:val="005E1642"/>
    <w:rsid w:val="005E273C"/>
    <w:rsid w:val="005E2829"/>
    <w:rsid w:val="005E3758"/>
    <w:rsid w:val="005E4D29"/>
    <w:rsid w:val="005E59B8"/>
    <w:rsid w:val="005E7698"/>
    <w:rsid w:val="005F0B6B"/>
    <w:rsid w:val="005F469C"/>
    <w:rsid w:val="005F5007"/>
    <w:rsid w:val="005F7AA6"/>
    <w:rsid w:val="006031A0"/>
    <w:rsid w:val="006060F0"/>
    <w:rsid w:val="00610186"/>
    <w:rsid w:val="00610BAA"/>
    <w:rsid w:val="00611CAD"/>
    <w:rsid w:val="006127B2"/>
    <w:rsid w:val="006144A2"/>
    <w:rsid w:val="006171D3"/>
    <w:rsid w:val="00620D5D"/>
    <w:rsid w:val="00623331"/>
    <w:rsid w:val="00625122"/>
    <w:rsid w:val="006257D4"/>
    <w:rsid w:val="00627A06"/>
    <w:rsid w:val="00627EF1"/>
    <w:rsid w:val="006311EA"/>
    <w:rsid w:val="00631C13"/>
    <w:rsid w:val="0063213A"/>
    <w:rsid w:val="00636FD7"/>
    <w:rsid w:val="00637730"/>
    <w:rsid w:val="0063790D"/>
    <w:rsid w:val="006400F8"/>
    <w:rsid w:val="006401E4"/>
    <w:rsid w:val="00640C6D"/>
    <w:rsid w:val="006432E4"/>
    <w:rsid w:val="00643B87"/>
    <w:rsid w:val="0064516B"/>
    <w:rsid w:val="006462E1"/>
    <w:rsid w:val="006478E5"/>
    <w:rsid w:val="006511EA"/>
    <w:rsid w:val="00654358"/>
    <w:rsid w:val="00655626"/>
    <w:rsid w:val="0065601E"/>
    <w:rsid w:val="0065685D"/>
    <w:rsid w:val="00656BCC"/>
    <w:rsid w:val="00657BAC"/>
    <w:rsid w:val="00664DD9"/>
    <w:rsid w:val="006653BA"/>
    <w:rsid w:val="00665B30"/>
    <w:rsid w:val="0067442F"/>
    <w:rsid w:val="00674CBA"/>
    <w:rsid w:val="0067572A"/>
    <w:rsid w:val="00676114"/>
    <w:rsid w:val="0067617C"/>
    <w:rsid w:val="006762A1"/>
    <w:rsid w:val="00677D1F"/>
    <w:rsid w:val="00680187"/>
    <w:rsid w:val="00681744"/>
    <w:rsid w:val="00681D7C"/>
    <w:rsid w:val="00683F51"/>
    <w:rsid w:val="00684ABA"/>
    <w:rsid w:val="00685358"/>
    <w:rsid w:val="0068653C"/>
    <w:rsid w:val="00687550"/>
    <w:rsid w:val="00687E5F"/>
    <w:rsid w:val="00693E1B"/>
    <w:rsid w:val="006957A2"/>
    <w:rsid w:val="006A2FFA"/>
    <w:rsid w:val="006A495E"/>
    <w:rsid w:val="006A6368"/>
    <w:rsid w:val="006A7B6D"/>
    <w:rsid w:val="006B11E3"/>
    <w:rsid w:val="006B18D3"/>
    <w:rsid w:val="006B3457"/>
    <w:rsid w:val="006B4245"/>
    <w:rsid w:val="006B43C4"/>
    <w:rsid w:val="006B44B6"/>
    <w:rsid w:val="006B4F60"/>
    <w:rsid w:val="006B5D37"/>
    <w:rsid w:val="006B626A"/>
    <w:rsid w:val="006C1D9F"/>
    <w:rsid w:val="006C4A51"/>
    <w:rsid w:val="006C6B80"/>
    <w:rsid w:val="006C6CCE"/>
    <w:rsid w:val="006C7DD1"/>
    <w:rsid w:val="006D152A"/>
    <w:rsid w:val="006D1B91"/>
    <w:rsid w:val="006D287B"/>
    <w:rsid w:val="006D6369"/>
    <w:rsid w:val="006E208A"/>
    <w:rsid w:val="006E56C4"/>
    <w:rsid w:val="006E5EEB"/>
    <w:rsid w:val="006E678E"/>
    <w:rsid w:val="006E77F3"/>
    <w:rsid w:val="006F12F0"/>
    <w:rsid w:val="006F3B81"/>
    <w:rsid w:val="00705D0A"/>
    <w:rsid w:val="00706219"/>
    <w:rsid w:val="00707872"/>
    <w:rsid w:val="00712E7E"/>
    <w:rsid w:val="00715307"/>
    <w:rsid w:val="0072044B"/>
    <w:rsid w:val="007220A5"/>
    <w:rsid w:val="007220C4"/>
    <w:rsid w:val="007320ED"/>
    <w:rsid w:val="0073249D"/>
    <w:rsid w:val="00732523"/>
    <w:rsid w:val="00735108"/>
    <w:rsid w:val="00735637"/>
    <w:rsid w:val="00735991"/>
    <w:rsid w:val="007367AC"/>
    <w:rsid w:val="00744F7E"/>
    <w:rsid w:val="00753192"/>
    <w:rsid w:val="00754E77"/>
    <w:rsid w:val="007554E0"/>
    <w:rsid w:val="00756642"/>
    <w:rsid w:val="007571F2"/>
    <w:rsid w:val="0076618C"/>
    <w:rsid w:val="007663CA"/>
    <w:rsid w:val="00767509"/>
    <w:rsid w:val="007676D9"/>
    <w:rsid w:val="00771B63"/>
    <w:rsid w:val="007728DD"/>
    <w:rsid w:val="007748AC"/>
    <w:rsid w:val="00774F87"/>
    <w:rsid w:val="00775392"/>
    <w:rsid w:val="00775904"/>
    <w:rsid w:val="00776809"/>
    <w:rsid w:val="00785096"/>
    <w:rsid w:val="007858FB"/>
    <w:rsid w:val="00785949"/>
    <w:rsid w:val="00786EF5"/>
    <w:rsid w:val="00787302"/>
    <w:rsid w:val="00793FE1"/>
    <w:rsid w:val="007953EF"/>
    <w:rsid w:val="007A380D"/>
    <w:rsid w:val="007A6B1E"/>
    <w:rsid w:val="007B0A83"/>
    <w:rsid w:val="007B33D7"/>
    <w:rsid w:val="007B62F7"/>
    <w:rsid w:val="007B6353"/>
    <w:rsid w:val="007B649D"/>
    <w:rsid w:val="007B76CD"/>
    <w:rsid w:val="007C02DF"/>
    <w:rsid w:val="007C2E6F"/>
    <w:rsid w:val="007C31EB"/>
    <w:rsid w:val="007C5903"/>
    <w:rsid w:val="007C6467"/>
    <w:rsid w:val="007C67B0"/>
    <w:rsid w:val="007C6C9C"/>
    <w:rsid w:val="007C6F9E"/>
    <w:rsid w:val="007C732F"/>
    <w:rsid w:val="007D0347"/>
    <w:rsid w:val="007D0E73"/>
    <w:rsid w:val="007D477F"/>
    <w:rsid w:val="007D4893"/>
    <w:rsid w:val="007D7C85"/>
    <w:rsid w:val="007D7D28"/>
    <w:rsid w:val="007D7DAA"/>
    <w:rsid w:val="007E0BAE"/>
    <w:rsid w:val="007E1322"/>
    <w:rsid w:val="007E158B"/>
    <w:rsid w:val="007F5E12"/>
    <w:rsid w:val="007F7D6E"/>
    <w:rsid w:val="008010D8"/>
    <w:rsid w:val="008049C3"/>
    <w:rsid w:val="00805E54"/>
    <w:rsid w:val="00806F4F"/>
    <w:rsid w:val="00807561"/>
    <w:rsid w:val="00811D1F"/>
    <w:rsid w:val="00811FFA"/>
    <w:rsid w:val="00812DF7"/>
    <w:rsid w:val="0081491A"/>
    <w:rsid w:val="0081721C"/>
    <w:rsid w:val="00817382"/>
    <w:rsid w:val="0081746E"/>
    <w:rsid w:val="00820545"/>
    <w:rsid w:val="00820661"/>
    <w:rsid w:val="0082250F"/>
    <w:rsid w:val="00824174"/>
    <w:rsid w:val="0082508D"/>
    <w:rsid w:val="00831F4C"/>
    <w:rsid w:val="008327A9"/>
    <w:rsid w:val="0083283B"/>
    <w:rsid w:val="00835748"/>
    <w:rsid w:val="008432B3"/>
    <w:rsid w:val="0084471B"/>
    <w:rsid w:val="00846391"/>
    <w:rsid w:val="008464D3"/>
    <w:rsid w:val="00847E04"/>
    <w:rsid w:val="00852DE4"/>
    <w:rsid w:val="00854437"/>
    <w:rsid w:val="00855BB2"/>
    <w:rsid w:val="00855BD4"/>
    <w:rsid w:val="00855CBC"/>
    <w:rsid w:val="008562C0"/>
    <w:rsid w:val="00856F5D"/>
    <w:rsid w:val="00860943"/>
    <w:rsid w:val="00860C95"/>
    <w:rsid w:val="00861192"/>
    <w:rsid w:val="008619F6"/>
    <w:rsid w:val="00866186"/>
    <w:rsid w:val="00866EFB"/>
    <w:rsid w:val="00871E53"/>
    <w:rsid w:val="00873782"/>
    <w:rsid w:val="00873F9C"/>
    <w:rsid w:val="00875416"/>
    <w:rsid w:val="008757CC"/>
    <w:rsid w:val="008758A3"/>
    <w:rsid w:val="00876E39"/>
    <w:rsid w:val="00881ACC"/>
    <w:rsid w:val="0088422C"/>
    <w:rsid w:val="008867C8"/>
    <w:rsid w:val="00886A93"/>
    <w:rsid w:val="008904BD"/>
    <w:rsid w:val="00891500"/>
    <w:rsid w:val="00892742"/>
    <w:rsid w:val="008945B8"/>
    <w:rsid w:val="0089476B"/>
    <w:rsid w:val="00895E20"/>
    <w:rsid w:val="0089723B"/>
    <w:rsid w:val="008A0AE7"/>
    <w:rsid w:val="008A10DA"/>
    <w:rsid w:val="008A3321"/>
    <w:rsid w:val="008B06F4"/>
    <w:rsid w:val="008B0E17"/>
    <w:rsid w:val="008B3202"/>
    <w:rsid w:val="008B3290"/>
    <w:rsid w:val="008B5EA2"/>
    <w:rsid w:val="008C08C0"/>
    <w:rsid w:val="008C2377"/>
    <w:rsid w:val="008C2CA8"/>
    <w:rsid w:val="008C3AAC"/>
    <w:rsid w:val="008C5219"/>
    <w:rsid w:val="008D0253"/>
    <w:rsid w:val="008D0D9B"/>
    <w:rsid w:val="008D21FC"/>
    <w:rsid w:val="008D4918"/>
    <w:rsid w:val="008D4EB6"/>
    <w:rsid w:val="008E1CC2"/>
    <w:rsid w:val="008E2B68"/>
    <w:rsid w:val="008E3E26"/>
    <w:rsid w:val="008F3F6D"/>
    <w:rsid w:val="008F5EF1"/>
    <w:rsid w:val="008F744E"/>
    <w:rsid w:val="008F7469"/>
    <w:rsid w:val="0090123B"/>
    <w:rsid w:val="00901560"/>
    <w:rsid w:val="009020F4"/>
    <w:rsid w:val="00903263"/>
    <w:rsid w:val="00903372"/>
    <w:rsid w:val="00904FEB"/>
    <w:rsid w:val="00905A8D"/>
    <w:rsid w:val="00905D02"/>
    <w:rsid w:val="00906442"/>
    <w:rsid w:val="00906C79"/>
    <w:rsid w:val="009100A9"/>
    <w:rsid w:val="00910535"/>
    <w:rsid w:val="009147C7"/>
    <w:rsid w:val="0091566D"/>
    <w:rsid w:val="00915FF8"/>
    <w:rsid w:val="009200C8"/>
    <w:rsid w:val="009241B4"/>
    <w:rsid w:val="00924A2A"/>
    <w:rsid w:val="009260CB"/>
    <w:rsid w:val="00927449"/>
    <w:rsid w:val="009323B1"/>
    <w:rsid w:val="00933521"/>
    <w:rsid w:val="009410AB"/>
    <w:rsid w:val="0094177F"/>
    <w:rsid w:val="00941EF8"/>
    <w:rsid w:val="00943BB0"/>
    <w:rsid w:val="00943DFD"/>
    <w:rsid w:val="00945DA9"/>
    <w:rsid w:val="00946010"/>
    <w:rsid w:val="00947F75"/>
    <w:rsid w:val="0095007A"/>
    <w:rsid w:val="00950F3B"/>
    <w:rsid w:val="00951201"/>
    <w:rsid w:val="00951760"/>
    <w:rsid w:val="00951FC8"/>
    <w:rsid w:val="00952995"/>
    <w:rsid w:val="00952F02"/>
    <w:rsid w:val="00953F97"/>
    <w:rsid w:val="0095583B"/>
    <w:rsid w:val="00956D4C"/>
    <w:rsid w:val="009574DF"/>
    <w:rsid w:val="009610F0"/>
    <w:rsid w:val="009624CD"/>
    <w:rsid w:val="00967174"/>
    <w:rsid w:val="009720FD"/>
    <w:rsid w:val="0097419D"/>
    <w:rsid w:val="00975438"/>
    <w:rsid w:val="00976F06"/>
    <w:rsid w:val="00977227"/>
    <w:rsid w:val="009777A4"/>
    <w:rsid w:val="00977C1A"/>
    <w:rsid w:val="009833B9"/>
    <w:rsid w:val="00984D69"/>
    <w:rsid w:val="00986F4F"/>
    <w:rsid w:val="00991039"/>
    <w:rsid w:val="00991C0C"/>
    <w:rsid w:val="00992CD2"/>
    <w:rsid w:val="0099516C"/>
    <w:rsid w:val="0099566F"/>
    <w:rsid w:val="00997FB6"/>
    <w:rsid w:val="009A1252"/>
    <w:rsid w:val="009A1317"/>
    <w:rsid w:val="009A2D9A"/>
    <w:rsid w:val="009A34BD"/>
    <w:rsid w:val="009A51B9"/>
    <w:rsid w:val="009B23AB"/>
    <w:rsid w:val="009B29B3"/>
    <w:rsid w:val="009B5681"/>
    <w:rsid w:val="009B7265"/>
    <w:rsid w:val="009B77BA"/>
    <w:rsid w:val="009B7CC5"/>
    <w:rsid w:val="009C0C9F"/>
    <w:rsid w:val="009C1892"/>
    <w:rsid w:val="009C6BEC"/>
    <w:rsid w:val="009D3839"/>
    <w:rsid w:val="009D4187"/>
    <w:rsid w:val="009D4660"/>
    <w:rsid w:val="009D577D"/>
    <w:rsid w:val="009D5886"/>
    <w:rsid w:val="009D7E49"/>
    <w:rsid w:val="009E353C"/>
    <w:rsid w:val="009E3BBC"/>
    <w:rsid w:val="009E5A3C"/>
    <w:rsid w:val="009E5AF7"/>
    <w:rsid w:val="009F01E6"/>
    <w:rsid w:val="009F2480"/>
    <w:rsid w:val="009F5A50"/>
    <w:rsid w:val="00A02AB7"/>
    <w:rsid w:val="00A03547"/>
    <w:rsid w:val="00A04B57"/>
    <w:rsid w:val="00A060F0"/>
    <w:rsid w:val="00A114CE"/>
    <w:rsid w:val="00A1156A"/>
    <w:rsid w:val="00A12CD1"/>
    <w:rsid w:val="00A133C3"/>
    <w:rsid w:val="00A13DC4"/>
    <w:rsid w:val="00A15589"/>
    <w:rsid w:val="00A20134"/>
    <w:rsid w:val="00A214BD"/>
    <w:rsid w:val="00A22933"/>
    <w:rsid w:val="00A22B77"/>
    <w:rsid w:val="00A3163F"/>
    <w:rsid w:val="00A33078"/>
    <w:rsid w:val="00A33FD0"/>
    <w:rsid w:val="00A34368"/>
    <w:rsid w:val="00A36BAC"/>
    <w:rsid w:val="00A3730A"/>
    <w:rsid w:val="00A37827"/>
    <w:rsid w:val="00A41779"/>
    <w:rsid w:val="00A4233C"/>
    <w:rsid w:val="00A42366"/>
    <w:rsid w:val="00A44047"/>
    <w:rsid w:val="00A46CEB"/>
    <w:rsid w:val="00A50E67"/>
    <w:rsid w:val="00A63276"/>
    <w:rsid w:val="00A64FD4"/>
    <w:rsid w:val="00A6592E"/>
    <w:rsid w:val="00A676D7"/>
    <w:rsid w:val="00A67C1A"/>
    <w:rsid w:val="00A7054E"/>
    <w:rsid w:val="00A747CD"/>
    <w:rsid w:val="00A75630"/>
    <w:rsid w:val="00A75DE1"/>
    <w:rsid w:val="00A81E30"/>
    <w:rsid w:val="00A85FAB"/>
    <w:rsid w:val="00A86332"/>
    <w:rsid w:val="00A87FCC"/>
    <w:rsid w:val="00A93D83"/>
    <w:rsid w:val="00A945C2"/>
    <w:rsid w:val="00A95276"/>
    <w:rsid w:val="00A95DA9"/>
    <w:rsid w:val="00A96106"/>
    <w:rsid w:val="00A9778F"/>
    <w:rsid w:val="00AA2BAB"/>
    <w:rsid w:val="00AA3D26"/>
    <w:rsid w:val="00AA4ECB"/>
    <w:rsid w:val="00AA78F3"/>
    <w:rsid w:val="00AB396C"/>
    <w:rsid w:val="00AB4646"/>
    <w:rsid w:val="00AB694F"/>
    <w:rsid w:val="00AC0106"/>
    <w:rsid w:val="00AC631C"/>
    <w:rsid w:val="00AC72F2"/>
    <w:rsid w:val="00AD08A6"/>
    <w:rsid w:val="00AD47F3"/>
    <w:rsid w:val="00AD4DF9"/>
    <w:rsid w:val="00AD6057"/>
    <w:rsid w:val="00AE2C7C"/>
    <w:rsid w:val="00AE396A"/>
    <w:rsid w:val="00AE40EF"/>
    <w:rsid w:val="00AE4693"/>
    <w:rsid w:val="00AE4FCB"/>
    <w:rsid w:val="00AE68B2"/>
    <w:rsid w:val="00AE6AD9"/>
    <w:rsid w:val="00AE79A7"/>
    <w:rsid w:val="00AE79A9"/>
    <w:rsid w:val="00AF03AB"/>
    <w:rsid w:val="00AF1846"/>
    <w:rsid w:val="00AF27E5"/>
    <w:rsid w:val="00AF39B5"/>
    <w:rsid w:val="00AF5C31"/>
    <w:rsid w:val="00B000B7"/>
    <w:rsid w:val="00B0191B"/>
    <w:rsid w:val="00B027B5"/>
    <w:rsid w:val="00B04857"/>
    <w:rsid w:val="00B06F98"/>
    <w:rsid w:val="00B10033"/>
    <w:rsid w:val="00B10B1C"/>
    <w:rsid w:val="00B10E37"/>
    <w:rsid w:val="00B11E53"/>
    <w:rsid w:val="00B16411"/>
    <w:rsid w:val="00B2048F"/>
    <w:rsid w:val="00B206BE"/>
    <w:rsid w:val="00B20FE6"/>
    <w:rsid w:val="00B26562"/>
    <w:rsid w:val="00B268B7"/>
    <w:rsid w:val="00B27E92"/>
    <w:rsid w:val="00B3233B"/>
    <w:rsid w:val="00B326A9"/>
    <w:rsid w:val="00B35A44"/>
    <w:rsid w:val="00B37218"/>
    <w:rsid w:val="00B37C81"/>
    <w:rsid w:val="00B40789"/>
    <w:rsid w:val="00B40CD8"/>
    <w:rsid w:val="00B41246"/>
    <w:rsid w:val="00B41462"/>
    <w:rsid w:val="00B41FBC"/>
    <w:rsid w:val="00B42C69"/>
    <w:rsid w:val="00B4328C"/>
    <w:rsid w:val="00B444B2"/>
    <w:rsid w:val="00B45A91"/>
    <w:rsid w:val="00B45DF0"/>
    <w:rsid w:val="00B45EF5"/>
    <w:rsid w:val="00B46B66"/>
    <w:rsid w:val="00B46D31"/>
    <w:rsid w:val="00B512F7"/>
    <w:rsid w:val="00B5132F"/>
    <w:rsid w:val="00B526DC"/>
    <w:rsid w:val="00B5359F"/>
    <w:rsid w:val="00B54DA6"/>
    <w:rsid w:val="00B54FD4"/>
    <w:rsid w:val="00B6144C"/>
    <w:rsid w:val="00B61886"/>
    <w:rsid w:val="00B62EEB"/>
    <w:rsid w:val="00B647FC"/>
    <w:rsid w:val="00B64C79"/>
    <w:rsid w:val="00B739A7"/>
    <w:rsid w:val="00B74A49"/>
    <w:rsid w:val="00B74CA2"/>
    <w:rsid w:val="00B7541D"/>
    <w:rsid w:val="00B75E05"/>
    <w:rsid w:val="00B75F78"/>
    <w:rsid w:val="00B76313"/>
    <w:rsid w:val="00B7749E"/>
    <w:rsid w:val="00B823C3"/>
    <w:rsid w:val="00B82A6A"/>
    <w:rsid w:val="00B83319"/>
    <w:rsid w:val="00B83B23"/>
    <w:rsid w:val="00B84A00"/>
    <w:rsid w:val="00B879D2"/>
    <w:rsid w:val="00B90DE6"/>
    <w:rsid w:val="00B94C54"/>
    <w:rsid w:val="00B9560C"/>
    <w:rsid w:val="00B96937"/>
    <w:rsid w:val="00B97B90"/>
    <w:rsid w:val="00BA147C"/>
    <w:rsid w:val="00BA3B5D"/>
    <w:rsid w:val="00BA3E8F"/>
    <w:rsid w:val="00BA5710"/>
    <w:rsid w:val="00BA67B6"/>
    <w:rsid w:val="00BB1DDD"/>
    <w:rsid w:val="00BB2EA4"/>
    <w:rsid w:val="00BB34FF"/>
    <w:rsid w:val="00BB38EC"/>
    <w:rsid w:val="00BB70C0"/>
    <w:rsid w:val="00BC00A5"/>
    <w:rsid w:val="00BC07DE"/>
    <w:rsid w:val="00BC1E74"/>
    <w:rsid w:val="00BC3AC4"/>
    <w:rsid w:val="00BC4546"/>
    <w:rsid w:val="00BD0CC6"/>
    <w:rsid w:val="00BD330A"/>
    <w:rsid w:val="00BD42FB"/>
    <w:rsid w:val="00BD5FD5"/>
    <w:rsid w:val="00BE2F7C"/>
    <w:rsid w:val="00BE470C"/>
    <w:rsid w:val="00BE48ED"/>
    <w:rsid w:val="00BE4C4B"/>
    <w:rsid w:val="00BE4E48"/>
    <w:rsid w:val="00BE702A"/>
    <w:rsid w:val="00BE7734"/>
    <w:rsid w:val="00BE7B70"/>
    <w:rsid w:val="00BF099B"/>
    <w:rsid w:val="00BF148D"/>
    <w:rsid w:val="00BF176B"/>
    <w:rsid w:val="00BF5236"/>
    <w:rsid w:val="00BF69B1"/>
    <w:rsid w:val="00BF6A32"/>
    <w:rsid w:val="00C01679"/>
    <w:rsid w:val="00C02C29"/>
    <w:rsid w:val="00C030D0"/>
    <w:rsid w:val="00C04CA7"/>
    <w:rsid w:val="00C05F24"/>
    <w:rsid w:val="00C113FC"/>
    <w:rsid w:val="00C116B2"/>
    <w:rsid w:val="00C118DE"/>
    <w:rsid w:val="00C12699"/>
    <w:rsid w:val="00C1392D"/>
    <w:rsid w:val="00C14872"/>
    <w:rsid w:val="00C161D8"/>
    <w:rsid w:val="00C2010F"/>
    <w:rsid w:val="00C20757"/>
    <w:rsid w:val="00C218C9"/>
    <w:rsid w:val="00C25240"/>
    <w:rsid w:val="00C260DD"/>
    <w:rsid w:val="00C27AF9"/>
    <w:rsid w:val="00C32B93"/>
    <w:rsid w:val="00C34894"/>
    <w:rsid w:val="00C34F55"/>
    <w:rsid w:val="00C36BF1"/>
    <w:rsid w:val="00C41A4B"/>
    <w:rsid w:val="00C425B0"/>
    <w:rsid w:val="00C44087"/>
    <w:rsid w:val="00C46465"/>
    <w:rsid w:val="00C46DD2"/>
    <w:rsid w:val="00C5045C"/>
    <w:rsid w:val="00C507F0"/>
    <w:rsid w:val="00C51914"/>
    <w:rsid w:val="00C532B9"/>
    <w:rsid w:val="00C5344A"/>
    <w:rsid w:val="00C53DBB"/>
    <w:rsid w:val="00C56C6E"/>
    <w:rsid w:val="00C5728B"/>
    <w:rsid w:val="00C606A8"/>
    <w:rsid w:val="00C61FEE"/>
    <w:rsid w:val="00C62B4F"/>
    <w:rsid w:val="00C62CFB"/>
    <w:rsid w:val="00C731A3"/>
    <w:rsid w:val="00C74B4D"/>
    <w:rsid w:val="00C74E22"/>
    <w:rsid w:val="00C77104"/>
    <w:rsid w:val="00C77707"/>
    <w:rsid w:val="00C810D1"/>
    <w:rsid w:val="00C81700"/>
    <w:rsid w:val="00C823D5"/>
    <w:rsid w:val="00C82C83"/>
    <w:rsid w:val="00C859D9"/>
    <w:rsid w:val="00C900C7"/>
    <w:rsid w:val="00C92AED"/>
    <w:rsid w:val="00C94518"/>
    <w:rsid w:val="00C94849"/>
    <w:rsid w:val="00C9566F"/>
    <w:rsid w:val="00C95C09"/>
    <w:rsid w:val="00C966E5"/>
    <w:rsid w:val="00C9798D"/>
    <w:rsid w:val="00CA0CC5"/>
    <w:rsid w:val="00CA1C71"/>
    <w:rsid w:val="00CA530A"/>
    <w:rsid w:val="00CA6437"/>
    <w:rsid w:val="00CB1128"/>
    <w:rsid w:val="00CB12DC"/>
    <w:rsid w:val="00CB2AAC"/>
    <w:rsid w:val="00CB5FC5"/>
    <w:rsid w:val="00CB658C"/>
    <w:rsid w:val="00CB6DEF"/>
    <w:rsid w:val="00CB6FFA"/>
    <w:rsid w:val="00CB7E58"/>
    <w:rsid w:val="00CC1239"/>
    <w:rsid w:val="00CC2046"/>
    <w:rsid w:val="00CC3310"/>
    <w:rsid w:val="00CC60E7"/>
    <w:rsid w:val="00CC650B"/>
    <w:rsid w:val="00CC6A80"/>
    <w:rsid w:val="00CC6AE2"/>
    <w:rsid w:val="00CC79CB"/>
    <w:rsid w:val="00CD197B"/>
    <w:rsid w:val="00CD300C"/>
    <w:rsid w:val="00CD3934"/>
    <w:rsid w:val="00CD59F8"/>
    <w:rsid w:val="00CE0944"/>
    <w:rsid w:val="00CE0C1C"/>
    <w:rsid w:val="00CE355A"/>
    <w:rsid w:val="00CF0FBA"/>
    <w:rsid w:val="00CF2466"/>
    <w:rsid w:val="00CF3AD6"/>
    <w:rsid w:val="00CF50DF"/>
    <w:rsid w:val="00CF62C4"/>
    <w:rsid w:val="00CF7039"/>
    <w:rsid w:val="00D02995"/>
    <w:rsid w:val="00D042AF"/>
    <w:rsid w:val="00D04432"/>
    <w:rsid w:val="00D054D7"/>
    <w:rsid w:val="00D062B6"/>
    <w:rsid w:val="00D06499"/>
    <w:rsid w:val="00D06F0E"/>
    <w:rsid w:val="00D10A6C"/>
    <w:rsid w:val="00D11181"/>
    <w:rsid w:val="00D118D6"/>
    <w:rsid w:val="00D12D36"/>
    <w:rsid w:val="00D16812"/>
    <w:rsid w:val="00D2023C"/>
    <w:rsid w:val="00D20B65"/>
    <w:rsid w:val="00D20D0E"/>
    <w:rsid w:val="00D2166B"/>
    <w:rsid w:val="00D225E5"/>
    <w:rsid w:val="00D22AB0"/>
    <w:rsid w:val="00D22CB8"/>
    <w:rsid w:val="00D23FF7"/>
    <w:rsid w:val="00D24E7C"/>
    <w:rsid w:val="00D2501A"/>
    <w:rsid w:val="00D26E03"/>
    <w:rsid w:val="00D27736"/>
    <w:rsid w:val="00D2787D"/>
    <w:rsid w:val="00D33545"/>
    <w:rsid w:val="00D33FCF"/>
    <w:rsid w:val="00D36C41"/>
    <w:rsid w:val="00D37576"/>
    <w:rsid w:val="00D375BA"/>
    <w:rsid w:val="00D406DB"/>
    <w:rsid w:val="00D410BA"/>
    <w:rsid w:val="00D417C1"/>
    <w:rsid w:val="00D51EDA"/>
    <w:rsid w:val="00D5297D"/>
    <w:rsid w:val="00D532B2"/>
    <w:rsid w:val="00D539CB"/>
    <w:rsid w:val="00D53FA9"/>
    <w:rsid w:val="00D5406A"/>
    <w:rsid w:val="00D549F3"/>
    <w:rsid w:val="00D54DF6"/>
    <w:rsid w:val="00D630E1"/>
    <w:rsid w:val="00D63641"/>
    <w:rsid w:val="00D65FD1"/>
    <w:rsid w:val="00D72897"/>
    <w:rsid w:val="00D7424E"/>
    <w:rsid w:val="00D76E77"/>
    <w:rsid w:val="00D81E21"/>
    <w:rsid w:val="00D84651"/>
    <w:rsid w:val="00D84678"/>
    <w:rsid w:val="00D84BA5"/>
    <w:rsid w:val="00D850DB"/>
    <w:rsid w:val="00D87D49"/>
    <w:rsid w:val="00D91D86"/>
    <w:rsid w:val="00D92445"/>
    <w:rsid w:val="00D942E9"/>
    <w:rsid w:val="00DA0631"/>
    <w:rsid w:val="00DA1832"/>
    <w:rsid w:val="00DA2C5A"/>
    <w:rsid w:val="00DA5254"/>
    <w:rsid w:val="00DA57A5"/>
    <w:rsid w:val="00DA662F"/>
    <w:rsid w:val="00DA6E50"/>
    <w:rsid w:val="00DA6F12"/>
    <w:rsid w:val="00DB0181"/>
    <w:rsid w:val="00DC32A0"/>
    <w:rsid w:val="00DC3938"/>
    <w:rsid w:val="00DC60C9"/>
    <w:rsid w:val="00DD0464"/>
    <w:rsid w:val="00DD12DC"/>
    <w:rsid w:val="00DD168E"/>
    <w:rsid w:val="00DD171E"/>
    <w:rsid w:val="00DD2422"/>
    <w:rsid w:val="00DD30CF"/>
    <w:rsid w:val="00DD3A27"/>
    <w:rsid w:val="00DD6B1F"/>
    <w:rsid w:val="00DE6CCD"/>
    <w:rsid w:val="00DE6CDC"/>
    <w:rsid w:val="00DE772F"/>
    <w:rsid w:val="00DF1628"/>
    <w:rsid w:val="00DF46E4"/>
    <w:rsid w:val="00DF479C"/>
    <w:rsid w:val="00DF5BE7"/>
    <w:rsid w:val="00DF5FE9"/>
    <w:rsid w:val="00DF79F1"/>
    <w:rsid w:val="00E0167A"/>
    <w:rsid w:val="00E01897"/>
    <w:rsid w:val="00E04787"/>
    <w:rsid w:val="00E051BA"/>
    <w:rsid w:val="00E05550"/>
    <w:rsid w:val="00E0663D"/>
    <w:rsid w:val="00E11CD7"/>
    <w:rsid w:val="00E121FB"/>
    <w:rsid w:val="00E15D28"/>
    <w:rsid w:val="00E20BCB"/>
    <w:rsid w:val="00E20CBB"/>
    <w:rsid w:val="00E22754"/>
    <w:rsid w:val="00E233B4"/>
    <w:rsid w:val="00E24198"/>
    <w:rsid w:val="00E251CB"/>
    <w:rsid w:val="00E25A96"/>
    <w:rsid w:val="00E25D78"/>
    <w:rsid w:val="00E263DA"/>
    <w:rsid w:val="00E26D18"/>
    <w:rsid w:val="00E26F7A"/>
    <w:rsid w:val="00E3041A"/>
    <w:rsid w:val="00E33B17"/>
    <w:rsid w:val="00E33C1A"/>
    <w:rsid w:val="00E33F15"/>
    <w:rsid w:val="00E36CA3"/>
    <w:rsid w:val="00E37DB6"/>
    <w:rsid w:val="00E40572"/>
    <w:rsid w:val="00E419EF"/>
    <w:rsid w:val="00E41D85"/>
    <w:rsid w:val="00E43A6A"/>
    <w:rsid w:val="00E45729"/>
    <w:rsid w:val="00E50D12"/>
    <w:rsid w:val="00E5359B"/>
    <w:rsid w:val="00E53A82"/>
    <w:rsid w:val="00E54958"/>
    <w:rsid w:val="00E60BDC"/>
    <w:rsid w:val="00E650CB"/>
    <w:rsid w:val="00E67180"/>
    <w:rsid w:val="00E70D3C"/>
    <w:rsid w:val="00E71A6C"/>
    <w:rsid w:val="00E71BD5"/>
    <w:rsid w:val="00E71BF4"/>
    <w:rsid w:val="00E72A06"/>
    <w:rsid w:val="00E76B81"/>
    <w:rsid w:val="00E80795"/>
    <w:rsid w:val="00E821BD"/>
    <w:rsid w:val="00E85901"/>
    <w:rsid w:val="00E85C2F"/>
    <w:rsid w:val="00E86C5D"/>
    <w:rsid w:val="00E86D11"/>
    <w:rsid w:val="00E87354"/>
    <w:rsid w:val="00E940BA"/>
    <w:rsid w:val="00E97D0E"/>
    <w:rsid w:val="00EA140C"/>
    <w:rsid w:val="00EA22C3"/>
    <w:rsid w:val="00EA253F"/>
    <w:rsid w:val="00EA5225"/>
    <w:rsid w:val="00EB055A"/>
    <w:rsid w:val="00EB18ED"/>
    <w:rsid w:val="00EB7879"/>
    <w:rsid w:val="00EC34FD"/>
    <w:rsid w:val="00EC4504"/>
    <w:rsid w:val="00EC6655"/>
    <w:rsid w:val="00EC7595"/>
    <w:rsid w:val="00ED08AB"/>
    <w:rsid w:val="00ED0F44"/>
    <w:rsid w:val="00ED1E06"/>
    <w:rsid w:val="00ED1E42"/>
    <w:rsid w:val="00ED5407"/>
    <w:rsid w:val="00ED5890"/>
    <w:rsid w:val="00ED5BA3"/>
    <w:rsid w:val="00EE128F"/>
    <w:rsid w:val="00EE1CC7"/>
    <w:rsid w:val="00EE31C1"/>
    <w:rsid w:val="00EE503B"/>
    <w:rsid w:val="00EF0E38"/>
    <w:rsid w:val="00EF2247"/>
    <w:rsid w:val="00EF3725"/>
    <w:rsid w:val="00EF656C"/>
    <w:rsid w:val="00F004C5"/>
    <w:rsid w:val="00F01B09"/>
    <w:rsid w:val="00F0205D"/>
    <w:rsid w:val="00F021EF"/>
    <w:rsid w:val="00F0268B"/>
    <w:rsid w:val="00F0630B"/>
    <w:rsid w:val="00F06ADA"/>
    <w:rsid w:val="00F077A4"/>
    <w:rsid w:val="00F103BD"/>
    <w:rsid w:val="00F11A72"/>
    <w:rsid w:val="00F11F75"/>
    <w:rsid w:val="00F13368"/>
    <w:rsid w:val="00F13CD4"/>
    <w:rsid w:val="00F15D68"/>
    <w:rsid w:val="00F17A24"/>
    <w:rsid w:val="00F17AF1"/>
    <w:rsid w:val="00F20459"/>
    <w:rsid w:val="00F20DB9"/>
    <w:rsid w:val="00F21033"/>
    <w:rsid w:val="00F23016"/>
    <w:rsid w:val="00F25E92"/>
    <w:rsid w:val="00F27881"/>
    <w:rsid w:val="00F31743"/>
    <w:rsid w:val="00F320FD"/>
    <w:rsid w:val="00F32B0C"/>
    <w:rsid w:val="00F33EF8"/>
    <w:rsid w:val="00F3478F"/>
    <w:rsid w:val="00F36815"/>
    <w:rsid w:val="00F40DD2"/>
    <w:rsid w:val="00F444F3"/>
    <w:rsid w:val="00F45E25"/>
    <w:rsid w:val="00F464A0"/>
    <w:rsid w:val="00F5341A"/>
    <w:rsid w:val="00F546D7"/>
    <w:rsid w:val="00F56173"/>
    <w:rsid w:val="00F56C59"/>
    <w:rsid w:val="00F56E1D"/>
    <w:rsid w:val="00F5797E"/>
    <w:rsid w:val="00F61156"/>
    <w:rsid w:val="00F615E4"/>
    <w:rsid w:val="00F62633"/>
    <w:rsid w:val="00F64309"/>
    <w:rsid w:val="00F64B96"/>
    <w:rsid w:val="00F66E3C"/>
    <w:rsid w:val="00F73075"/>
    <w:rsid w:val="00F736B0"/>
    <w:rsid w:val="00F73B1D"/>
    <w:rsid w:val="00F752CE"/>
    <w:rsid w:val="00F75347"/>
    <w:rsid w:val="00F760EB"/>
    <w:rsid w:val="00F776F0"/>
    <w:rsid w:val="00F86762"/>
    <w:rsid w:val="00F87C19"/>
    <w:rsid w:val="00F90EF6"/>
    <w:rsid w:val="00F93154"/>
    <w:rsid w:val="00F94D1B"/>
    <w:rsid w:val="00F95F76"/>
    <w:rsid w:val="00F97457"/>
    <w:rsid w:val="00FA0D18"/>
    <w:rsid w:val="00FA1BD4"/>
    <w:rsid w:val="00FA26BC"/>
    <w:rsid w:val="00FA2AE3"/>
    <w:rsid w:val="00FA5355"/>
    <w:rsid w:val="00FA7078"/>
    <w:rsid w:val="00FB5112"/>
    <w:rsid w:val="00FB5F63"/>
    <w:rsid w:val="00FC127C"/>
    <w:rsid w:val="00FC1D93"/>
    <w:rsid w:val="00FC2087"/>
    <w:rsid w:val="00FC4199"/>
    <w:rsid w:val="00FC5AE7"/>
    <w:rsid w:val="00FC62AB"/>
    <w:rsid w:val="00FC65D1"/>
    <w:rsid w:val="00FD1E37"/>
    <w:rsid w:val="00FD319F"/>
    <w:rsid w:val="00FE2B6E"/>
    <w:rsid w:val="00FE4649"/>
    <w:rsid w:val="00FE526C"/>
    <w:rsid w:val="00FF0F39"/>
    <w:rsid w:val="00FF38AA"/>
    <w:rsid w:val="00FF46F3"/>
    <w:rsid w:val="00FF54C4"/>
    <w:rsid w:val="00FF5B63"/>
    <w:rsid w:val="00FF6355"/>
    <w:rsid w:val="00FF6F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A91C7"/>
  <w15:chartTrackingRefBased/>
  <w15:docId w15:val="{37FB1F49-C7E4-43DB-ABC2-A65F8179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Light" w:eastAsiaTheme="minorHAnsi" w:hAnsi="Calibri Light" w:cs="Calibri Light"/>
        <w:sz w:val="24"/>
        <w:szCs w:val="24"/>
        <w:lang w:val="pt-BR"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rsid w:val="00C859D9"/>
  </w:style>
  <w:style w:type="paragraph" w:styleId="Ttulo1">
    <w:name w:val="heading 1"/>
    <w:basedOn w:val="01TtuloPPGTCU"/>
    <w:next w:val="Normal"/>
    <w:link w:val="Ttulo1Char"/>
    <w:uiPriority w:val="9"/>
    <w:qFormat/>
    <w:locked/>
    <w:rsid w:val="00DB0181"/>
    <w:pPr>
      <w:numPr>
        <w:numId w:val="46"/>
      </w:numPr>
      <w:tabs>
        <w:tab w:val="left" w:pos="0"/>
      </w:tabs>
      <w:spacing w:line="360" w:lineRule="auto"/>
      <w:ind w:left="0" w:firstLine="0"/>
      <w:outlineLvl w:val="0"/>
    </w:pPr>
    <w:rPr>
      <w:rFonts w:ascii="Times New Roman" w:hAnsi="Times New Roman" w:cs="Times New Roman"/>
      <w:color w:val="auto"/>
      <w:sz w:val="24"/>
    </w:rPr>
  </w:style>
  <w:style w:type="paragraph" w:styleId="Ttulo2">
    <w:name w:val="heading 2"/>
    <w:basedOn w:val="02SubttuloPPGTCU"/>
    <w:next w:val="Normal"/>
    <w:link w:val="Ttulo2Char"/>
    <w:uiPriority w:val="9"/>
    <w:unhideWhenUsed/>
    <w:qFormat/>
    <w:locked/>
    <w:rsid w:val="00DB0181"/>
    <w:pPr>
      <w:numPr>
        <w:numId w:val="46"/>
      </w:numPr>
      <w:spacing w:before="0"/>
      <w:ind w:left="0" w:firstLine="0"/>
      <w:outlineLvl w:val="1"/>
    </w:pPr>
    <w:rPr>
      <w:rFonts w:ascii="Times New Roman" w:hAnsi="Times New Roman" w:cs="Times New Roman"/>
      <w:color w:val="auto"/>
    </w:rPr>
  </w:style>
  <w:style w:type="paragraph" w:styleId="Ttulo3">
    <w:name w:val="heading 3"/>
    <w:basedOn w:val="02SubttuloPPGTCU"/>
    <w:next w:val="Normal"/>
    <w:link w:val="Ttulo3Char"/>
    <w:uiPriority w:val="9"/>
    <w:unhideWhenUsed/>
    <w:qFormat/>
    <w:locked/>
    <w:rsid w:val="00DB0181"/>
    <w:pPr>
      <w:numPr>
        <w:ilvl w:val="2"/>
        <w:numId w:val="46"/>
      </w:numPr>
      <w:spacing w:before="0"/>
      <w:ind w:left="0" w:firstLine="0"/>
      <w:outlineLvl w:val="2"/>
    </w:pPr>
    <w:rPr>
      <w:rFonts w:ascii="Times New Roman" w:hAnsi="Times New Roman" w:cs="Times New Roman"/>
      <w:b w:val="0"/>
      <w:color w:val="auto"/>
    </w:rPr>
  </w:style>
  <w:style w:type="paragraph" w:styleId="Ttulo4">
    <w:name w:val="heading 4"/>
    <w:basedOn w:val="02SubttuloPPGTCU"/>
    <w:next w:val="Normal"/>
    <w:link w:val="Ttulo4Char"/>
    <w:uiPriority w:val="9"/>
    <w:unhideWhenUsed/>
    <w:qFormat/>
    <w:locked/>
    <w:rsid w:val="004D48D3"/>
    <w:pPr>
      <w:numPr>
        <w:ilvl w:val="3"/>
        <w:numId w:val="9"/>
      </w:numPr>
      <w:ind w:left="0" w:firstLine="0"/>
      <w:outlineLvl w:val="3"/>
    </w:pPr>
    <w:rPr>
      <w:rFonts w:cs="Arial"/>
      <w:b w:val="0"/>
      <w:color w:val="C60808"/>
    </w:rPr>
  </w:style>
  <w:style w:type="paragraph" w:styleId="Ttulo5">
    <w:name w:val="heading 5"/>
    <w:basedOn w:val="02SubttuloPPGTCU"/>
    <w:next w:val="Normal"/>
    <w:link w:val="Ttulo5Char"/>
    <w:uiPriority w:val="9"/>
    <w:unhideWhenUsed/>
    <w:qFormat/>
    <w:locked/>
    <w:rsid w:val="00233127"/>
    <w:pPr>
      <w:numPr>
        <w:ilvl w:val="4"/>
      </w:numPr>
      <w:outlineLvl w:val="4"/>
    </w:pPr>
    <w:rPr>
      <w:rFonts w:cs="Arial"/>
      <w:color w:val="C60808"/>
    </w:rPr>
  </w:style>
  <w:style w:type="paragraph" w:styleId="Ttulo6">
    <w:name w:val="heading 6"/>
    <w:basedOn w:val="Normal"/>
    <w:next w:val="Normal"/>
    <w:link w:val="Ttulo6Char"/>
    <w:unhideWhenUsed/>
    <w:locked/>
    <w:rsid w:val="00F33EF8"/>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nhideWhenUsed/>
    <w:locked/>
    <w:rsid w:val="00F33EF8"/>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nhideWhenUsed/>
    <w:locked/>
    <w:rsid w:val="00F33EF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nhideWhenUsed/>
    <w:locked/>
    <w:rsid w:val="00F33EF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locked/>
    <w:rsid w:val="00CB5FC5"/>
    <w:pPr>
      <w:tabs>
        <w:tab w:val="center" w:pos="4252"/>
        <w:tab w:val="right" w:pos="8504"/>
      </w:tabs>
      <w:spacing w:after="0" w:line="240" w:lineRule="auto"/>
    </w:pPr>
  </w:style>
  <w:style w:type="character" w:customStyle="1" w:styleId="RodapChar">
    <w:name w:val="Rodapé Char"/>
    <w:basedOn w:val="Fontepargpadro"/>
    <w:link w:val="Rodap"/>
    <w:uiPriority w:val="99"/>
    <w:rsid w:val="00CB5FC5"/>
  </w:style>
  <w:style w:type="paragraph" w:customStyle="1" w:styleId="01TtuloPPGTCU">
    <w:name w:val="01.Título_PPGTCU"/>
    <w:rsid w:val="00812DF7"/>
    <w:pPr>
      <w:numPr>
        <w:numId w:val="3"/>
      </w:numPr>
      <w:spacing w:before="600" w:after="600" w:line="240" w:lineRule="auto"/>
      <w:contextualSpacing/>
    </w:pPr>
    <w:rPr>
      <w:rFonts w:ascii="Arial" w:hAnsi="Arial"/>
      <w:b/>
      <w:color w:val="D39700"/>
      <w:sz w:val="32"/>
    </w:rPr>
  </w:style>
  <w:style w:type="paragraph" w:styleId="Cabealho">
    <w:name w:val="header"/>
    <w:basedOn w:val="Normal"/>
    <w:link w:val="CabealhoChar"/>
    <w:uiPriority w:val="99"/>
    <w:unhideWhenUsed/>
    <w:locked/>
    <w:rsid w:val="00CB5FC5"/>
    <w:pPr>
      <w:tabs>
        <w:tab w:val="center" w:pos="4252"/>
        <w:tab w:val="right" w:pos="8504"/>
      </w:tabs>
      <w:spacing w:after="0" w:line="240" w:lineRule="auto"/>
    </w:pPr>
  </w:style>
  <w:style w:type="paragraph" w:customStyle="1" w:styleId="04Ttulo-TabelasFiguraPPGTCU">
    <w:name w:val="04.Título-Tabelas/Figura_PPGTCU"/>
    <w:basedOn w:val="03TextoPPGTCU"/>
    <w:rsid w:val="007D477F"/>
    <w:pPr>
      <w:suppressAutoHyphens/>
      <w:autoSpaceDE w:val="0"/>
      <w:autoSpaceDN w:val="0"/>
      <w:adjustRightInd w:val="0"/>
      <w:spacing w:before="440" w:after="140" w:line="240" w:lineRule="auto"/>
      <w:ind w:firstLine="0"/>
      <w:jc w:val="center"/>
      <w:textAlignment w:val="center"/>
    </w:pPr>
    <w:rPr>
      <w:rFonts w:eastAsia="Calibri" w:cs="Arial"/>
      <w:b/>
      <w:spacing w:val="-2"/>
      <w:szCs w:val="20"/>
    </w:rPr>
  </w:style>
  <w:style w:type="character" w:customStyle="1" w:styleId="CabealhoChar">
    <w:name w:val="Cabeçalho Char"/>
    <w:basedOn w:val="Fontepargpadro"/>
    <w:link w:val="Cabealho"/>
    <w:uiPriority w:val="99"/>
    <w:rsid w:val="00CB5FC5"/>
  </w:style>
  <w:style w:type="paragraph" w:customStyle="1" w:styleId="03TextoPPGTCU">
    <w:name w:val="03.Texto_PPGTCU"/>
    <w:basedOn w:val="Normal"/>
    <w:link w:val="03TextoPPGTCUChar"/>
    <w:rsid w:val="0089723B"/>
    <w:pPr>
      <w:spacing w:after="300" w:line="360" w:lineRule="auto"/>
      <w:ind w:firstLine="709"/>
      <w:contextualSpacing/>
      <w:jc w:val="both"/>
    </w:pPr>
    <w:rPr>
      <w:rFonts w:ascii="Arial" w:hAnsi="Arial"/>
    </w:rPr>
  </w:style>
  <w:style w:type="paragraph" w:customStyle="1" w:styleId="06CitaoPPGTCU">
    <w:name w:val="06.Citação_PPGTCU"/>
    <w:basedOn w:val="03TextoPPGTCU"/>
    <w:rsid w:val="00A4233C"/>
    <w:pPr>
      <w:spacing w:before="300" w:line="240" w:lineRule="auto"/>
      <w:ind w:left="2268" w:firstLine="0"/>
    </w:pPr>
    <w:rPr>
      <w:sz w:val="20"/>
    </w:rPr>
  </w:style>
  <w:style w:type="paragraph" w:customStyle="1" w:styleId="02SubttuloPPGTCU">
    <w:name w:val="02.Subtítulo_PPGTCU"/>
    <w:basedOn w:val="01TtuloPPGTCU"/>
    <w:rsid w:val="007D7DAA"/>
    <w:pPr>
      <w:numPr>
        <w:ilvl w:val="1"/>
      </w:numPr>
      <w:spacing w:after="300" w:line="300" w:lineRule="exact"/>
      <w:contextualSpacing w:val="0"/>
    </w:pPr>
    <w:rPr>
      <w:sz w:val="24"/>
    </w:rPr>
  </w:style>
  <w:style w:type="paragraph" w:customStyle="1" w:styleId="09RefernciasPPGTCU">
    <w:name w:val="09.Referências_PPGTCU"/>
    <w:rsid w:val="00410FC5"/>
    <w:pPr>
      <w:spacing w:after="300" w:line="240" w:lineRule="auto"/>
    </w:pPr>
    <w:rPr>
      <w:rFonts w:ascii="Arial" w:hAnsi="Arial"/>
      <w:lang w:val="en-US"/>
    </w:rPr>
  </w:style>
  <w:style w:type="paragraph" w:styleId="Textodenotadefim">
    <w:name w:val="endnote text"/>
    <w:basedOn w:val="Normal"/>
    <w:link w:val="TextodenotadefimChar"/>
    <w:uiPriority w:val="99"/>
    <w:semiHidden/>
    <w:unhideWhenUsed/>
    <w:locked/>
    <w:rsid w:val="00712E7E"/>
    <w:pPr>
      <w:spacing w:after="0" w:line="240" w:lineRule="auto"/>
    </w:pPr>
    <w:rPr>
      <w:rFonts w:asciiTheme="minorHAnsi" w:hAnsiTheme="minorHAnsi" w:cstheme="minorBidi"/>
      <w:sz w:val="20"/>
      <w:szCs w:val="20"/>
    </w:rPr>
  </w:style>
  <w:style w:type="character" w:customStyle="1" w:styleId="TextodenotadefimChar">
    <w:name w:val="Texto de nota de fim Char"/>
    <w:basedOn w:val="Fontepargpadro"/>
    <w:link w:val="Textodenotadefim"/>
    <w:uiPriority w:val="99"/>
    <w:semiHidden/>
    <w:rsid w:val="00712E7E"/>
    <w:rPr>
      <w:rFonts w:asciiTheme="minorHAnsi" w:hAnsiTheme="minorHAnsi" w:cstheme="minorBidi"/>
      <w:sz w:val="20"/>
      <w:szCs w:val="20"/>
    </w:rPr>
  </w:style>
  <w:style w:type="paragraph" w:styleId="Textodenotaderodap">
    <w:name w:val="footnote text"/>
    <w:basedOn w:val="Normal"/>
    <w:link w:val="TextodenotaderodapChar"/>
    <w:semiHidden/>
    <w:unhideWhenUsed/>
    <w:locked/>
    <w:rsid w:val="00712E7E"/>
    <w:pPr>
      <w:spacing w:after="0" w:line="240" w:lineRule="auto"/>
    </w:pPr>
    <w:rPr>
      <w:rFonts w:asciiTheme="minorHAnsi" w:hAnsiTheme="minorHAnsi" w:cstheme="minorBidi"/>
      <w:sz w:val="20"/>
      <w:szCs w:val="20"/>
    </w:rPr>
  </w:style>
  <w:style w:type="character" w:customStyle="1" w:styleId="TextodenotaderodapChar">
    <w:name w:val="Texto de nota de rodapé Char"/>
    <w:basedOn w:val="Fontepargpadro"/>
    <w:link w:val="Textodenotaderodap"/>
    <w:semiHidden/>
    <w:rsid w:val="00712E7E"/>
    <w:rPr>
      <w:rFonts w:asciiTheme="minorHAnsi" w:hAnsiTheme="minorHAnsi" w:cstheme="minorBidi"/>
      <w:sz w:val="20"/>
      <w:szCs w:val="20"/>
    </w:rPr>
  </w:style>
  <w:style w:type="character" w:styleId="Refdenotaderodap">
    <w:name w:val="footnote reference"/>
    <w:basedOn w:val="Fontepargpadro"/>
    <w:semiHidden/>
    <w:unhideWhenUsed/>
    <w:locked/>
    <w:rsid w:val="00712E7E"/>
    <w:rPr>
      <w:vertAlign w:val="superscript"/>
    </w:rPr>
  </w:style>
  <w:style w:type="table" w:styleId="Tabelacomgrade">
    <w:name w:val="Table Grid"/>
    <w:basedOn w:val="Tabelanormal"/>
    <w:uiPriority w:val="39"/>
    <w:locked/>
    <w:rsid w:val="00B76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Texto-TabelaPPGTCU">
    <w:name w:val="05.Texto-Tabela_PPGTCU"/>
    <w:basedOn w:val="03TextoPPGTCU"/>
    <w:rsid w:val="00AC72F2"/>
    <w:pPr>
      <w:spacing w:after="0" w:line="240" w:lineRule="exact"/>
      <w:ind w:firstLine="0"/>
      <w:jc w:val="center"/>
    </w:pPr>
    <w:rPr>
      <w:sz w:val="20"/>
    </w:rPr>
  </w:style>
  <w:style w:type="table" w:styleId="TabeladeGradeClara">
    <w:name w:val="Grid Table Light"/>
    <w:basedOn w:val="Tabelanormal"/>
    <w:uiPriority w:val="40"/>
    <w:locked/>
    <w:rsid w:val="009A12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mples1">
    <w:name w:val="Plain Table 1"/>
    <w:basedOn w:val="Tabelanormal"/>
    <w:uiPriority w:val="41"/>
    <w:locked/>
    <w:rsid w:val="009A125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07LegendaFigPPGTCU">
    <w:name w:val="07.LegendaFig_PPGTCU"/>
    <w:basedOn w:val="Legenda"/>
    <w:rsid w:val="00A95276"/>
    <w:rPr>
      <w:b w:val="0"/>
      <w:bCs/>
    </w:rPr>
  </w:style>
  <w:style w:type="character" w:styleId="Hyperlink">
    <w:name w:val="Hyperlink"/>
    <w:basedOn w:val="Fontepargpadro"/>
    <w:uiPriority w:val="99"/>
    <w:unhideWhenUsed/>
    <w:locked/>
    <w:rsid w:val="00043E8D"/>
    <w:rPr>
      <w:color w:val="0000FF" w:themeColor="hyperlink"/>
      <w:u w:val="single"/>
    </w:rPr>
  </w:style>
  <w:style w:type="paragraph" w:customStyle="1" w:styleId="11TpMarcadoresPPGTCU">
    <w:name w:val="11.Tóp.Marcadores_PPGTCU"/>
    <w:basedOn w:val="03TextoPPGTCU"/>
    <w:link w:val="11TpMarcadoresPPGTCUChar"/>
    <w:rsid w:val="0076618C"/>
    <w:pPr>
      <w:numPr>
        <w:numId w:val="4"/>
      </w:numPr>
      <w:ind w:left="1219" w:hanging="510"/>
    </w:pPr>
  </w:style>
  <w:style w:type="paragraph" w:customStyle="1" w:styleId="10TpNmerosPPGTCU">
    <w:name w:val="10.Tóp.Números_PPGTCU"/>
    <w:basedOn w:val="11TpMarcadoresPPGTCU"/>
    <w:link w:val="10TpNmerosPPGTCUChar"/>
    <w:rsid w:val="0076618C"/>
    <w:pPr>
      <w:numPr>
        <w:numId w:val="0"/>
      </w:numPr>
      <w:ind w:left="870" w:hanging="360"/>
    </w:pPr>
  </w:style>
  <w:style w:type="paragraph" w:customStyle="1" w:styleId="08NotasRopadPPGTCU">
    <w:name w:val="08.NotasRopadé_PPGTCU"/>
    <w:basedOn w:val="07LegendaFigPPGTCU"/>
    <w:rsid w:val="007D477F"/>
    <w:pPr>
      <w:spacing w:after="140"/>
      <w:jc w:val="left"/>
    </w:pPr>
  </w:style>
  <w:style w:type="numbering" w:customStyle="1" w:styleId="ListaNmerosETEC">
    <w:name w:val="ListaNúmeros_ETEC"/>
    <w:uiPriority w:val="99"/>
    <w:rsid w:val="00220F4C"/>
  </w:style>
  <w:style w:type="numbering" w:customStyle="1" w:styleId="Estilo1">
    <w:name w:val="Estilo1"/>
    <w:next w:val="ListaNmerosETEC"/>
    <w:uiPriority w:val="99"/>
    <w:rsid w:val="00220F4C"/>
  </w:style>
  <w:style w:type="character" w:customStyle="1" w:styleId="Ttulo1Char">
    <w:name w:val="Título 1 Char"/>
    <w:basedOn w:val="Fontepargpadro"/>
    <w:link w:val="Ttulo1"/>
    <w:uiPriority w:val="9"/>
    <w:rsid w:val="00DB0181"/>
    <w:rPr>
      <w:rFonts w:ascii="Times New Roman" w:hAnsi="Times New Roman" w:cs="Times New Roman"/>
      <w:b/>
    </w:rPr>
  </w:style>
  <w:style w:type="character" w:customStyle="1" w:styleId="Ttulo2Char">
    <w:name w:val="Título 2 Char"/>
    <w:basedOn w:val="Fontepargpadro"/>
    <w:link w:val="Ttulo2"/>
    <w:uiPriority w:val="9"/>
    <w:rsid w:val="00DB0181"/>
    <w:rPr>
      <w:rFonts w:ascii="Times New Roman" w:hAnsi="Times New Roman" w:cs="Times New Roman"/>
      <w:b/>
    </w:rPr>
  </w:style>
  <w:style w:type="character" w:customStyle="1" w:styleId="Ttulo3Char">
    <w:name w:val="Título 3 Char"/>
    <w:basedOn w:val="Fontepargpadro"/>
    <w:link w:val="Ttulo3"/>
    <w:uiPriority w:val="9"/>
    <w:rsid w:val="00DB0181"/>
    <w:rPr>
      <w:rFonts w:ascii="Times New Roman" w:hAnsi="Times New Roman" w:cs="Times New Roman"/>
    </w:rPr>
  </w:style>
  <w:style w:type="character" w:customStyle="1" w:styleId="Ttulo4Char">
    <w:name w:val="Título 4 Char"/>
    <w:basedOn w:val="Fontepargpadro"/>
    <w:link w:val="Ttulo4"/>
    <w:uiPriority w:val="9"/>
    <w:rsid w:val="004D48D3"/>
    <w:rPr>
      <w:rFonts w:ascii="Arial" w:hAnsi="Arial" w:cs="Arial"/>
      <w:color w:val="C60808"/>
    </w:rPr>
  </w:style>
  <w:style w:type="character" w:customStyle="1" w:styleId="Ttulo5Char">
    <w:name w:val="Título 5 Char"/>
    <w:basedOn w:val="Fontepargpadro"/>
    <w:link w:val="Ttulo5"/>
    <w:uiPriority w:val="9"/>
    <w:rsid w:val="00233127"/>
    <w:rPr>
      <w:rFonts w:ascii="Arial" w:hAnsi="Arial" w:cs="Arial"/>
      <w:b/>
      <w:color w:val="C60808"/>
    </w:rPr>
  </w:style>
  <w:style w:type="character" w:customStyle="1" w:styleId="Ttulo6Char">
    <w:name w:val="Título 6 Char"/>
    <w:basedOn w:val="Fontepargpadro"/>
    <w:link w:val="Ttulo6"/>
    <w:rsid w:val="00F33EF8"/>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rsid w:val="00F33EF8"/>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rsid w:val="00F33EF8"/>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rsid w:val="00F33EF8"/>
    <w:rPr>
      <w:rFonts w:asciiTheme="majorHAnsi" w:eastAsiaTheme="majorEastAsia" w:hAnsiTheme="majorHAnsi" w:cstheme="majorBidi"/>
      <w:i/>
      <w:iCs/>
      <w:color w:val="272727" w:themeColor="text1" w:themeTint="D8"/>
      <w:sz w:val="21"/>
      <w:szCs w:val="21"/>
    </w:rPr>
  </w:style>
  <w:style w:type="numbering" w:customStyle="1" w:styleId="ETECListaNumerada">
    <w:name w:val="ETEC_ListaNumerada"/>
    <w:uiPriority w:val="99"/>
    <w:rsid w:val="00D81E21"/>
    <w:pPr>
      <w:numPr>
        <w:numId w:val="2"/>
      </w:numPr>
    </w:pPr>
  </w:style>
  <w:style w:type="table" w:customStyle="1" w:styleId="QuadroPPGTCU">
    <w:name w:val="Quadro_PPGTCU"/>
    <w:basedOn w:val="Tabelanormal"/>
    <w:uiPriority w:val="99"/>
    <w:rsid w:val="002F52CD"/>
    <w:pPr>
      <w:spacing w:after="0" w:line="240" w:lineRule="auto"/>
      <w:jc w:val="center"/>
    </w:pPr>
    <w:rPr>
      <w:rFonts w:ascii="Arial" w:hAnsi="Arial"/>
      <w:sz w:val="20"/>
    </w:rPr>
    <w:tblPr>
      <w:tblStyleRowBandSize w:val="1"/>
      <w:tblStyleColBandSize w:val="1"/>
      <w:tblBorders>
        <w:insideH w:val="single" w:sz="4" w:space="0" w:color="D39700"/>
        <w:insideV w:val="single" w:sz="4" w:space="0" w:color="D39700"/>
      </w:tblBorders>
      <w:tblCellMar>
        <w:top w:w="108" w:type="dxa"/>
        <w:bottom w:w="108" w:type="dxa"/>
      </w:tblCellMar>
    </w:tblPr>
    <w:tcPr>
      <w:vAlign w:val="center"/>
    </w:tcPr>
    <w:tblStylePr w:type="firstRow">
      <w:pPr>
        <w:jc w:val="center"/>
      </w:pPr>
      <w:rPr>
        <w:rFonts w:ascii="Arial" w:hAnsi="Arial"/>
        <w:b/>
        <w:color w:val="FFFFFF" w:themeColor="background1"/>
        <w:sz w:val="20"/>
      </w:rPr>
      <w:tblPr/>
      <w:tcPr>
        <w:tcBorders>
          <w:top w:val="nil"/>
          <w:left w:val="nil"/>
          <w:bottom w:val="nil"/>
          <w:right w:val="nil"/>
          <w:insideH w:val="single" w:sz="4" w:space="0" w:color="FFFFFF" w:themeColor="background1"/>
          <w:insideV w:val="single" w:sz="4" w:space="0" w:color="FFFFFF" w:themeColor="background1"/>
        </w:tcBorders>
        <w:shd w:val="clear" w:color="auto" w:fill="D39700"/>
      </w:tcPr>
    </w:tblStylePr>
    <w:tblStylePr w:type="lastRow">
      <w:pPr>
        <w:jc w:val="center"/>
      </w:pPr>
      <w:rPr>
        <w:rFonts w:ascii="Arial" w:hAnsi="Arial"/>
        <w:sz w:val="20"/>
      </w:rPr>
      <w:tblPr/>
      <w:tcPr>
        <w:tcBorders>
          <w:bottom w:val="single" w:sz="4" w:space="0" w:color="D39700"/>
        </w:tcBorders>
        <w:shd w:val="clear" w:color="auto" w:fill="FFEDC1"/>
      </w:tcPr>
    </w:tblStylePr>
    <w:tblStylePr w:type="firstCol">
      <w:rPr>
        <w:rFonts w:ascii="Calibri" w:hAnsi="Calibri"/>
        <w:sz w:val="20"/>
      </w:rPr>
    </w:tblStylePr>
    <w:tblStylePr w:type="band1Horz">
      <w:tblPr/>
      <w:tcPr>
        <w:shd w:val="clear" w:color="auto" w:fill="FFF4D9"/>
      </w:tcPr>
    </w:tblStylePr>
  </w:style>
  <w:style w:type="paragraph" w:styleId="Sumrio2">
    <w:name w:val="toc 2"/>
    <w:basedOn w:val="Normal"/>
    <w:next w:val="Normal"/>
    <w:autoRedefine/>
    <w:uiPriority w:val="39"/>
    <w:unhideWhenUsed/>
    <w:locked/>
    <w:rsid w:val="00C14872"/>
    <w:pPr>
      <w:tabs>
        <w:tab w:val="left" w:pos="567"/>
        <w:tab w:val="left" w:pos="720"/>
        <w:tab w:val="right" w:leader="dot" w:pos="9061"/>
      </w:tabs>
      <w:spacing w:after="0" w:line="240" w:lineRule="auto"/>
      <w:ind w:left="993" w:hanging="993"/>
    </w:pPr>
    <w:rPr>
      <w:rFonts w:ascii="Arial" w:hAnsi="Arial" w:cs="Arial"/>
      <w:b/>
      <w:noProof/>
      <w:sz w:val="22"/>
      <w:szCs w:val="22"/>
    </w:rPr>
  </w:style>
  <w:style w:type="paragraph" w:styleId="Sumrio1">
    <w:name w:val="toc 1"/>
    <w:basedOn w:val="Normal"/>
    <w:next w:val="Normal"/>
    <w:link w:val="Sumrio1Char"/>
    <w:autoRedefine/>
    <w:uiPriority w:val="39"/>
    <w:unhideWhenUsed/>
    <w:locked/>
    <w:rsid w:val="00895E20"/>
    <w:pPr>
      <w:tabs>
        <w:tab w:val="left" w:pos="720"/>
        <w:tab w:val="right" w:leader="dot" w:pos="9061"/>
      </w:tabs>
      <w:spacing w:before="120" w:after="120" w:line="240" w:lineRule="auto"/>
    </w:pPr>
    <w:rPr>
      <w:rFonts w:ascii="Arial" w:hAnsi="Arial"/>
      <w:b/>
      <w:noProof/>
    </w:rPr>
  </w:style>
  <w:style w:type="paragraph" w:customStyle="1" w:styleId="12SumrioPPGTCU">
    <w:name w:val="12.Sumário_PPGTCU"/>
    <w:basedOn w:val="Sumrio1"/>
    <w:rsid w:val="00CB5FC5"/>
    <w:pPr>
      <w:spacing w:after="300"/>
      <w:ind w:left="340" w:hanging="340"/>
    </w:pPr>
  </w:style>
  <w:style w:type="table" w:customStyle="1" w:styleId="TabelaPPGTCU">
    <w:name w:val="Tabela_PPGTCU"/>
    <w:basedOn w:val="Tabelanormal"/>
    <w:uiPriority w:val="99"/>
    <w:rsid w:val="00D2166B"/>
    <w:pPr>
      <w:spacing w:after="0" w:line="240" w:lineRule="auto"/>
      <w:jc w:val="center"/>
    </w:pPr>
    <w:rPr>
      <w:rFonts w:ascii="Arial" w:hAnsi="Arial"/>
    </w:rPr>
    <w:tblPr>
      <w:tblBorders>
        <w:bottom w:val="single" w:sz="24" w:space="0" w:color="auto"/>
      </w:tblBorders>
      <w:tblCellMar>
        <w:top w:w="85" w:type="dxa"/>
        <w:left w:w="85" w:type="dxa"/>
        <w:bottom w:w="85" w:type="dxa"/>
        <w:right w:w="85" w:type="dxa"/>
      </w:tblCellMar>
    </w:tblPr>
    <w:tblStylePr w:type="firstRow">
      <w:tblPr/>
      <w:trPr>
        <w:tblHeader/>
      </w:trPr>
      <w:tcPr>
        <w:tcBorders>
          <w:top w:val="single" w:sz="24" w:space="0" w:color="auto"/>
          <w:bottom w:val="single" w:sz="4" w:space="0" w:color="auto"/>
        </w:tcBorders>
      </w:tcPr>
    </w:tblStylePr>
  </w:style>
  <w:style w:type="paragraph" w:customStyle="1" w:styleId="PargrafodaLista1">
    <w:name w:val="Parágrafo da Lista1"/>
    <w:aliases w:val="Corpo do texto"/>
    <w:basedOn w:val="Normal"/>
    <w:uiPriority w:val="34"/>
    <w:rsid w:val="00EC4504"/>
    <w:pPr>
      <w:spacing w:after="0" w:line="360" w:lineRule="auto"/>
      <w:ind w:firstLine="851"/>
      <w:jc w:val="both"/>
    </w:pPr>
    <w:rPr>
      <w:rFonts w:ascii="Times New Roman" w:eastAsia="Times New Roman" w:hAnsi="Times New Roman" w:cs="Times New Roman"/>
    </w:rPr>
  </w:style>
  <w:style w:type="paragraph" w:customStyle="1" w:styleId="ReferenciaBibliografica">
    <w:name w:val="Referencia Bibliografica"/>
    <w:autoRedefine/>
    <w:rsid w:val="00EC4504"/>
    <w:pPr>
      <w:widowControl w:val="0"/>
      <w:spacing w:after="0" w:line="240" w:lineRule="auto"/>
      <w:jc w:val="both"/>
    </w:pPr>
    <w:rPr>
      <w:rFonts w:ascii="Times New Roman" w:eastAsia="Times New Roman" w:hAnsi="Times New Roman" w:cs="Times New Roman"/>
    </w:rPr>
  </w:style>
  <w:style w:type="character" w:styleId="RefernciaSutil">
    <w:name w:val="Subtle Reference"/>
    <w:aliases w:val="Referência"/>
    <w:uiPriority w:val="31"/>
    <w:locked/>
    <w:rsid w:val="00EC4504"/>
    <w:rPr>
      <w:szCs w:val="22"/>
    </w:rPr>
  </w:style>
  <w:style w:type="character" w:styleId="HiperlinkVisitado">
    <w:name w:val="FollowedHyperlink"/>
    <w:basedOn w:val="Fontepargpadro"/>
    <w:uiPriority w:val="99"/>
    <w:semiHidden/>
    <w:unhideWhenUsed/>
    <w:locked/>
    <w:rsid w:val="00EC4504"/>
    <w:rPr>
      <w:color w:val="800080" w:themeColor="followedHyperlink"/>
      <w:u w:val="single"/>
    </w:rPr>
  </w:style>
  <w:style w:type="paragraph" w:styleId="PargrafodaLista">
    <w:name w:val="List Paragraph"/>
    <w:basedOn w:val="03TextoPPGTCU"/>
    <w:uiPriority w:val="34"/>
    <w:qFormat/>
    <w:locked/>
    <w:rsid w:val="00106C6F"/>
    <w:rPr>
      <w:rFonts w:cs="Arial"/>
    </w:rPr>
  </w:style>
  <w:style w:type="paragraph" w:styleId="Citao">
    <w:name w:val="Quote"/>
    <w:basedOn w:val="06CitaoPPGTCU"/>
    <w:next w:val="Normal"/>
    <w:link w:val="CitaoChar"/>
    <w:uiPriority w:val="29"/>
    <w:qFormat/>
    <w:locked/>
    <w:rsid w:val="00A95276"/>
    <w:rPr>
      <w:rFonts w:cs="Arial"/>
    </w:rPr>
  </w:style>
  <w:style w:type="character" w:customStyle="1" w:styleId="CitaoChar">
    <w:name w:val="Citação Char"/>
    <w:basedOn w:val="Fontepargpadro"/>
    <w:link w:val="Citao"/>
    <w:uiPriority w:val="29"/>
    <w:rsid w:val="00A95276"/>
    <w:rPr>
      <w:rFonts w:ascii="Arial" w:hAnsi="Arial" w:cs="Arial"/>
      <w:sz w:val="20"/>
    </w:rPr>
  </w:style>
  <w:style w:type="paragraph" w:styleId="Sumrio3">
    <w:name w:val="toc 3"/>
    <w:basedOn w:val="Normal"/>
    <w:next w:val="Normal"/>
    <w:autoRedefine/>
    <w:uiPriority w:val="39"/>
    <w:unhideWhenUsed/>
    <w:locked/>
    <w:rsid w:val="00C823D5"/>
    <w:pPr>
      <w:tabs>
        <w:tab w:val="left" w:pos="709"/>
        <w:tab w:val="right" w:leader="dot" w:pos="9061"/>
      </w:tabs>
      <w:spacing w:after="0"/>
      <w:ind w:firstLine="142"/>
      <w:mirrorIndents/>
      <w:jc w:val="both"/>
    </w:pPr>
    <w:rPr>
      <w:rFonts w:ascii="Arial" w:hAnsi="Arial" w:cstheme="minorBidi"/>
      <w:iCs/>
      <w:noProof/>
      <w:sz w:val="22"/>
      <w:szCs w:val="20"/>
      <w:lang w:eastAsia="pt-BR"/>
    </w:rPr>
  </w:style>
  <w:style w:type="paragraph" w:styleId="Sumrio4">
    <w:name w:val="toc 4"/>
    <w:basedOn w:val="Normal"/>
    <w:next w:val="Normal"/>
    <w:autoRedefine/>
    <w:uiPriority w:val="39"/>
    <w:unhideWhenUsed/>
    <w:locked/>
    <w:rsid w:val="00C823D5"/>
    <w:pPr>
      <w:tabs>
        <w:tab w:val="left" w:pos="851"/>
        <w:tab w:val="left" w:pos="1276"/>
        <w:tab w:val="right" w:leader="dot" w:pos="9071"/>
      </w:tabs>
      <w:spacing w:after="0"/>
      <w:ind w:left="284"/>
      <w:jc w:val="both"/>
    </w:pPr>
    <w:rPr>
      <w:rFonts w:ascii="Arial" w:hAnsi="Arial" w:cs="Arial"/>
      <w:noProof/>
      <w:sz w:val="22"/>
      <w:szCs w:val="22"/>
      <w:lang w:eastAsia="pt-BR"/>
    </w:rPr>
  </w:style>
  <w:style w:type="paragraph" w:styleId="CabealhodoSumrio">
    <w:name w:val="TOC Heading"/>
    <w:basedOn w:val="Ttulo"/>
    <w:next w:val="Normal"/>
    <w:uiPriority w:val="39"/>
    <w:unhideWhenUsed/>
    <w:qFormat/>
    <w:locked/>
    <w:rsid w:val="00414B9A"/>
  </w:style>
  <w:style w:type="paragraph" w:styleId="Textodebalo">
    <w:name w:val="Balloon Text"/>
    <w:basedOn w:val="Normal"/>
    <w:link w:val="TextodebaloChar"/>
    <w:uiPriority w:val="99"/>
    <w:semiHidden/>
    <w:unhideWhenUsed/>
    <w:locked/>
    <w:rsid w:val="00106C6F"/>
    <w:pPr>
      <w:spacing w:after="0" w:line="360" w:lineRule="auto"/>
      <w:ind w:firstLine="851"/>
      <w:jc w:val="both"/>
    </w:pPr>
    <w:rPr>
      <w:rFonts w:ascii="Tahoma" w:hAnsi="Tahoma" w:cs="Tahoma"/>
      <w:sz w:val="16"/>
      <w:szCs w:val="16"/>
      <w:lang w:eastAsia="pt-BR"/>
    </w:rPr>
  </w:style>
  <w:style w:type="character" w:customStyle="1" w:styleId="TextodebaloChar">
    <w:name w:val="Texto de balão Char"/>
    <w:basedOn w:val="Fontepargpadro"/>
    <w:link w:val="Textodebalo"/>
    <w:uiPriority w:val="99"/>
    <w:semiHidden/>
    <w:rsid w:val="00106C6F"/>
    <w:rPr>
      <w:rFonts w:ascii="Tahoma" w:hAnsi="Tahoma" w:cs="Tahoma"/>
      <w:sz w:val="16"/>
      <w:szCs w:val="16"/>
      <w:lang w:eastAsia="pt-BR"/>
    </w:rPr>
  </w:style>
  <w:style w:type="paragraph" w:styleId="Sumrio6">
    <w:name w:val="toc 6"/>
    <w:basedOn w:val="Normal"/>
    <w:next w:val="Normal"/>
    <w:autoRedefine/>
    <w:uiPriority w:val="39"/>
    <w:unhideWhenUsed/>
    <w:locked/>
    <w:rsid w:val="00106C6F"/>
    <w:pPr>
      <w:spacing w:after="0" w:line="360" w:lineRule="auto"/>
      <w:ind w:left="1200" w:firstLine="851"/>
    </w:pPr>
    <w:rPr>
      <w:rFonts w:asciiTheme="minorHAnsi" w:hAnsiTheme="minorHAnsi" w:cstheme="minorBidi"/>
      <w:sz w:val="18"/>
      <w:szCs w:val="18"/>
      <w:lang w:eastAsia="pt-BR"/>
    </w:rPr>
  </w:style>
  <w:style w:type="paragraph" w:styleId="SemEspaamento">
    <w:name w:val="No Spacing"/>
    <w:uiPriority w:val="1"/>
    <w:locked/>
    <w:rsid w:val="00106C6F"/>
    <w:pPr>
      <w:spacing w:after="0" w:line="240" w:lineRule="auto"/>
      <w:ind w:firstLine="567"/>
      <w:jc w:val="both"/>
    </w:pPr>
    <w:rPr>
      <w:rFonts w:ascii="Arial" w:hAnsi="Arial" w:cstheme="minorBidi"/>
      <w:sz w:val="21"/>
      <w:szCs w:val="22"/>
      <w:lang w:eastAsia="pt-BR"/>
    </w:rPr>
  </w:style>
  <w:style w:type="paragraph" w:styleId="Sumrio5">
    <w:name w:val="toc 5"/>
    <w:basedOn w:val="Normal"/>
    <w:next w:val="Normal"/>
    <w:autoRedefine/>
    <w:uiPriority w:val="39"/>
    <w:unhideWhenUsed/>
    <w:locked/>
    <w:rsid w:val="00106C6F"/>
    <w:pPr>
      <w:spacing w:after="0" w:line="360" w:lineRule="auto"/>
      <w:ind w:left="960" w:firstLine="851"/>
    </w:pPr>
    <w:rPr>
      <w:rFonts w:asciiTheme="minorHAnsi" w:hAnsiTheme="minorHAnsi" w:cstheme="minorBidi"/>
      <w:sz w:val="18"/>
      <w:szCs w:val="18"/>
      <w:lang w:eastAsia="pt-BR"/>
    </w:rPr>
  </w:style>
  <w:style w:type="paragraph" w:styleId="Legenda">
    <w:name w:val="caption"/>
    <w:basedOn w:val="Normal"/>
    <w:next w:val="Normal"/>
    <w:uiPriority w:val="35"/>
    <w:unhideWhenUsed/>
    <w:qFormat/>
    <w:locked/>
    <w:rsid w:val="00092B82"/>
    <w:pPr>
      <w:suppressAutoHyphens/>
      <w:spacing w:after="0" w:line="360" w:lineRule="auto"/>
      <w:jc w:val="center"/>
    </w:pPr>
    <w:rPr>
      <w:rFonts w:ascii="Arial" w:hAnsi="Arial" w:cs="Arial"/>
      <w:b/>
      <w:sz w:val="22"/>
      <w:szCs w:val="22"/>
      <w:lang w:eastAsia="pt-BR"/>
    </w:rPr>
  </w:style>
  <w:style w:type="paragraph" w:styleId="ndicedeilustraes">
    <w:name w:val="table of figures"/>
    <w:basedOn w:val="Normal"/>
    <w:next w:val="Normal"/>
    <w:link w:val="ndicedeilustraesChar"/>
    <w:uiPriority w:val="99"/>
    <w:unhideWhenUsed/>
    <w:locked/>
    <w:rsid w:val="001B6184"/>
    <w:pPr>
      <w:spacing w:after="0" w:line="360" w:lineRule="auto"/>
      <w:ind w:firstLine="851"/>
      <w:jc w:val="both"/>
    </w:pPr>
    <w:rPr>
      <w:rFonts w:ascii="Arial" w:hAnsi="Arial" w:cstheme="minorBidi"/>
      <w:szCs w:val="22"/>
      <w:lang w:eastAsia="pt-BR"/>
    </w:rPr>
  </w:style>
  <w:style w:type="character" w:styleId="Refdecomentrio">
    <w:name w:val="annotation reference"/>
    <w:basedOn w:val="Fontepargpadro"/>
    <w:uiPriority w:val="99"/>
    <w:semiHidden/>
    <w:unhideWhenUsed/>
    <w:locked/>
    <w:rsid w:val="00106C6F"/>
    <w:rPr>
      <w:sz w:val="16"/>
      <w:szCs w:val="16"/>
    </w:rPr>
  </w:style>
  <w:style w:type="paragraph" w:styleId="Textodecomentrio">
    <w:name w:val="annotation text"/>
    <w:basedOn w:val="Normal"/>
    <w:link w:val="TextodecomentrioChar"/>
    <w:uiPriority w:val="99"/>
    <w:semiHidden/>
    <w:unhideWhenUsed/>
    <w:locked/>
    <w:rsid w:val="00106C6F"/>
    <w:pPr>
      <w:spacing w:after="0" w:line="240" w:lineRule="auto"/>
      <w:ind w:firstLine="851"/>
      <w:jc w:val="both"/>
    </w:pPr>
    <w:rPr>
      <w:rFonts w:ascii="Times New Roman" w:hAnsi="Times New Roman" w:cstheme="minorBidi"/>
      <w:sz w:val="20"/>
      <w:szCs w:val="20"/>
      <w:lang w:eastAsia="pt-BR"/>
    </w:rPr>
  </w:style>
  <w:style w:type="character" w:customStyle="1" w:styleId="TextodecomentrioChar">
    <w:name w:val="Texto de comentário Char"/>
    <w:basedOn w:val="Fontepargpadro"/>
    <w:link w:val="Textodecomentrio"/>
    <w:uiPriority w:val="99"/>
    <w:semiHidden/>
    <w:rsid w:val="00106C6F"/>
    <w:rPr>
      <w:rFonts w:ascii="Times New Roman" w:hAnsi="Times New Roman" w:cstheme="minorBidi"/>
      <w:sz w:val="20"/>
      <w:szCs w:val="20"/>
      <w:lang w:eastAsia="pt-BR"/>
    </w:rPr>
  </w:style>
  <w:style w:type="paragraph" w:styleId="Assuntodocomentrio">
    <w:name w:val="annotation subject"/>
    <w:basedOn w:val="Textodecomentrio"/>
    <w:next w:val="Textodecomentrio"/>
    <w:link w:val="AssuntodocomentrioChar"/>
    <w:uiPriority w:val="99"/>
    <w:semiHidden/>
    <w:unhideWhenUsed/>
    <w:locked/>
    <w:rsid w:val="00106C6F"/>
    <w:rPr>
      <w:b/>
      <w:bCs/>
    </w:rPr>
  </w:style>
  <w:style w:type="character" w:customStyle="1" w:styleId="AssuntodocomentrioChar">
    <w:name w:val="Assunto do comentário Char"/>
    <w:basedOn w:val="TextodecomentrioChar"/>
    <w:link w:val="Assuntodocomentrio"/>
    <w:uiPriority w:val="99"/>
    <w:semiHidden/>
    <w:rsid w:val="00106C6F"/>
    <w:rPr>
      <w:rFonts w:ascii="Times New Roman" w:hAnsi="Times New Roman" w:cstheme="minorBidi"/>
      <w:b/>
      <w:bCs/>
      <w:sz w:val="20"/>
      <w:szCs w:val="20"/>
      <w:lang w:eastAsia="pt-BR"/>
    </w:rPr>
  </w:style>
  <w:style w:type="paragraph" w:styleId="Ttulo">
    <w:name w:val="Title"/>
    <w:basedOn w:val="01TtuloPPGTCU"/>
    <w:next w:val="Normal"/>
    <w:link w:val="TtuloChar"/>
    <w:autoRedefine/>
    <w:uiPriority w:val="10"/>
    <w:qFormat/>
    <w:locked/>
    <w:rsid w:val="00412084"/>
    <w:pPr>
      <w:numPr>
        <w:numId w:val="0"/>
      </w:numPr>
      <w:jc w:val="center"/>
    </w:pPr>
    <w:rPr>
      <w:rFonts w:cs="Arial"/>
      <w:color w:val="C60808"/>
      <w:sz w:val="24"/>
    </w:rPr>
  </w:style>
  <w:style w:type="character" w:customStyle="1" w:styleId="TtuloChar">
    <w:name w:val="Título Char"/>
    <w:basedOn w:val="Fontepargpadro"/>
    <w:link w:val="Ttulo"/>
    <w:uiPriority w:val="10"/>
    <w:rsid w:val="00412084"/>
    <w:rPr>
      <w:rFonts w:ascii="Arial" w:hAnsi="Arial" w:cs="Arial"/>
      <w:b/>
      <w:color w:val="C60808"/>
    </w:rPr>
  </w:style>
  <w:style w:type="paragraph" w:customStyle="1" w:styleId="FichaCatalogrfica">
    <w:name w:val="Ficha Catalográfica"/>
    <w:basedOn w:val="Normal"/>
    <w:autoRedefine/>
    <w:rsid w:val="00106C6F"/>
    <w:pPr>
      <w:spacing w:after="0" w:line="240" w:lineRule="auto"/>
      <w:ind w:left="318" w:right="255" w:firstLine="1134"/>
      <w:jc w:val="both"/>
    </w:pPr>
    <w:rPr>
      <w:rFonts w:ascii="Segoe UI" w:eastAsia="Times New Roman" w:hAnsi="Segoe UI" w:cs="Segoe UI"/>
      <w:sz w:val="20"/>
      <w:lang w:eastAsia="pt-BR"/>
    </w:rPr>
  </w:style>
  <w:style w:type="paragraph" w:customStyle="1" w:styleId="RefernciasBibliogrficas">
    <w:name w:val="Referências Bibliográficas"/>
    <w:autoRedefine/>
    <w:rsid w:val="00106C6F"/>
    <w:pPr>
      <w:spacing w:after="240" w:line="240" w:lineRule="auto"/>
    </w:pPr>
    <w:rPr>
      <w:rFonts w:ascii="Times New Roman" w:eastAsia="Times New Roman" w:hAnsi="Times New Roman" w:cs="Times New Roman"/>
      <w:lang w:val="pt-PT" w:eastAsia="pt-BR"/>
    </w:rPr>
  </w:style>
  <w:style w:type="paragraph" w:styleId="NormalWeb">
    <w:name w:val="Normal (Web)"/>
    <w:basedOn w:val="Normal"/>
    <w:uiPriority w:val="99"/>
    <w:unhideWhenUsed/>
    <w:locked/>
    <w:rsid w:val="00106C6F"/>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MenoPendente1">
    <w:name w:val="Menção Pendente1"/>
    <w:basedOn w:val="Fontepargpadro"/>
    <w:uiPriority w:val="99"/>
    <w:semiHidden/>
    <w:unhideWhenUsed/>
    <w:rsid w:val="00106C6F"/>
    <w:rPr>
      <w:color w:val="605E5C"/>
      <w:shd w:val="clear" w:color="auto" w:fill="E1DFDD"/>
    </w:rPr>
  </w:style>
  <w:style w:type="paragraph" w:customStyle="1" w:styleId="textbody">
    <w:name w:val="textbody"/>
    <w:basedOn w:val="Normal"/>
    <w:rsid w:val="00106C6F"/>
    <w:pPr>
      <w:spacing w:before="100" w:beforeAutospacing="1" w:after="100" w:afterAutospacing="1" w:line="240" w:lineRule="auto"/>
    </w:pPr>
    <w:rPr>
      <w:rFonts w:ascii="Times New Roman" w:eastAsia="Times New Roman" w:hAnsi="Times New Roman" w:cs="Times New Roman"/>
      <w:lang w:eastAsia="pt-BR"/>
    </w:rPr>
  </w:style>
  <w:style w:type="paragraph" w:styleId="Sumrio7">
    <w:name w:val="toc 7"/>
    <w:basedOn w:val="Normal"/>
    <w:next w:val="Normal"/>
    <w:autoRedefine/>
    <w:uiPriority w:val="39"/>
    <w:unhideWhenUsed/>
    <w:locked/>
    <w:rsid w:val="00106C6F"/>
    <w:pPr>
      <w:spacing w:after="0" w:line="360" w:lineRule="auto"/>
      <w:ind w:left="1440" w:firstLine="851"/>
    </w:pPr>
    <w:rPr>
      <w:rFonts w:asciiTheme="minorHAnsi" w:hAnsiTheme="minorHAnsi" w:cstheme="minorBidi"/>
      <w:sz w:val="18"/>
      <w:szCs w:val="18"/>
      <w:lang w:eastAsia="pt-BR"/>
    </w:rPr>
  </w:style>
  <w:style w:type="paragraph" w:styleId="Sumrio8">
    <w:name w:val="toc 8"/>
    <w:basedOn w:val="Normal"/>
    <w:next w:val="Normal"/>
    <w:autoRedefine/>
    <w:uiPriority w:val="39"/>
    <w:unhideWhenUsed/>
    <w:locked/>
    <w:rsid w:val="00106C6F"/>
    <w:pPr>
      <w:spacing w:after="0" w:line="360" w:lineRule="auto"/>
      <w:ind w:left="1680" w:firstLine="851"/>
    </w:pPr>
    <w:rPr>
      <w:rFonts w:asciiTheme="minorHAnsi" w:hAnsiTheme="minorHAnsi" w:cstheme="minorBidi"/>
      <w:sz w:val="18"/>
      <w:szCs w:val="18"/>
      <w:lang w:eastAsia="pt-BR"/>
    </w:rPr>
  </w:style>
  <w:style w:type="paragraph" w:styleId="Sumrio9">
    <w:name w:val="toc 9"/>
    <w:basedOn w:val="Normal"/>
    <w:next w:val="Normal"/>
    <w:autoRedefine/>
    <w:uiPriority w:val="39"/>
    <w:unhideWhenUsed/>
    <w:locked/>
    <w:rsid w:val="00106C6F"/>
    <w:pPr>
      <w:spacing w:after="0" w:line="360" w:lineRule="auto"/>
      <w:ind w:left="1920" w:firstLine="851"/>
    </w:pPr>
    <w:rPr>
      <w:rFonts w:asciiTheme="minorHAnsi" w:hAnsiTheme="minorHAnsi" w:cstheme="minorBidi"/>
      <w:sz w:val="18"/>
      <w:szCs w:val="18"/>
      <w:lang w:eastAsia="pt-BR"/>
    </w:rPr>
  </w:style>
  <w:style w:type="paragraph" w:styleId="Bibliografia">
    <w:name w:val="Bibliography"/>
    <w:basedOn w:val="Normal"/>
    <w:next w:val="Normal"/>
    <w:uiPriority w:val="37"/>
    <w:unhideWhenUsed/>
    <w:locked/>
    <w:rsid w:val="00106C6F"/>
    <w:pPr>
      <w:spacing w:after="240" w:line="240" w:lineRule="auto"/>
      <w:jc w:val="both"/>
    </w:pPr>
    <w:rPr>
      <w:rFonts w:ascii="Times New Roman" w:hAnsi="Times New Roman" w:cstheme="minorBidi"/>
      <w:szCs w:val="22"/>
      <w:lang w:eastAsia="pt-BR"/>
    </w:rPr>
  </w:style>
  <w:style w:type="paragraph" w:customStyle="1" w:styleId="Pa4">
    <w:name w:val="Pa4"/>
    <w:basedOn w:val="Normal"/>
    <w:next w:val="Normal"/>
    <w:uiPriority w:val="99"/>
    <w:rsid w:val="00106C6F"/>
    <w:pPr>
      <w:autoSpaceDE w:val="0"/>
      <w:autoSpaceDN w:val="0"/>
      <w:adjustRightInd w:val="0"/>
      <w:spacing w:after="0" w:line="281" w:lineRule="atLeast"/>
    </w:pPr>
    <w:rPr>
      <w:rFonts w:ascii="Times New Roman" w:hAnsi="Times New Roman" w:cs="Times New Roman"/>
      <w:lang w:eastAsia="pt-BR"/>
    </w:rPr>
  </w:style>
  <w:style w:type="character" w:styleId="Forte">
    <w:name w:val="Strong"/>
    <w:basedOn w:val="Fontepargpadro"/>
    <w:uiPriority w:val="22"/>
    <w:qFormat/>
    <w:locked/>
    <w:rsid w:val="00106C6F"/>
    <w:rPr>
      <w:b/>
      <w:bCs/>
    </w:rPr>
  </w:style>
  <w:style w:type="table" w:styleId="TabeladeGrade4-nfase3">
    <w:name w:val="Grid Table 4 Accent 3"/>
    <w:basedOn w:val="Tabelanormal"/>
    <w:uiPriority w:val="49"/>
    <w:locked/>
    <w:rsid w:val="00106C6F"/>
    <w:pPr>
      <w:spacing w:after="0" w:line="240" w:lineRule="auto"/>
    </w:pPr>
    <w:rPr>
      <w:rFonts w:ascii="Times New Roman" w:eastAsia="Times New Roman" w:hAnsi="Times New Roman" w:cs="Times New Roman"/>
      <w:sz w:val="20"/>
      <w:szCs w:val="20"/>
      <w:lang w:eastAsia="pt-B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data">
    <w:name w:val="data"/>
    <w:basedOn w:val="Fontepargpadro"/>
    <w:rsid w:val="00106C6F"/>
  </w:style>
  <w:style w:type="character" w:styleId="nfase">
    <w:name w:val="Emphasis"/>
    <w:basedOn w:val="Fontepargpadro"/>
    <w:uiPriority w:val="20"/>
    <w:qFormat/>
    <w:locked/>
    <w:rsid w:val="00106C6F"/>
    <w:rPr>
      <w:i/>
      <w:iCs/>
    </w:rPr>
  </w:style>
  <w:style w:type="paragraph" w:customStyle="1" w:styleId="Listanumerada">
    <w:name w:val="Lista numerada"/>
    <w:basedOn w:val="10TpNmerosPPGTCU"/>
    <w:link w:val="ListanumeradaChar"/>
    <w:qFormat/>
    <w:rsid w:val="00414B9A"/>
    <w:pPr>
      <w:numPr>
        <w:numId w:val="5"/>
      </w:numPr>
      <w:spacing w:after="120"/>
      <w:ind w:left="993" w:hanging="426"/>
      <w:contextualSpacing w:val="0"/>
    </w:pPr>
    <w:rPr>
      <w:b/>
      <w:color w:val="C60808"/>
    </w:rPr>
  </w:style>
  <w:style w:type="paragraph" w:customStyle="1" w:styleId="Listadetpicos">
    <w:name w:val="Lista de tópicos"/>
    <w:basedOn w:val="11TpMarcadoresPPGTCU"/>
    <w:link w:val="ListadetpicosChar"/>
    <w:qFormat/>
    <w:rsid w:val="00233127"/>
    <w:rPr>
      <w:rFonts w:cs="Arial"/>
    </w:rPr>
  </w:style>
  <w:style w:type="character" w:customStyle="1" w:styleId="03TextoPPGTCUChar">
    <w:name w:val="03.Texto_PPGTCU Char"/>
    <w:basedOn w:val="Fontepargpadro"/>
    <w:link w:val="03TextoPPGTCU"/>
    <w:rsid w:val="00A95276"/>
    <w:rPr>
      <w:rFonts w:ascii="Arial" w:hAnsi="Arial"/>
    </w:rPr>
  </w:style>
  <w:style w:type="character" w:customStyle="1" w:styleId="11TpMarcadoresPPGTCUChar">
    <w:name w:val="11.Tóp.Marcadores_PPGTCU Char"/>
    <w:basedOn w:val="03TextoPPGTCUChar"/>
    <w:link w:val="11TpMarcadoresPPGTCU"/>
    <w:rsid w:val="00A95276"/>
    <w:rPr>
      <w:rFonts w:ascii="Arial" w:hAnsi="Arial"/>
    </w:rPr>
  </w:style>
  <w:style w:type="character" w:customStyle="1" w:styleId="10TpNmerosPPGTCUChar">
    <w:name w:val="10.Tóp.Números_PPGTCU Char"/>
    <w:basedOn w:val="11TpMarcadoresPPGTCUChar"/>
    <w:link w:val="10TpNmerosPPGTCU"/>
    <w:rsid w:val="00A95276"/>
    <w:rPr>
      <w:rFonts w:ascii="Arial" w:hAnsi="Arial"/>
    </w:rPr>
  </w:style>
  <w:style w:type="character" w:customStyle="1" w:styleId="ListanumeradaChar">
    <w:name w:val="Lista numerada Char"/>
    <w:basedOn w:val="10TpNmerosPPGTCUChar"/>
    <w:link w:val="Listanumerada"/>
    <w:rsid w:val="00414B9A"/>
    <w:rPr>
      <w:rFonts w:ascii="Arial" w:hAnsi="Arial"/>
      <w:b/>
      <w:color w:val="C60808"/>
    </w:rPr>
  </w:style>
  <w:style w:type="character" w:customStyle="1" w:styleId="Sumrio1Char">
    <w:name w:val="Sumário 1 Char"/>
    <w:basedOn w:val="Fontepargpadro"/>
    <w:link w:val="Sumrio1"/>
    <w:uiPriority w:val="39"/>
    <w:rsid w:val="00895E20"/>
    <w:rPr>
      <w:rFonts w:ascii="Arial" w:hAnsi="Arial"/>
      <w:b/>
      <w:noProof/>
    </w:rPr>
  </w:style>
  <w:style w:type="character" w:customStyle="1" w:styleId="ListadetpicosChar">
    <w:name w:val="Lista de tópicos Char"/>
    <w:basedOn w:val="11TpMarcadoresPPGTCUChar"/>
    <w:link w:val="Listadetpicos"/>
    <w:rsid w:val="00233127"/>
    <w:rPr>
      <w:rFonts w:ascii="Arial" w:hAnsi="Arial" w:cs="Arial"/>
    </w:rPr>
  </w:style>
  <w:style w:type="character" w:customStyle="1" w:styleId="ndicedeilustraesChar">
    <w:name w:val="Índice de ilustrações Char"/>
    <w:basedOn w:val="Fontepargpadro"/>
    <w:link w:val="ndicedeilustraes"/>
    <w:uiPriority w:val="99"/>
    <w:rsid w:val="001B6184"/>
    <w:rPr>
      <w:rFonts w:ascii="Arial" w:hAnsi="Arial" w:cstheme="minorBidi"/>
      <w:szCs w:val="22"/>
      <w:lang w:eastAsia="pt-BR"/>
    </w:rPr>
  </w:style>
  <w:style w:type="character" w:customStyle="1" w:styleId="textodemacro3">
    <w:name w:val="textodemacro3"/>
    <w:basedOn w:val="Fontepargpadro"/>
    <w:rsid w:val="00F077A4"/>
  </w:style>
  <w:style w:type="paragraph" w:customStyle="1" w:styleId="Default">
    <w:name w:val="Default"/>
    <w:rsid w:val="00E72A06"/>
    <w:pPr>
      <w:autoSpaceDE w:val="0"/>
      <w:autoSpaceDN w:val="0"/>
      <w:adjustRightInd w:val="0"/>
      <w:spacing w:after="0" w:line="240" w:lineRule="auto"/>
    </w:pPr>
    <w:rPr>
      <w:rFonts w:ascii="Arial" w:hAnsi="Arial" w:cs="Arial"/>
      <w:color w:val="000000"/>
    </w:rPr>
  </w:style>
  <w:style w:type="character" w:customStyle="1" w:styleId="ng-star-inserted">
    <w:name w:val="ng-star-inserted"/>
    <w:basedOn w:val="Fontepargpadro"/>
    <w:rsid w:val="00E72A06"/>
  </w:style>
  <w:style w:type="paragraph" w:customStyle="1" w:styleId="01Ttulo">
    <w:name w:val="01_Título"/>
    <w:basedOn w:val="Ttulo1"/>
    <w:link w:val="01TtuloChar"/>
    <w:autoRedefine/>
    <w:qFormat/>
    <w:rsid w:val="00F615E4"/>
    <w:pPr>
      <w:keepNext/>
      <w:widowControl w:val="0"/>
      <w:numPr>
        <w:numId w:val="0"/>
      </w:numPr>
      <w:suppressAutoHyphens/>
      <w:autoSpaceDE w:val="0"/>
      <w:spacing w:before="0" w:after="360"/>
      <w:contextualSpacing w:val="0"/>
      <w:jc w:val="center"/>
    </w:pPr>
    <w:rPr>
      <w:rFonts w:eastAsia="Calibri"/>
      <w:caps/>
      <w:lang w:eastAsia="pt-BR"/>
    </w:rPr>
  </w:style>
  <w:style w:type="character" w:customStyle="1" w:styleId="01TtuloChar">
    <w:name w:val="01_Título Char"/>
    <w:basedOn w:val="Ttulo1Char"/>
    <w:link w:val="01Ttulo"/>
    <w:rsid w:val="00F615E4"/>
    <w:rPr>
      <w:rFonts w:ascii="Times New Roman" w:eastAsia="Calibri" w:hAnsi="Times New Roman" w:cs="Times New Roman"/>
      <w:b/>
      <w:caps/>
      <w:color w:val="C60808"/>
      <w:sz w:val="32"/>
      <w:lang w:eastAsia="pt-BR"/>
    </w:rPr>
  </w:style>
  <w:style w:type="paragraph" w:customStyle="1" w:styleId="02Subttulo-Finalidade">
    <w:name w:val="02_Subtítulo-Finalidade"/>
    <w:basedOn w:val="Citao"/>
    <w:link w:val="02Subttulo-FinalidadeChar"/>
    <w:qFormat/>
    <w:rsid w:val="00F615E4"/>
    <w:pPr>
      <w:spacing w:before="200" w:after="360" w:line="264" w:lineRule="auto"/>
      <w:ind w:left="4253"/>
      <w:contextualSpacing w:val="0"/>
    </w:pPr>
    <w:rPr>
      <w:rFonts w:ascii="Times New Roman" w:hAnsi="Times New Roman" w:cstheme="minorBidi"/>
      <w:iCs/>
      <w:color w:val="000000" w:themeColor="text1"/>
      <w:szCs w:val="22"/>
    </w:rPr>
  </w:style>
  <w:style w:type="character" w:customStyle="1" w:styleId="02Subttulo-FinalidadeChar">
    <w:name w:val="02_Subtítulo-Finalidade Char"/>
    <w:basedOn w:val="CitaoChar"/>
    <w:link w:val="02Subttulo-Finalidade"/>
    <w:rsid w:val="00F615E4"/>
    <w:rPr>
      <w:rFonts w:ascii="Times New Roman" w:hAnsi="Times New Roman" w:cstheme="minorBidi"/>
      <w:iCs/>
      <w:color w:val="000000" w:themeColor="text1"/>
      <w:sz w:val="20"/>
      <w:szCs w:val="22"/>
    </w:rPr>
  </w:style>
  <w:style w:type="paragraph" w:customStyle="1" w:styleId="03Pargrafo-Normal">
    <w:name w:val="03_Parágrafo-Normal"/>
    <w:basedOn w:val="PargrafodaLista"/>
    <w:link w:val="03Pargrafo-NormalChar"/>
    <w:qFormat/>
    <w:rsid w:val="00774F87"/>
    <w:rPr>
      <w:rFonts w:ascii="Times New Roman" w:hAnsi="Times New Roman" w:cs="Times New Roman"/>
    </w:rPr>
  </w:style>
  <w:style w:type="character" w:customStyle="1" w:styleId="03Pargrafo-NormalChar">
    <w:name w:val="03_Parágrafo-Normal Char"/>
    <w:basedOn w:val="Fontepargpadro"/>
    <w:link w:val="03Pargrafo-Normal"/>
    <w:rsid w:val="00774F87"/>
    <w:rPr>
      <w:rFonts w:ascii="Times New Roman" w:hAnsi="Times New Roman" w:cs="Times New Roman"/>
    </w:rPr>
  </w:style>
  <w:style w:type="paragraph" w:customStyle="1" w:styleId="04Pargrafo-Numerado-Artigo">
    <w:name w:val="04_Parágrafo-Numerado-Artigo"/>
    <w:basedOn w:val="PargrafodaLista"/>
    <w:link w:val="04Pargrafo-Numerado-ArtigoChar"/>
    <w:qFormat/>
    <w:rsid w:val="00F615E4"/>
    <w:pPr>
      <w:keepLines/>
      <w:numPr>
        <w:numId w:val="6"/>
      </w:numPr>
      <w:spacing w:before="200" w:after="200" w:line="264" w:lineRule="auto"/>
      <w:contextualSpacing w:val="0"/>
    </w:pPr>
    <w:rPr>
      <w:rFonts w:ascii="Times New Roman" w:hAnsi="Times New Roman" w:cstheme="minorBidi"/>
      <w:szCs w:val="22"/>
    </w:rPr>
  </w:style>
  <w:style w:type="character" w:customStyle="1" w:styleId="04Pargrafo-Numerado-ArtigoChar">
    <w:name w:val="04_Parágrafo-Numerado-Artigo Char"/>
    <w:basedOn w:val="Fontepargpadro"/>
    <w:link w:val="04Pargrafo-Numerado-Artigo"/>
    <w:rsid w:val="00F615E4"/>
    <w:rPr>
      <w:rFonts w:ascii="Times New Roman" w:hAnsi="Times New Roman" w:cstheme="minorBidi"/>
      <w:szCs w:val="22"/>
    </w:rPr>
  </w:style>
  <w:style w:type="paragraph" w:customStyle="1" w:styleId="04Pargrafo-Art-10">
    <w:name w:val="04_Parágrafo-Art-10"/>
    <w:basedOn w:val="04Pargrafo-Numerado-Artigo"/>
    <w:link w:val="04Pargrafo-Art-10Char"/>
    <w:qFormat/>
    <w:rsid w:val="00F615E4"/>
    <w:pPr>
      <w:numPr>
        <w:numId w:val="7"/>
      </w:numPr>
    </w:pPr>
  </w:style>
  <w:style w:type="character" w:customStyle="1" w:styleId="04Pargrafo-Art-10Char">
    <w:name w:val="04_Parágrafo-Art-10 Char"/>
    <w:basedOn w:val="04Pargrafo-Numerado-ArtigoChar"/>
    <w:link w:val="04Pargrafo-Art-10"/>
    <w:rsid w:val="00F615E4"/>
    <w:rPr>
      <w:rFonts w:ascii="Times New Roman" w:hAnsi="Times New Roman" w:cstheme="minorBidi"/>
      <w:szCs w:val="22"/>
    </w:rPr>
  </w:style>
  <w:style w:type="paragraph" w:customStyle="1" w:styleId="05PargrafoNumerado">
    <w:name w:val="05_Parágrafo_Numerado"/>
    <w:basedOn w:val="04Pargrafo-Numerado-Artigo"/>
    <w:link w:val="05PargrafoNumeradoChar"/>
    <w:qFormat/>
    <w:rsid w:val="00F615E4"/>
    <w:pPr>
      <w:numPr>
        <w:numId w:val="8"/>
      </w:numPr>
    </w:pPr>
  </w:style>
  <w:style w:type="character" w:customStyle="1" w:styleId="05PargrafoNumeradoChar">
    <w:name w:val="05_Parágrafo_Numerado Char"/>
    <w:basedOn w:val="04Pargrafo-Numerado-ArtigoChar"/>
    <w:link w:val="05PargrafoNumerado"/>
    <w:rsid w:val="00F615E4"/>
    <w:rPr>
      <w:rFonts w:ascii="Times New Roman" w:hAnsi="Times New Roman" w:cstheme="minorBidi"/>
      <w:szCs w:val="22"/>
    </w:rPr>
  </w:style>
  <w:style w:type="paragraph" w:customStyle="1" w:styleId="06ListaNumerada">
    <w:name w:val="06_Lista_Numerada"/>
    <w:basedOn w:val="PargrafodaLista"/>
    <w:link w:val="06ListaNumeradaChar"/>
    <w:autoRedefine/>
    <w:qFormat/>
    <w:rsid w:val="00F615E4"/>
    <w:pPr>
      <w:spacing w:before="200" w:after="200" w:line="264" w:lineRule="auto"/>
      <w:ind w:left="1191" w:hanging="227"/>
      <w:contextualSpacing w:val="0"/>
      <w:jc w:val="left"/>
    </w:pPr>
    <w:rPr>
      <w:rFonts w:ascii="Times New Roman" w:hAnsi="Times New Roman" w:cstheme="minorBidi"/>
      <w:szCs w:val="22"/>
    </w:rPr>
  </w:style>
  <w:style w:type="character" w:customStyle="1" w:styleId="06ListaNumeradaChar">
    <w:name w:val="06_Lista_Numerada Char"/>
    <w:basedOn w:val="Fontepargpadro"/>
    <w:link w:val="06ListaNumerada"/>
    <w:rsid w:val="00F615E4"/>
    <w:rPr>
      <w:rFonts w:ascii="Times New Roman" w:hAnsi="Times New Roman" w:cstheme="minorBidi"/>
      <w:szCs w:val="22"/>
    </w:rPr>
  </w:style>
  <w:style w:type="paragraph" w:customStyle="1" w:styleId="07Ttulo-Capitulo">
    <w:name w:val="07_Título-Capitulo"/>
    <w:basedOn w:val="01Ttulo"/>
    <w:link w:val="07Ttulo-CapituloChar"/>
    <w:qFormat/>
    <w:rsid w:val="00F615E4"/>
    <w:pPr>
      <w:spacing w:before="360" w:after="200" w:line="264" w:lineRule="auto"/>
    </w:pPr>
  </w:style>
  <w:style w:type="character" w:customStyle="1" w:styleId="07Ttulo-CapituloChar">
    <w:name w:val="07_Título-Capitulo Char"/>
    <w:basedOn w:val="01TtuloChar"/>
    <w:link w:val="07Ttulo-Capitulo"/>
    <w:rsid w:val="00F615E4"/>
    <w:rPr>
      <w:rFonts w:ascii="Times New Roman" w:eastAsia="Calibri" w:hAnsi="Times New Roman" w:cs="Times New Roman"/>
      <w:b/>
      <w:caps/>
      <w:color w:val="C60808"/>
      <w:sz w:val="32"/>
      <w:lang w:eastAsia="pt-BR"/>
    </w:rPr>
  </w:style>
  <w:style w:type="paragraph" w:customStyle="1" w:styleId="08Ttulo-Seo">
    <w:name w:val="08_Título-Seção"/>
    <w:basedOn w:val="Ttulo1"/>
    <w:link w:val="08Ttulo-SeoChar"/>
    <w:autoRedefine/>
    <w:qFormat/>
    <w:rsid w:val="00F615E4"/>
    <w:pPr>
      <w:keepNext/>
      <w:keepLines/>
      <w:widowControl w:val="0"/>
      <w:numPr>
        <w:numId w:val="0"/>
      </w:numPr>
      <w:suppressAutoHyphens/>
      <w:autoSpaceDE w:val="0"/>
      <w:spacing w:before="360" w:after="200" w:line="264" w:lineRule="auto"/>
      <w:contextualSpacing w:val="0"/>
      <w:jc w:val="center"/>
    </w:pPr>
    <w:rPr>
      <w:rFonts w:eastAsia="Calibri"/>
      <w:b w:val="0"/>
      <w:color w:val="365F91" w:themeColor="accent1" w:themeShade="BF"/>
      <w:lang w:eastAsia="pt-BR"/>
    </w:rPr>
  </w:style>
  <w:style w:type="character" w:customStyle="1" w:styleId="08Ttulo-SeoChar">
    <w:name w:val="08_Título-Seção Char"/>
    <w:basedOn w:val="Ttulo1Char"/>
    <w:link w:val="08Ttulo-Seo"/>
    <w:rsid w:val="00F615E4"/>
    <w:rPr>
      <w:rFonts w:ascii="Times New Roman" w:eastAsia="Calibri" w:hAnsi="Times New Roman" w:cs="Times New Roman"/>
      <w:b w:val="0"/>
      <w:color w:val="365F91" w:themeColor="accent1" w:themeShade="BF"/>
      <w:sz w:val="32"/>
      <w:lang w:eastAsia="pt-BR"/>
    </w:rPr>
  </w:style>
  <w:style w:type="paragraph" w:customStyle="1" w:styleId="textocentralizado">
    <w:name w:val="texto_centralizado"/>
    <w:basedOn w:val="Normal"/>
    <w:rsid w:val="00F615E4"/>
    <w:pPr>
      <w:spacing w:before="100" w:beforeAutospacing="1" w:after="100" w:afterAutospacing="1" w:line="240" w:lineRule="auto"/>
    </w:pPr>
    <w:rPr>
      <w:rFonts w:ascii="Times New Roman" w:eastAsia="Times New Roman" w:hAnsi="Times New Roman" w:cs="Times New Roman"/>
      <w:lang w:eastAsia="pt-BR"/>
    </w:rPr>
  </w:style>
  <w:style w:type="paragraph" w:customStyle="1" w:styleId="tabelatextocentralizado">
    <w:name w:val="tabela_texto_centralizado"/>
    <w:basedOn w:val="Normal"/>
    <w:rsid w:val="00F615E4"/>
    <w:pPr>
      <w:spacing w:before="100" w:beforeAutospacing="1" w:after="100" w:afterAutospacing="1" w:line="240" w:lineRule="auto"/>
    </w:pPr>
    <w:rPr>
      <w:rFonts w:ascii="Times New Roman" w:eastAsia="Times New Roman" w:hAnsi="Times New Roman" w:cs="Times New Roman"/>
      <w:lang w:eastAsia="pt-BR"/>
    </w:rPr>
  </w:style>
  <w:style w:type="paragraph" w:customStyle="1" w:styleId="msonormal0">
    <w:name w:val="msonormal"/>
    <w:basedOn w:val="Normal"/>
    <w:rsid w:val="00B74CA2"/>
    <w:pPr>
      <w:spacing w:before="100" w:beforeAutospacing="1" w:after="100" w:afterAutospacing="1" w:line="240" w:lineRule="auto"/>
    </w:pPr>
    <w:rPr>
      <w:rFonts w:ascii="Times New Roman" w:eastAsia="Times New Roman" w:hAnsi="Times New Roman" w:cs="Times New Roman"/>
      <w:lang w:eastAsia="pt-BR"/>
    </w:rPr>
  </w:style>
  <w:style w:type="paragraph" w:customStyle="1" w:styleId="xl65">
    <w:name w:val="xl65"/>
    <w:basedOn w:val="Normal"/>
    <w:rsid w:val="00B74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t-BR"/>
    </w:rPr>
  </w:style>
  <w:style w:type="paragraph" w:customStyle="1" w:styleId="xl66">
    <w:name w:val="xl66"/>
    <w:basedOn w:val="Normal"/>
    <w:rsid w:val="00B74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t-BR"/>
    </w:rPr>
  </w:style>
  <w:style w:type="paragraph" w:customStyle="1" w:styleId="xl67">
    <w:name w:val="xl67"/>
    <w:basedOn w:val="Normal"/>
    <w:rsid w:val="00B74CA2"/>
    <w:pP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t-BR"/>
    </w:rPr>
  </w:style>
  <w:style w:type="paragraph" w:customStyle="1" w:styleId="xl68">
    <w:name w:val="xl68"/>
    <w:basedOn w:val="Normal"/>
    <w:rsid w:val="00B74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pt-BR"/>
    </w:rPr>
  </w:style>
  <w:style w:type="paragraph" w:customStyle="1" w:styleId="xl69">
    <w:name w:val="xl69"/>
    <w:basedOn w:val="Normal"/>
    <w:rsid w:val="00B74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pt-BR"/>
    </w:rPr>
  </w:style>
  <w:style w:type="paragraph" w:customStyle="1" w:styleId="xl70">
    <w:name w:val="xl70"/>
    <w:basedOn w:val="Normal"/>
    <w:rsid w:val="00B74CA2"/>
    <w:pPr>
      <w:spacing w:before="100" w:beforeAutospacing="1" w:after="100" w:afterAutospacing="1" w:line="240" w:lineRule="auto"/>
    </w:pPr>
    <w:rPr>
      <w:rFonts w:ascii="Times New Roman" w:eastAsia="Times New Roman" w:hAnsi="Times New Roman" w:cs="Times New Roman"/>
      <w:sz w:val="16"/>
      <w:szCs w:val="16"/>
      <w:lang w:eastAsia="pt-BR"/>
    </w:rPr>
  </w:style>
  <w:style w:type="paragraph" w:customStyle="1" w:styleId="xl71">
    <w:name w:val="xl71"/>
    <w:basedOn w:val="Normal"/>
    <w:rsid w:val="00B74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t-BR"/>
    </w:rPr>
  </w:style>
  <w:style w:type="paragraph" w:customStyle="1" w:styleId="xl72">
    <w:name w:val="xl72"/>
    <w:basedOn w:val="Normal"/>
    <w:rsid w:val="00B74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pt-BR"/>
    </w:rPr>
  </w:style>
  <w:style w:type="paragraph" w:customStyle="1" w:styleId="xl73">
    <w:name w:val="xl73"/>
    <w:basedOn w:val="Normal"/>
    <w:rsid w:val="00B74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pt-BR"/>
    </w:rPr>
  </w:style>
  <w:style w:type="paragraph" w:customStyle="1" w:styleId="xl74">
    <w:name w:val="xl74"/>
    <w:basedOn w:val="Normal"/>
    <w:rsid w:val="00B74CA2"/>
    <w:pPr>
      <w:spacing w:before="100" w:beforeAutospacing="1" w:after="100" w:afterAutospacing="1" w:line="240" w:lineRule="auto"/>
    </w:pPr>
    <w:rPr>
      <w:rFonts w:ascii="Times New Roman" w:eastAsia="Times New Roman" w:hAnsi="Times New Roman" w:cs="Times New Roman"/>
      <w:sz w:val="16"/>
      <w:szCs w:val="16"/>
      <w:lang w:eastAsia="pt-BR"/>
    </w:rPr>
  </w:style>
  <w:style w:type="paragraph" w:customStyle="1" w:styleId="xl75">
    <w:name w:val="xl75"/>
    <w:basedOn w:val="Normal"/>
    <w:rsid w:val="00DA1832"/>
    <w:pPr>
      <w:spacing w:before="100" w:beforeAutospacing="1" w:after="100" w:afterAutospacing="1" w:line="240" w:lineRule="auto"/>
    </w:pPr>
    <w:rPr>
      <w:rFonts w:ascii="Times New Roman" w:eastAsia="Times New Roman" w:hAnsi="Times New Roman" w:cs="Times New Roman"/>
      <w:sz w:val="16"/>
      <w:szCs w:val="16"/>
      <w:lang w:eastAsia="pt-BR"/>
    </w:rPr>
  </w:style>
  <w:style w:type="paragraph" w:customStyle="1" w:styleId="xl76">
    <w:name w:val="xl76"/>
    <w:basedOn w:val="Normal"/>
    <w:rsid w:val="00CC12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pt-BR"/>
    </w:rPr>
  </w:style>
  <w:style w:type="table" w:customStyle="1" w:styleId="TableNormal">
    <w:name w:val="TableNormal"/>
    <w:rsid w:val="00A04B57"/>
    <w:rPr>
      <w:rFonts w:ascii="Calibri" w:eastAsia="Calibri" w:hAnsi="Calibri" w:cs="Calibri"/>
      <w:lang w:eastAsia="pt-BR"/>
    </w:rPr>
    <w:tblPr>
      <w:tblCellMar>
        <w:top w:w="100" w:type="dxa"/>
        <w:left w:w="100" w:type="dxa"/>
        <w:bottom w:w="100" w:type="dxa"/>
        <w:right w:w="100" w:type="dxa"/>
      </w:tblCellMar>
    </w:tblPr>
  </w:style>
  <w:style w:type="paragraph" w:styleId="Subttulo">
    <w:name w:val="Subtitle"/>
    <w:basedOn w:val="Normal"/>
    <w:next w:val="Normal"/>
    <w:link w:val="SubttuloChar"/>
    <w:locked/>
    <w:rsid w:val="00A04B57"/>
    <w:pPr>
      <w:keepNext/>
      <w:keepLines/>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rsid w:val="00A04B57"/>
    <w:rPr>
      <w:rFonts w:ascii="Georgia" w:eastAsia="Georgia" w:hAnsi="Georgia" w:cs="Georgia"/>
      <w:i/>
      <w:color w:val="666666"/>
      <w:sz w:val="48"/>
      <w:szCs w:val="4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381">
      <w:bodyDiv w:val="1"/>
      <w:marLeft w:val="0"/>
      <w:marRight w:val="0"/>
      <w:marTop w:val="0"/>
      <w:marBottom w:val="0"/>
      <w:divBdr>
        <w:top w:val="none" w:sz="0" w:space="0" w:color="auto"/>
        <w:left w:val="none" w:sz="0" w:space="0" w:color="auto"/>
        <w:bottom w:val="none" w:sz="0" w:space="0" w:color="auto"/>
        <w:right w:val="none" w:sz="0" w:space="0" w:color="auto"/>
      </w:divBdr>
    </w:div>
    <w:div w:id="20592614">
      <w:bodyDiv w:val="1"/>
      <w:marLeft w:val="0"/>
      <w:marRight w:val="0"/>
      <w:marTop w:val="0"/>
      <w:marBottom w:val="0"/>
      <w:divBdr>
        <w:top w:val="none" w:sz="0" w:space="0" w:color="auto"/>
        <w:left w:val="none" w:sz="0" w:space="0" w:color="auto"/>
        <w:bottom w:val="none" w:sz="0" w:space="0" w:color="auto"/>
        <w:right w:val="none" w:sz="0" w:space="0" w:color="auto"/>
      </w:divBdr>
    </w:div>
    <w:div w:id="34887494">
      <w:bodyDiv w:val="1"/>
      <w:marLeft w:val="0"/>
      <w:marRight w:val="0"/>
      <w:marTop w:val="0"/>
      <w:marBottom w:val="0"/>
      <w:divBdr>
        <w:top w:val="none" w:sz="0" w:space="0" w:color="auto"/>
        <w:left w:val="none" w:sz="0" w:space="0" w:color="auto"/>
        <w:bottom w:val="none" w:sz="0" w:space="0" w:color="auto"/>
        <w:right w:val="none" w:sz="0" w:space="0" w:color="auto"/>
      </w:divBdr>
    </w:div>
    <w:div w:id="38826532">
      <w:bodyDiv w:val="1"/>
      <w:marLeft w:val="0"/>
      <w:marRight w:val="0"/>
      <w:marTop w:val="0"/>
      <w:marBottom w:val="0"/>
      <w:divBdr>
        <w:top w:val="none" w:sz="0" w:space="0" w:color="auto"/>
        <w:left w:val="none" w:sz="0" w:space="0" w:color="auto"/>
        <w:bottom w:val="none" w:sz="0" w:space="0" w:color="auto"/>
        <w:right w:val="none" w:sz="0" w:space="0" w:color="auto"/>
      </w:divBdr>
    </w:div>
    <w:div w:id="128089870">
      <w:bodyDiv w:val="1"/>
      <w:marLeft w:val="0"/>
      <w:marRight w:val="0"/>
      <w:marTop w:val="0"/>
      <w:marBottom w:val="0"/>
      <w:divBdr>
        <w:top w:val="none" w:sz="0" w:space="0" w:color="auto"/>
        <w:left w:val="none" w:sz="0" w:space="0" w:color="auto"/>
        <w:bottom w:val="none" w:sz="0" w:space="0" w:color="auto"/>
        <w:right w:val="none" w:sz="0" w:space="0" w:color="auto"/>
      </w:divBdr>
    </w:div>
    <w:div w:id="158883589">
      <w:bodyDiv w:val="1"/>
      <w:marLeft w:val="0"/>
      <w:marRight w:val="0"/>
      <w:marTop w:val="0"/>
      <w:marBottom w:val="0"/>
      <w:divBdr>
        <w:top w:val="none" w:sz="0" w:space="0" w:color="auto"/>
        <w:left w:val="none" w:sz="0" w:space="0" w:color="auto"/>
        <w:bottom w:val="none" w:sz="0" w:space="0" w:color="auto"/>
        <w:right w:val="none" w:sz="0" w:space="0" w:color="auto"/>
      </w:divBdr>
    </w:div>
    <w:div w:id="175584659">
      <w:bodyDiv w:val="1"/>
      <w:marLeft w:val="0"/>
      <w:marRight w:val="0"/>
      <w:marTop w:val="0"/>
      <w:marBottom w:val="0"/>
      <w:divBdr>
        <w:top w:val="none" w:sz="0" w:space="0" w:color="auto"/>
        <w:left w:val="none" w:sz="0" w:space="0" w:color="auto"/>
        <w:bottom w:val="none" w:sz="0" w:space="0" w:color="auto"/>
        <w:right w:val="none" w:sz="0" w:space="0" w:color="auto"/>
      </w:divBdr>
    </w:div>
    <w:div w:id="201022208">
      <w:bodyDiv w:val="1"/>
      <w:marLeft w:val="0"/>
      <w:marRight w:val="0"/>
      <w:marTop w:val="0"/>
      <w:marBottom w:val="0"/>
      <w:divBdr>
        <w:top w:val="none" w:sz="0" w:space="0" w:color="auto"/>
        <w:left w:val="none" w:sz="0" w:space="0" w:color="auto"/>
        <w:bottom w:val="none" w:sz="0" w:space="0" w:color="auto"/>
        <w:right w:val="none" w:sz="0" w:space="0" w:color="auto"/>
      </w:divBdr>
    </w:div>
    <w:div w:id="208347341">
      <w:bodyDiv w:val="1"/>
      <w:marLeft w:val="0"/>
      <w:marRight w:val="0"/>
      <w:marTop w:val="0"/>
      <w:marBottom w:val="0"/>
      <w:divBdr>
        <w:top w:val="none" w:sz="0" w:space="0" w:color="auto"/>
        <w:left w:val="none" w:sz="0" w:space="0" w:color="auto"/>
        <w:bottom w:val="none" w:sz="0" w:space="0" w:color="auto"/>
        <w:right w:val="none" w:sz="0" w:space="0" w:color="auto"/>
      </w:divBdr>
    </w:div>
    <w:div w:id="218442966">
      <w:bodyDiv w:val="1"/>
      <w:marLeft w:val="0"/>
      <w:marRight w:val="0"/>
      <w:marTop w:val="0"/>
      <w:marBottom w:val="0"/>
      <w:divBdr>
        <w:top w:val="none" w:sz="0" w:space="0" w:color="auto"/>
        <w:left w:val="none" w:sz="0" w:space="0" w:color="auto"/>
        <w:bottom w:val="none" w:sz="0" w:space="0" w:color="auto"/>
        <w:right w:val="none" w:sz="0" w:space="0" w:color="auto"/>
      </w:divBdr>
    </w:div>
    <w:div w:id="222764857">
      <w:bodyDiv w:val="1"/>
      <w:marLeft w:val="0"/>
      <w:marRight w:val="0"/>
      <w:marTop w:val="0"/>
      <w:marBottom w:val="0"/>
      <w:divBdr>
        <w:top w:val="none" w:sz="0" w:space="0" w:color="auto"/>
        <w:left w:val="none" w:sz="0" w:space="0" w:color="auto"/>
        <w:bottom w:val="none" w:sz="0" w:space="0" w:color="auto"/>
        <w:right w:val="none" w:sz="0" w:space="0" w:color="auto"/>
      </w:divBdr>
    </w:div>
    <w:div w:id="258803807">
      <w:bodyDiv w:val="1"/>
      <w:marLeft w:val="0"/>
      <w:marRight w:val="0"/>
      <w:marTop w:val="0"/>
      <w:marBottom w:val="0"/>
      <w:divBdr>
        <w:top w:val="none" w:sz="0" w:space="0" w:color="auto"/>
        <w:left w:val="none" w:sz="0" w:space="0" w:color="auto"/>
        <w:bottom w:val="none" w:sz="0" w:space="0" w:color="auto"/>
        <w:right w:val="none" w:sz="0" w:space="0" w:color="auto"/>
      </w:divBdr>
    </w:div>
    <w:div w:id="271669682">
      <w:bodyDiv w:val="1"/>
      <w:marLeft w:val="0"/>
      <w:marRight w:val="0"/>
      <w:marTop w:val="0"/>
      <w:marBottom w:val="0"/>
      <w:divBdr>
        <w:top w:val="none" w:sz="0" w:space="0" w:color="auto"/>
        <w:left w:val="none" w:sz="0" w:space="0" w:color="auto"/>
        <w:bottom w:val="none" w:sz="0" w:space="0" w:color="auto"/>
        <w:right w:val="none" w:sz="0" w:space="0" w:color="auto"/>
      </w:divBdr>
    </w:div>
    <w:div w:id="299461986">
      <w:bodyDiv w:val="1"/>
      <w:marLeft w:val="0"/>
      <w:marRight w:val="0"/>
      <w:marTop w:val="0"/>
      <w:marBottom w:val="0"/>
      <w:divBdr>
        <w:top w:val="none" w:sz="0" w:space="0" w:color="auto"/>
        <w:left w:val="none" w:sz="0" w:space="0" w:color="auto"/>
        <w:bottom w:val="none" w:sz="0" w:space="0" w:color="auto"/>
        <w:right w:val="none" w:sz="0" w:space="0" w:color="auto"/>
      </w:divBdr>
    </w:div>
    <w:div w:id="313340771">
      <w:bodyDiv w:val="1"/>
      <w:marLeft w:val="0"/>
      <w:marRight w:val="0"/>
      <w:marTop w:val="0"/>
      <w:marBottom w:val="0"/>
      <w:divBdr>
        <w:top w:val="none" w:sz="0" w:space="0" w:color="auto"/>
        <w:left w:val="none" w:sz="0" w:space="0" w:color="auto"/>
        <w:bottom w:val="none" w:sz="0" w:space="0" w:color="auto"/>
        <w:right w:val="none" w:sz="0" w:space="0" w:color="auto"/>
      </w:divBdr>
    </w:div>
    <w:div w:id="316301360">
      <w:bodyDiv w:val="1"/>
      <w:marLeft w:val="0"/>
      <w:marRight w:val="0"/>
      <w:marTop w:val="0"/>
      <w:marBottom w:val="0"/>
      <w:divBdr>
        <w:top w:val="none" w:sz="0" w:space="0" w:color="auto"/>
        <w:left w:val="none" w:sz="0" w:space="0" w:color="auto"/>
        <w:bottom w:val="none" w:sz="0" w:space="0" w:color="auto"/>
        <w:right w:val="none" w:sz="0" w:space="0" w:color="auto"/>
      </w:divBdr>
    </w:div>
    <w:div w:id="318315388">
      <w:bodyDiv w:val="1"/>
      <w:marLeft w:val="0"/>
      <w:marRight w:val="0"/>
      <w:marTop w:val="0"/>
      <w:marBottom w:val="0"/>
      <w:divBdr>
        <w:top w:val="none" w:sz="0" w:space="0" w:color="auto"/>
        <w:left w:val="none" w:sz="0" w:space="0" w:color="auto"/>
        <w:bottom w:val="none" w:sz="0" w:space="0" w:color="auto"/>
        <w:right w:val="none" w:sz="0" w:space="0" w:color="auto"/>
      </w:divBdr>
    </w:div>
    <w:div w:id="322243668">
      <w:bodyDiv w:val="1"/>
      <w:marLeft w:val="0"/>
      <w:marRight w:val="0"/>
      <w:marTop w:val="0"/>
      <w:marBottom w:val="0"/>
      <w:divBdr>
        <w:top w:val="none" w:sz="0" w:space="0" w:color="auto"/>
        <w:left w:val="none" w:sz="0" w:space="0" w:color="auto"/>
        <w:bottom w:val="none" w:sz="0" w:space="0" w:color="auto"/>
        <w:right w:val="none" w:sz="0" w:space="0" w:color="auto"/>
      </w:divBdr>
    </w:div>
    <w:div w:id="348143308">
      <w:bodyDiv w:val="1"/>
      <w:marLeft w:val="0"/>
      <w:marRight w:val="0"/>
      <w:marTop w:val="0"/>
      <w:marBottom w:val="0"/>
      <w:divBdr>
        <w:top w:val="none" w:sz="0" w:space="0" w:color="auto"/>
        <w:left w:val="none" w:sz="0" w:space="0" w:color="auto"/>
        <w:bottom w:val="none" w:sz="0" w:space="0" w:color="auto"/>
        <w:right w:val="none" w:sz="0" w:space="0" w:color="auto"/>
      </w:divBdr>
    </w:div>
    <w:div w:id="366299538">
      <w:bodyDiv w:val="1"/>
      <w:marLeft w:val="0"/>
      <w:marRight w:val="0"/>
      <w:marTop w:val="0"/>
      <w:marBottom w:val="0"/>
      <w:divBdr>
        <w:top w:val="none" w:sz="0" w:space="0" w:color="auto"/>
        <w:left w:val="none" w:sz="0" w:space="0" w:color="auto"/>
        <w:bottom w:val="none" w:sz="0" w:space="0" w:color="auto"/>
        <w:right w:val="none" w:sz="0" w:space="0" w:color="auto"/>
      </w:divBdr>
    </w:div>
    <w:div w:id="371685966">
      <w:bodyDiv w:val="1"/>
      <w:marLeft w:val="0"/>
      <w:marRight w:val="0"/>
      <w:marTop w:val="0"/>
      <w:marBottom w:val="0"/>
      <w:divBdr>
        <w:top w:val="none" w:sz="0" w:space="0" w:color="auto"/>
        <w:left w:val="none" w:sz="0" w:space="0" w:color="auto"/>
        <w:bottom w:val="none" w:sz="0" w:space="0" w:color="auto"/>
        <w:right w:val="none" w:sz="0" w:space="0" w:color="auto"/>
      </w:divBdr>
    </w:div>
    <w:div w:id="398870267">
      <w:bodyDiv w:val="1"/>
      <w:marLeft w:val="0"/>
      <w:marRight w:val="0"/>
      <w:marTop w:val="0"/>
      <w:marBottom w:val="0"/>
      <w:divBdr>
        <w:top w:val="none" w:sz="0" w:space="0" w:color="auto"/>
        <w:left w:val="none" w:sz="0" w:space="0" w:color="auto"/>
        <w:bottom w:val="none" w:sz="0" w:space="0" w:color="auto"/>
        <w:right w:val="none" w:sz="0" w:space="0" w:color="auto"/>
      </w:divBdr>
    </w:div>
    <w:div w:id="401951595">
      <w:bodyDiv w:val="1"/>
      <w:marLeft w:val="0"/>
      <w:marRight w:val="0"/>
      <w:marTop w:val="0"/>
      <w:marBottom w:val="0"/>
      <w:divBdr>
        <w:top w:val="none" w:sz="0" w:space="0" w:color="auto"/>
        <w:left w:val="none" w:sz="0" w:space="0" w:color="auto"/>
        <w:bottom w:val="none" w:sz="0" w:space="0" w:color="auto"/>
        <w:right w:val="none" w:sz="0" w:space="0" w:color="auto"/>
      </w:divBdr>
    </w:div>
    <w:div w:id="403794494">
      <w:bodyDiv w:val="1"/>
      <w:marLeft w:val="0"/>
      <w:marRight w:val="0"/>
      <w:marTop w:val="0"/>
      <w:marBottom w:val="0"/>
      <w:divBdr>
        <w:top w:val="none" w:sz="0" w:space="0" w:color="auto"/>
        <w:left w:val="none" w:sz="0" w:space="0" w:color="auto"/>
        <w:bottom w:val="none" w:sz="0" w:space="0" w:color="auto"/>
        <w:right w:val="none" w:sz="0" w:space="0" w:color="auto"/>
      </w:divBdr>
    </w:div>
    <w:div w:id="411045979">
      <w:bodyDiv w:val="1"/>
      <w:marLeft w:val="0"/>
      <w:marRight w:val="0"/>
      <w:marTop w:val="0"/>
      <w:marBottom w:val="0"/>
      <w:divBdr>
        <w:top w:val="none" w:sz="0" w:space="0" w:color="auto"/>
        <w:left w:val="none" w:sz="0" w:space="0" w:color="auto"/>
        <w:bottom w:val="none" w:sz="0" w:space="0" w:color="auto"/>
        <w:right w:val="none" w:sz="0" w:space="0" w:color="auto"/>
      </w:divBdr>
    </w:div>
    <w:div w:id="429012362">
      <w:bodyDiv w:val="1"/>
      <w:marLeft w:val="0"/>
      <w:marRight w:val="0"/>
      <w:marTop w:val="0"/>
      <w:marBottom w:val="0"/>
      <w:divBdr>
        <w:top w:val="none" w:sz="0" w:space="0" w:color="auto"/>
        <w:left w:val="none" w:sz="0" w:space="0" w:color="auto"/>
        <w:bottom w:val="none" w:sz="0" w:space="0" w:color="auto"/>
        <w:right w:val="none" w:sz="0" w:space="0" w:color="auto"/>
      </w:divBdr>
    </w:div>
    <w:div w:id="460342799">
      <w:bodyDiv w:val="1"/>
      <w:marLeft w:val="0"/>
      <w:marRight w:val="0"/>
      <w:marTop w:val="0"/>
      <w:marBottom w:val="0"/>
      <w:divBdr>
        <w:top w:val="none" w:sz="0" w:space="0" w:color="auto"/>
        <w:left w:val="none" w:sz="0" w:space="0" w:color="auto"/>
        <w:bottom w:val="none" w:sz="0" w:space="0" w:color="auto"/>
        <w:right w:val="none" w:sz="0" w:space="0" w:color="auto"/>
      </w:divBdr>
    </w:div>
    <w:div w:id="461578786">
      <w:bodyDiv w:val="1"/>
      <w:marLeft w:val="0"/>
      <w:marRight w:val="0"/>
      <w:marTop w:val="0"/>
      <w:marBottom w:val="0"/>
      <w:divBdr>
        <w:top w:val="none" w:sz="0" w:space="0" w:color="auto"/>
        <w:left w:val="none" w:sz="0" w:space="0" w:color="auto"/>
        <w:bottom w:val="none" w:sz="0" w:space="0" w:color="auto"/>
        <w:right w:val="none" w:sz="0" w:space="0" w:color="auto"/>
      </w:divBdr>
    </w:div>
    <w:div w:id="465467053">
      <w:bodyDiv w:val="1"/>
      <w:marLeft w:val="0"/>
      <w:marRight w:val="0"/>
      <w:marTop w:val="0"/>
      <w:marBottom w:val="0"/>
      <w:divBdr>
        <w:top w:val="none" w:sz="0" w:space="0" w:color="auto"/>
        <w:left w:val="none" w:sz="0" w:space="0" w:color="auto"/>
        <w:bottom w:val="none" w:sz="0" w:space="0" w:color="auto"/>
        <w:right w:val="none" w:sz="0" w:space="0" w:color="auto"/>
      </w:divBdr>
    </w:div>
    <w:div w:id="475530230">
      <w:bodyDiv w:val="1"/>
      <w:marLeft w:val="0"/>
      <w:marRight w:val="0"/>
      <w:marTop w:val="0"/>
      <w:marBottom w:val="0"/>
      <w:divBdr>
        <w:top w:val="none" w:sz="0" w:space="0" w:color="auto"/>
        <w:left w:val="none" w:sz="0" w:space="0" w:color="auto"/>
        <w:bottom w:val="none" w:sz="0" w:space="0" w:color="auto"/>
        <w:right w:val="none" w:sz="0" w:space="0" w:color="auto"/>
      </w:divBdr>
    </w:div>
    <w:div w:id="493838208">
      <w:bodyDiv w:val="1"/>
      <w:marLeft w:val="0"/>
      <w:marRight w:val="0"/>
      <w:marTop w:val="0"/>
      <w:marBottom w:val="0"/>
      <w:divBdr>
        <w:top w:val="none" w:sz="0" w:space="0" w:color="auto"/>
        <w:left w:val="none" w:sz="0" w:space="0" w:color="auto"/>
        <w:bottom w:val="none" w:sz="0" w:space="0" w:color="auto"/>
        <w:right w:val="none" w:sz="0" w:space="0" w:color="auto"/>
      </w:divBdr>
    </w:div>
    <w:div w:id="504710498">
      <w:bodyDiv w:val="1"/>
      <w:marLeft w:val="0"/>
      <w:marRight w:val="0"/>
      <w:marTop w:val="0"/>
      <w:marBottom w:val="0"/>
      <w:divBdr>
        <w:top w:val="none" w:sz="0" w:space="0" w:color="auto"/>
        <w:left w:val="none" w:sz="0" w:space="0" w:color="auto"/>
        <w:bottom w:val="none" w:sz="0" w:space="0" w:color="auto"/>
        <w:right w:val="none" w:sz="0" w:space="0" w:color="auto"/>
      </w:divBdr>
    </w:div>
    <w:div w:id="514536680">
      <w:bodyDiv w:val="1"/>
      <w:marLeft w:val="0"/>
      <w:marRight w:val="0"/>
      <w:marTop w:val="0"/>
      <w:marBottom w:val="0"/>
      <w:divBdr>
        <w:top w:val="none" w:sz="0" w:space="0" w:color="auto"/>
        <w:left w:val="none" w:sz="0" w:space="0" w:color="auto"/>
        <w:bottom w:val="none" w:sz="0" w:space="0" w:color="auto"/>
        <w:right w:val="none" w:sz="0" w:space="0" w:color="auto"/>
      </w:divBdr>
    </w:div>
    <w:div w:id="522787305">
      <w:bodyDiv w:val="1"/>
      <w:marLeft w:val="0"/>
      <w:marRight w:val="0"/>
      <w:marTop w:val="0"/>
      <w:marBottom w:val="0"/>
      <w:divBdr>
        <w:top w:val="none" w:sz="0" w:space="0" w:color="auto"/>
        <w:left w:val="none" w:sz="0" w:space="0" w:color="auto"/>
        <w:bottom w:val="none" w:sz="0" w:space="0" w:color="auto"/>
        <w:right w:val="none" w:sz="0" w:space="0" w:color="auto"/>
      </w:divBdr>
    </w:div>
    <w:div w:id="554320240">
      <w:bodyDiv w:val="1"/>
      <w:marLeft w:val="0"/>
      <w:marRight w:val="0"/>
      <w:marTop w:val="0"/>
      <w:marBottom w:val="0"/>
      <w:divBdr>
        <w:top w:val="none" w:sz="0" w:space="0" w:color="auto"/>
        <w:left w:val="none" w:sz="0" w:space="0" w:color="auto"/>
        <w:bottom w:val="none" w:sz="0" w:space="0" w:color="auto"/>
        <w:right w:val="none" w:sz="0" w:space="0" w:color="auto"/>
      </w:divBdr>
    </w:div>
    <w:div w:id="555316946">
      <w:bodyDiv w:val="1"/>
      <w:marLeft w:val="0"/>
      <w:marRight w:val="0"/>
      <w:marTop w:val="0"/>
      <w:marBottom w:val="0"/>
      <w:divBdr>
        <w:top w:val="none" w:sz="0" w:space="0" w:color="auto"/>
        <w:left w:val="none" w:sz="0" w:space="0" w:color="auto"/>
        <w:bottom w:val="none" w:sz="0" w:space="0" w:color="auto"/>
        <w:right w:val="none" w:sz="0" w:space="0" w:color="auto"/>
      </w:divBdr>
    </w:div>
    <w:div w:id="565803849">
      <w:bodyDiv w:val="1"/>
      <w:marLeft w:val="0"/>
      <w:marRight w:val="0"/>
      <w:marTop w:val="0"/>
      <w:marBottom w:val="0"/>
      <w:divBdr>
        <w:top w:val="none" w:sz="0" w:space="0" w:color="auto"/>
        <w:left w:val="none" w:sz="0" w:space="0" w:color="auto"/>
        <w:bottom w:val="none" w:sz="0" w:space="0" w:color="auto"/>
        <w:right w:val="none" w:sz="0" w:space="0" w:color="auto"/>
      </w:divBdr>
    </w:div>
    <w:div w:id="602960735">
      <w:bodyDiv w:val="1"/>
      <w:marLeft w:val="0"/>
      <w:marRight w:val="0"/>
      <w:marTop w:val="0"/>
      <w:marBottom w:val="0"/>
      <w:divBdr>
        <w:top w:val="none" w:sz="0" w:space="0" w:color="auto"/>
        <w:left w:val="none" w:sz="0" w:space="0" w:color="auto"/>
        <w:bottom w:val="none" w:sz="0" w:space="0" w:color="auto"/>
        <w:right w:val="none" w:sz="0" w:space="0" w:color="auto"/>
      </w:divBdr>
    </w:div>
    <w:div w:id="610673489">
      <w:bodyDiv w:val="1"/>
      <w:marLeft w:val="0"/>
      <w:marRight w:val="0"/>
      <w:marTop w:val="0"/>
      <w:marBottom w:val="0"/>
      <w:divBdr>
        <w:top w:val="none" w:sz="0" w:space="0" w:color="auto"/>
        <w:left w:val="none" w:sz="0" w:space="0" w:color="auto"/>
        <w:bottom w:val="none" w:sz="0" w:space="0" w:color="auto"/>
        <w:right w:val="none" w:sz="0" w:space="0" w:color="auto"/>
      </w:divBdr>
    </w:div>
    <w:div w:id="625506924">
      <w:bodyDiv w:val="1"/>
      <w:marLeft w:val="0"/>
      <w:marRight w:val="0"/>
      <w:marTop w:val="0"/>
      <w:marBottom w:val="0"/>
      <w:divBdr>
        <w:top w:val="none" w:sz="0" w:space="0" w:color="auto"/>
        <w:left w:val="none" w:sz="0" w:space="0" w:color="auto"/>
        <w:bottom w:val="none" w:sz="0" w:space="0" w:color="auto"/>
        <w:right w:val="none" w:sz="0" w:space="0" w:color="auto"/>
      </w:divBdr>
    </w:div>
    <w:div w:id="662397937">
      <w:bodyDiv w:val="1"/>
      <w:marLeft w:val="0"/>
      <w:marRight w:val="0"/>
      <w:marTop w:val="0"/>
      <w:marBottom w:val="0"/>
      <w:divBdr>
        <w:top w:val="none" w:sz="0" w:space="0" w:color="auto"/>
        <w:left w:val="none" w:sz="0" w:space="0" w:color="auto"/>
        <w:bottom w:val="none" w:sz="0" w:space="0" w:color="auto"/>
        <w:right w:val="none" w:sz="0" w:space="0" w:color="auto"/>
      </w:divBdr>
    </w:div>
    <w:div w:id="708191876">
      <w:bodyDiv w:val="1"/>
      <w:marLeft w:val="0"/>
      <w:marRight w:val="0"/>
      <w:marTop w:val="0"/>
      <w:marBottom w:val="0"/>
      <w:divBdr>
        <w:top w:val="none" w:sz="0" w:space="0" w:color="auto"/>
        <w:left w:val="none" w:sz="0" w:space="0" w:color="auto"/>
        <w:bottom w:val="none" w:sz="0" w:space="0" w:color="auto"/>
        <w:right w:val="none" w:sz="0" w:space="0" w:color="auto"/>
      </w:divBdr>
    </w:div>
    <w:div w:id="711226240">
      <w:bodyDiv w:val="1"/>
      <w:marLeft w:val="0"/>
      <w:marRight w:val="0"/>
      <w:marTop w:val="0"/>
      <w:marBottom w:val="0"/>
      <w:divBdr>
        <w:top w:val="none" w:sz="0" w:space="0" w:color="auto"/>
        <w:left w:val="none" w:sz="0" w:space="0" w:color="auto"/>
        <w:bottom w:val="none" w:sz="0" w:space="0" w:color="auto"/>
        <w:right w:val="none" w:sz="0" w:space="0" w:color="auto"/>
      </w:divBdr>
    </w:div>
    <w:div w:id="717315107">
      <w:bodyDiv w:val="1"/>
      <w:marLeft w:val="0"/>
      <w:marRight w:val="0"/>
      <w:marTop w:val="0"/>
      <w:marBottom w:val="0"/>
      <w:divBdr>
        <w:top w:val="none" w:sz="0" w:space="0" w:color="auto"/>
        <w:left w:val="none" w:sz="0" w:space="0" w:color="auto"/>
        <w:bottom w:val="none" w:sz="0" w:space="0" w:color="auto"/>
        <w:right w:val="none" w:sz="0" w:space="0" w:color="auto"/>
      </w:divBdr>
    </w:div>
    <w:div w:id="753206307">
      <w:bodyDiv w:val="1"/>
      <w:marLeft w:val="0"/>
      <w:marRight w:val="0"/>
      <w:marTop w:val="0"/>
      <w:marBottom w:val="0"/>
      <w:divBdr>
        <w:top w:val="none" w:sz="0" w:space="0" w:color="auto"/>
        <w:left w:val="none" w:sz="0" w:space="0" w:color="auto"/>
        <w:bottom w:val="none" w:sz="0" w:space="0" w:color="auto"/>
        <w:right w:val="none" w:sz="0" w:space="0" w:color="auto"/>
      </w:divBdr>
    </w:div>
    <w:div w:id="770706912">
      <w:bodyDiv w:val="1"/>
      <w:marLeft w:val="0"/>
      <w:marRight w:val="0"/>
      <w:marTop w:val="0"/>
      <w:marBottom w:val="0"/>
      <w:divBdr>
        <w:top w:val="none" w:sz="0" w:space="0" w:color="auto"/>
        <w:left w:val="none" w:sz="0" w:space="0" w:color="auto"/>
        <w:bottom w:val="none" w:sz="0" w:space="0" w:color="auto"/>
        <w:right w:val="none" w:sz="0" w:space="0" w:color="auto"/>
      </w:divBdr>
    </w:div>
    <w:div w:id="775103956">
      <w:bodyDiv w:val="1"/>
      <w:marLeft w:val="0"/>
      <w:marRight w:val="0"/>
      <w:marTop w:val="0"/>
      <w:marBottom w:val="0"/>
      <w:divBdr>
        <w:top w:val="none" w:sz="0" w:space="0" w:color="auto"/>
        <w:left w:val="none" w:sz="0" w:space="0" w:color="auto"/>
        <w:bottom w:val="none" w:sz="0" w:space="0" w:color="auto"/>
        <w:right w:val="none" w:sz="0" w:space="0" w:color="auto"/>
      </w:divBdr>
    </w:div>
    <w:div w:id="800924627">
      <w:bodyDiv w:val="1"/>
      <w:marLeft w:val="0"/>
      <w:marRight w:val="0"/>
      <w:marTop w:val="0"/>
      <w:marBottom w:val="0"/>
      <w:divBdr>
        <w:top w:val="none" w:sz="0" w:space="0" w:color="auto"/>
        <w:left w:val="none" w:sz="0" w:space="0" w:color="auto"/>
        <w:bottom w:val="none" w:sz="0" w:space="0" w:color="auto"/>
        <w:right w:val="none" w:sz="0" w:space="0" w:color="auto"/>
      </w:divBdr>
    </w:div>
    <w:div w:id="808859145">
      <w:bodyDiv w:val="1"/>
      <w:marLeft w:val="0"/>
      <w:marRight w:val="0"/>
      <w:marTop w:val="0"/>
      <w:marBottom w:val="0"/>
      <w:divBdr>
        <w:top w:val="none" w:sz="0" w:space="0" w:color="auto"/>
        <w:left w:val="none" w:sz="0" w:space="0" w:color="auto"/>
        <w:bottom w:val="none" w:sz="0" w:space="0" w:color="auto"/>
        <w:right w:val="none" w:sz="0" w:space="0" w:color="auto"/>
      </w:divBdr>
    </w:div>
    <w:div w:id="828912121">
      <w:bodyDiv w:val="1"/>
      <w:marLeft w:val="0"/>
      <w:marRight w:val="0"/>
      <w:marTop w:val="0"/>
      <w:marBottom w:val="0"/>
      <w:divBdr>
        <w:top w:val="none" w:sz="0" w:space="0" w:color="auto"/>
        <w:left w:val="none" w:sz="0" w:space="0" w:color="auto"/>
        <w:bottom w:val="none" w:sz="0" w:space="0" w:color="auto"/>
        <w:right w:val="none" w:sz="0" w:space="0" w:color="auto"/>
      </w:divBdr>
    </w:div>
    <w:div w:id="872615621">
      <w:bodyDiv w:val="1"/>
      <w:marLeft w:val="0"/>
      <w:marRight w:val="0"/>
      <w:marTop w:val="0"/>
      <w:marBottom w:val="0"/>
      <w:divBdr>
        <w:top w:val="none" w:sz="0" w:space="0" w:color="auto"/>
        <w:left w:val="none" w:sz="0" w:space="0" w:color="auto"/>
        <w:bottom w:val="none" w:sz="0" w:space="0" w:color="auto"/>
        <w:right w:val="none" w:sz="0" w:space="0" w:color="auto"/>
      </w:divBdr>
      <w:divsChild>
        <w:div w:id="1284114200">
          <w:marLeft w:val="0"/>
          <w:marRight w:val="0"/>
          <w:marTop w:val="0"/>
          <w:marBottom w:val="0"/>
          <w:divBdr>
            <w:top w:val="none" w:sz="0" w:space="0" w:color="auto"/>
            <w:left w:val="none" w:sz="0" w:space="0" w:color="auto"/>
            <w:bottom w:val="none" w:sz="0" w:space="0" w:color="auto"/>
            <w:right w:val="none" w:sz="0" w:space="0" w:color="auto"/>
          </w:divBdr>
        </w:div>
        <w:div w:id="480004763">
          <w:marLeft w:val="0"/>
          <w:marRight w:val="0"/>
          <w:marTop w:val="0"/>
          <w:marBottom w:val="0"/>
          <w:divBdr>
            <w:top w:val="none" w:sz="0" w:space="0" w:color="auto"/>
            <w:left w:val="none" w:sz="0" w:space="0" w:color="auto"/>
            <w:bottom w:val="none" w:sz="0" w:space="0" w:color="auto"/>
            <w:right w:val="none" w:sz="0" w:space="0" w:color="auto"/>
          </w:divBdr>
        </w:div>
        <w:div w:id="1007561678">
          <w:marLeft w:val="0"/>
          <w:marRight w:val="0"/>
          <w:marTop w:val="0"/>
          <w:marBottom w:val="0"/>
          <w:divBdr>
            <w:top w:val="none" w:sz="0" w:space="0" w:color="auto"/>
            <w:left w:val="none" w:sz="0" w:space="0" w:color="auto"/>
            <w:bottom w:val="none" w:sz="0" w:space="0" w:color="auto"/>
            <w:right w:val="none" w:sz="0" w:space="0" w:color="auto"/>
          </w:divBdr>
        </w:div>
        <w:div w:id="418715349">
          <w:marLeft w:val="0"/>
          <w:marRight w:val="0"/>
          <w:marTop w:val="0"/>
          <w:marBottom w:val="0"/>
          <w:divBdr>
            <w:top w:val="none" w:sz="0" w:space="0" w:color="auto"/>
            <w:left w:val="none" w:sz="0" w:space="0" w:color="auto"/>
            <w:bottom w:val="none" w:sz="0" w:space="0" w:color="auto"/>
            <w:right w:val="none" w:sz="0" w:space="0" w:color="auto"/>
          </w:divBdr>
        </w:div>
        <w:div w:id="2041590464">
          <w:marLeft w:val="0"/>
          <w:marRight w:val="0"/>
          <w:marTop w:val="0"/>
          <w:marBottom w:val="0"/>
          <w:divBdr>
            <w:top w:val="none" w:sz="0" w:space="0" w:color="auto"/>
            <w:left w:val="none" w:sz="0" w:space="0" w:color="auto"/>
            <w:bottom w:val="none" w:sz="0" w:space="0" w:color="auto"/>
            <w:right w:val="none" w:sz="0" w:space="0" w:color="auto"/>
          </w:divBdr>
        </w:div>
        <w:div w:id="2068872884">
          <w:marLeft w:val="0"/>
          <w:marRight w:val="0"/>
          <w:marTop w:val="0"/>
          <w:marBottom w:val="0"/>
          <w:divBdr>
            <w:top w:val="none" w:sz="0" w:space="0" w:color="auto"/>
            <w:left w:val="none" w:sz="0" w:space="0" w:color="auto"/>
            <w:bottom w:val="none" w:sz="0" w:space="0" w:color="auto"/>
            <w:right w:val="none" w:sz="0" w:space="0" w:color="auto"/>
          </w:divBdr>
        </w:div>
        <w:div w:id="1956982648">
          <w:marLeft w:val="0"/>
          <w:marRight w:val="0"/>
          <w:marTop w:val="0"/>
          <w:marBottom w:val="0"/>
          <w:divBdr>
            <w:top w:val="none" w:sz="0" w:space="0" w:color="auto"/>
            <w:left w:val="none" w:sz="0" w:space="0" w:color="auto"/>
            <w:bottom w:val="none" w:sz="0" w:space="0" w:color="auto"/>
            <w:right w:val="none" w:sz="0" w:space="0" w:color="auto"/>
          </w:divBdr>
        </w:div>
        <w:div w:id="496381657">
          <w:marLeft w:val="0"/>
          <w:marRight w:val="0"/>
          <w:marTop w:val="0"/>
          <w:marBottom w:val="0"/>
          <w:divBdr>
            <w:top w:val="none" w:sz="0" w:space="0" w:color="auto"/>
            <w:left w:val="none" w:sz="0" w:space="0" w:color="auto"/>
            <w:bottom w:val="none" w:sz="0" w:space="0" w:color="auto"/>
            <w:right w:val="none" w:sz="0" w:space="0" w:color="auto"/>
          </w:divBdr>
        </w:div>
        <w:div w:id="1136338928">
          <w:marLeft w:val="0"/>
          <w:marRight w:val="0"/>
          <w:marTop w:val="0"/>
          <w:marBottom w:val="0"/>
          <w:divBdr>
            <w:top w:val="none" w:sz="0" w:space="0" w:color="auto"/>
            <w:left w:val="none" w:sz="0" w:space="0" w:color="auto"/>
            <w:bottom w:val="none" w:sz="0" w:space="0" w:color="auto"/>
            <w:right w:val="none" w:sz="0" w:space="0" w:color="auto"/>
          </w:divBdr>
        </w:div>
        <w:div w:id="644898709">
          <w:marLeft w:val="0"/>
          <w:marRight w:val="0"/>
          <w:marTop w:val="0"/>
          <w:marBottom w:val="0"/>
          <w:divBdr>
            <w:top w:val="none" w:sz="0" w:space="0" w:color="auto"/>
            <w:left w:val="none" w:sz="0" w:space="0" w:color="auto"/>
            <w:bottom w:val="none" w:sz="0" w:space="0" w:color="auto"/>
            <w:right w:val="none" w:sz="0" w:space="0" w:color="auto"/>
          </w:divBdr>
        </w:div>
        <w:div w:id="2034574833">
          <w:marLeft w:val="0"/>
          <w:marRight w:val="0"/>
          <w:marTop w:val="0"/>
          <w:marBottom w:val="0"/>
          <w:divBdr>
            <w:top w:val="none" w:sz="0" w:space="0" w:color="auto"/>
            <w:left w:val="none" w:sz="0" w:space="0" w:color="auto"/>
            <w:bottom w:val="none" w:sz="0" w:space="0" w:color="auto"/>
            <w:right w:val="none" w:sz="0" w:space="0" w:color="auto"/>
          </w:divBdr>
        </w:div>
        <w:div w:id="604506741">
          <w:marLeft w:val="0"/>
          <w:marRight w:val="0"/>
          <w:marTop w:val="0"/>
          <w:marBottom w:val="0"/>
          <w:divBdr>
            <w:top w:val="none" w:sz="0" w:space="0" w:color="auto"/>
            <w:left w:val="none" w:sz="0" w:space="0" w:color="auto"/>
            <w:bottom w:val="none" w:sz="0" w:space="0" w:color="auto"/>
            <w:right w:val="none" w:sz="0" w:space="0" w:color="auto"/>
          </w:divBdr>
        </w:div>
        <w:div w:id="883761344">
          <w:marLeft w:val="0"/>
          <w:marRight w:val="0"/>
          <w:marTop w:val="0"/>
          <w:marBottom w:val="0"/>
          <w:divBdr>
            <w:top w:val="none" w:sz="0" w:space="0" w:color="auto"/>
            <w:left w:val="none" w:sz="0" w:space="0" w:color="auto"/>
            <w:bottom w:val="none" w:sz="0" w:space="0" w:color="auto"/>
            <w:right w:val="none" w:sz="0" w:space="0" w:color="auto"/>
          </w:divBdr>
        </w:div>
        <w:div w:id="1846018543">
          <w:marLeft w:val="0"/>
          <w:marRight w:val="0"/>
          <w:marTop w:val="0"/>
          <w:marBottom w:val="0"/>
          <w:divBdr>
            <w:top w:val="none" w:sz="0" w:space="0" w:color="auto"/>
            <w:left w:val="none" w:sz="0" w:space="0" w:color="auto"/>
            <w:bottom w:val="none" w:sz="0" w:space="0" w:color="auto"/>
            <w:right w:val="none" w:sz="0" w:space="0" w:color="auto"/>
          </w:divBdr>
        </w:div>
        <w:div w:id="728383471">
          <w:marLeft w:val="0"/>
          <w:marRight w:val="0"/>
          <w:marTop w:val="0"/>
          <w:marBottom w:val="0"/>
          <w:divBdr>
            <w:top w:val="none" w:sz="0" w:space="0" w:color="auto"/>
            <w:left w:val="none" w:sz="0" w:space="0" w:color="auto"/>
            <w:bottom w:val="none" w:sz="0" w:space="0" w:color="auto"/>
            <w:right w:val="none" w:sz="0" w:space="0" w:color="auto"/>
          </w:divBdr>
        </w:div>
        <w:div w:id="1309093281">
          <w:marLeft w:val="0"/>
          <w:marRight w:val="0"/>
          <w:marTop w:val="0"/>
          <w:marBottom w:val="0"/>
          <w:divBdr>
            <w:top w:val="none" w:sz="0" w:space="0" w:color="auto"/>
            <w:left w:val="none" w:sz="0" w:space="0" w:color="auto"/>
            <w:bottom w:val="none" w:sz="0" w:space="0" w:color="auto"/>
            <w:right w:val="none" w:sz="0" w:space="0" w:color="auto"/>
          </w:divBdr>
        </w:div>
        <w:div w:id="259485157">
          <w:marLeft w:val="0"/>
          <w:marRight w:val="0"/>
          <w:marTop w:val="0"/>
          <w:marBottom w:val="0"/>
          <w:divBdr>
            <w:top w:val="none" w:sz="0" w:space="0" w:color="auto"/>
            <w:left w:val="none" w:sz="0" w:space="0" w:color="auto"/>
            <w:bottom w:val="none" w:sz="0" w:space="0" w:color="auto"/>
            <w:right w:val="none" w:sz="0" w:space="0" w:color="auto"/>
          </w:divBdr>
        </w:div>
        <w:div w:id="620957350">
          <w:marLeft w:val="0"/>
          <w:marRight w:val="0"/>
          <w:marTop w:val="0"/>
          <w:marBottom w:val="0"/>
          <w:divBdr>
            <w:top w:val="none" w:sz="0" w:space="0" w:color="auto"/>
            <w:left w:val="none" w:sz="0" w:space="0" w:color="auto"/>
            <w:bottom w:val="none" w:sz="0" w:space="0" w:color="auto"/>
            <w:right w:val="none" w:sz="0" w:space="0" w:color="auto"/>
          </w:divBdr>
        </w:div>
        <w:div w:id="143352668">
          <w:marLeft w:val="0"/>
          <w:marRight w:val="0"/>
          <w:marTop w:val="0"/>
          <w:marBottom w:val="0"/>
          <w:divBdr>
            <w:top w:val="none" w:sz="0" w:space="0" w:color="auto"/>
            <w:left w:val="none" w:sz="0" w:space="0" w:color="auto"/>
            <w:bottom w:val="none" w:sz="0" w:space="0" w:color="auto"/>
            <w:right w:val="none" w:sz="0" w:space="0" w:color="auto"/>
          </w:divBdr>
        </w:div>
        <w:div w:id="1567957214">
          <w:marLeft w:val="0"/>
          <w:marRight w:val="0"/>
          <w:marTop w:val="0"/>
          <w:marBottom w:val="0"/>
          <w:divBdr>
            <w:top w:val="none" w:sz="0" w:space="0" w:color="auto"/>
            <w:left w:val="none" w:sz="0" w:space="0" w:color="auto"/>
            <w:bottom w:val="none" w:sz="0" w:space="0" w:color="auto"/>
            <w:right w:val="none" w:sz="0" w:space="0" w:color="auto"/>
          </w:divBdr>
        </w:div>
        <w:div w:id="1710374814">
          <w:marLeft w:val="0"/>
          <w:marRight w:val="0"/>
          <w:marTop w:val="0"/>
          <w:marBottom w:val="0"/>
          <w:divBdr>
            <w:top w:val="none" w:sz="0" w:space="0" w:color="auto"/>
            <w:left w:val="none" w:sz="0" w:space="0" w:color="auto"/>
            <w:bottom w:val="none" w:sz="0" w:space="0" w:color="auto"/>
            <w:right w:val="none" w:sz="0" w:space="0" w:color="auto"/>
          </w:divBdr>
        </w:div>
        <w:div w:id="459345140">
          <w:marLeft w:val="0"/>
          <w:marRight w:val="0"/>
          <w:marTop w:val="0"/>
          <w:marBottom w:val="0"/>
          <w:divBdr>
            <w:top w:val="none" w:sz="0" w:space="0" w:color="auto"/>
            <w:left w:val="none" w:sz="0" w:space="0" w:color="auto"/>
            <w:bottom w:val="none" w:sz="0" w:space="0" w:color="auto"/>
            <w:right w:val="none" w:sz="0" w:space="0" w:color="auto"/>
          </w:divBdr>
        </w:div>
        <w:div w:id="2004888808">
          <w:marLeft w:val="0"/>
          <w:marRight w:val="0"/>
          <w:marTop w:val="0"/>
          <w:marBottom w:val="0"/>
          <w:divBdr>
            <w:top w:val="none" w:sz="0" w:space="0" w:color="auto"/>
            <w:left w:val="none" w:sz="0" w:space="0" w:color="auto"/>
            <w:bottom w:val="none" w:sz="0" w:space="0" w:color="auto"/>
            <w:right w:val="none" w:sz="0" w:space="0" w:color="auto"/>
          </w:divBdr>
        </w:div>
        <w:div w:id="1643462965">
          <w:marLeft w:val="0"/>
          <w:marRight w:val="0"/>
          <w:marTop w:val="0"/>
          <w:marBottom w:val="0"/>
          <w:divBdr>
            <w:top w:val="none" w:sz="0" w:space="0" w:color="auto"/>
            <w:left w:val="none" w:sz="0" w:space="0" w:color="auto"/>
            <w:bottom w:val="none" w:sz="0" w:space="0" w:color="auto"/>
            <w:right w:val="none" w:sz="0" w:space="0" w:color="auto"/>
          </w:divBdr>
        </w:div>
        <w:div w:id="576063526">
          <w:marLeft w:val="0"/>
          <w:marRight w:val="0"/>
          <w:marTop w:val="0"/>
          <w:marBottom w:val="0"/>
          <w:divBdr>
            <w:top w:val="none" w:sz="0" w:space="0" w:color="auto"/>
            <w:left w:val="none" w:sz="0" w:space="0" w:color="auto"/>
            <w:bottom w:val="none" w:sz="0" w:space="0" w:color="auto"/>
            <w:right w:val="none" w:sz="0" w:space="0" w:color="auto"/>
          </w:divBdr>
        </w:div>
        <w:div w:id="330379536">
          <w:marLeft w:val="0"/>
          <w:marRight w:val="0"/>
          <w:marTop w:val="0"/>
          <w:marBottom w:val="0"/>
          <w:divBdr>
            <w:top w:val="none" w:sz="0" w:space="0" w:color="auto"/>
            <w:left w:val="none" w:sz="0" w:space="0" w:color="auto"/>
            <w:bottom w:val="none" w:sz="0" w:space="0" w:color="auto"/>
            <w:right w:val="none" w:sz="0" w:space="0" w:color="auto"/>
          </w:divBdr>
        </w:div>
        <w:div w:id="1133518453">
          <w:marLeft w:val="0"/>
          <w:marRight w:val="0"/>
          <w:marTop w:val="0"/>
          <w:marBottom w:val="0"/>
          <w:divBdr>
            <w:top w:val="none" w:sz="0" w:space="0" w:color="auto"/>
            <w:left w:val="none" w:sz="0" w:space="0" w:color="auto"/>
            <w:bottom w:val="none" w:sz="0" w:space="0" w:color="auto"/>
            <w:right w:val="none" w:sz="0" w:space="0" w:color="auto"/>
          </w:divBdr>
        </w:div>
        <w:div w:id="146478558">
          <w:marLeft w:val="0"/>
          <w:marRight w:val="0"/>
          <w:marTop w:val="0"/>
          <w:marBottom w:val="0"/>
          <w:divBdr>
            <w:top w:val="none" w:sz="0" w:space="0" w:color="auto"/>
            <w:left w:val="none" w:sz="0" w:space="0" w:color="auto"/>
            <w:bottom w:val="none" w:sz="0" w:space="0" w:color="auto"/>
            <w:right w:val="none" w:sz="0" w:space="0" w:color="auto"/>
          </w:divBdr>
        </w:div>
        <w:div w:id="650451210">
          <w:marLeft w:val="0"/>
          <w:marRight w:val="0"/>
          <w:marTop w:val="0"/>
          <w:marBottom w:val="0"/>
          <w:divBdr>
            <w:top w:val="none" w:sz="0" w:space="0" w:color="auto"/>
            <w:left w:val="none" w:sz="0" w:space="0" w:color="auto"/>
            <w:bottom w:val="none" w:sz="0" w:space="0" w:color="auto"/>
            <w:right w:val="none" w:sz="0" w:space="0" w:color="auto"/>
          </w:divBdr>
        </w:div>
        <w:div w:id="343097933">
          <w:marLeft w:val="0"/>
          <w:marRight w:val="0"/>
          <w:marTop w:val="0"/>
          <w:marBottom w:val="0"/>
          <w:divBdr>
            <w:top w:val="none" w:sz="0" w:space="0" w:color="auto"/>
            <w:left w:val="none" w:sz="0" w:space="0" w:color="auto"/>
            <w:bottom w:val="none" w:sz="0" w:space="0" w:color="auto"/>
            <w:right w:val="none" w:sz="0" w:space="0" w:color="auto"/>
          </w:divBdr>
        </w:div>
        <w:div w:id="263922204">
          <w:marLeft w:val="0"/>
          <w:marRight w:val="0"/>
          <w:marTop w:val="0"/>
          <w:marBottom w:val="0"/>
          <w:divBdr>
            <w:top w:val="none" w:sz="0" w:space="0" w:color="auto"/>
            <w:left w:val="none" w:sz="0" w:space="0" w:color="auto"/>
            <w:bottom w:val="none" w:sz="0" w:space="0" w:color="auto"/>
            <w:right w:val="none" w:sz="0" w:space="0" w:color="auto"/>
          </w:divBdr>
        </w:div>
        <w:div w:id="737828581">
          <w:marLeft w:val="0"/>
          <w:marRight w:val="0"/>
          <w:marTop w:val="0"/>
          <w:marBottom w:val="0"/>
          <w:divBdr>
            <w:top w:val="none" w:sz="0" w:space="0" w:color="auto"/>
            <w:left w:val="none" w:sz="0" w:space="0" w:color="auto"/>
            <w:bottom w:val="none" w:sz="0" w:space="0" w:color="auto"/>
            <w:right w:val="none" w:sz="0" w:space="0" w:color="auto"/>
          </w:divBdr>
        </w:div>
        <w:div w:id="712073987">
          <w:marLeft w:val="0"/>
          <w:marRight w:val="0"/>
          <w:marTop w:val="0"/>
          <w:marBottom w:val="0"/>
          <w:divBdr>
            <w:top w:val="none" w:sz="0" w:space="0" w:color="auto"/>
            <w:left w:val="none" w:sz="0" w:space="0" w:color="auto"/>
            <w:bottom w:val="none" w:sz="0" w:space="0" w:color="auto"/>
            <w:right w:val="none" w:sz="0" w:space="0" w:color="auto"/>
          </w:divBdr>
        </w:div>
        <w:div w:id="354038292">
          <w:marLeft w:val="0"/>
          <w:marRight w:val="0"/>
          <w:marTop w:val="0"/>
          <w:marBottom w:val="0"/>
          <w:divBdr>
            <w:top w:val="none" w:sz="0" w:space="0" w:color="auto"/>
            <w:left w:val="none" w:sz="0" w:space="0" w:color="auto"/>
            <w:bottom w:val="none" w:sz="0" w:space="0" w:color="auto"/>
            <w:right w:val="none" w:sz="0" w:space="0" w:color="auto"/>
          </w:divBdr>
        </w:div>
      </w:divsChild>
    </w:div>
    <w:div w:id="904099391">
      <w:bodyDiv w:val="1"/>
      <w:marLeft w:val="0"/>
      <w:marRight w:val="0"/>
      <w:marTop w:val="0"/>
      <w:marBottom w:val="0"/>
      <w:divBdr>
        <w:top w:val="none" w:sz="0" w:space="0" w:color="auto"/>
        <w:left w:val="none" w:sz="0" w:space="0" w:color="auto"/>
        <w:bottom w:val="none" w:sz="0" w:space="0" w:color="auto"/>
        <w:right w:val="none" w:sz="0" w:space="0" w:color="auto"/>
      </w:divBdr>
    </w:div>
    <w:div w:id="972714682">
      <w:bodyDiv w:val="1"/>
      <w:marLeft w:val="0"/>
      <w:marRight w:val="0"/>
      <w:marTop w:val="0"/>
      <w:marBottom w:val="0"/>
      <w:divBdr>
        <w:top w:val="none" w:sz="0" w:space="0" w:color="auto"/>
        <w:left w:val="none" w:sz="0" w:space="0" w:color="auto"/>
        <w:bottom w:val="none" w:sz="0" w:space="0" w:color="auto"/>
        <w:right w:val="none" w:sz="0" w:space="0" w:color="auto"/>
      </w:divBdr>
    </w:div>
    <w:div w:id="981890219">
      <w:bodyDiv w:val="1"/>
      <w:marLeft w:val="0"/>
      <w:marRight w:val="0"/>
      <w:marTop w:val="0"/>
      <w:marBottom w:val="0"/>
      <w:divBdr>
        <w:top w:val="none" w:sz="0" w:space="0" w:color="auto"/>
        <w:left w:val="none" w:sz="0" w:space="0" w:color="auto"/>
        <w:bottom w:val="none" w:sz="0" w:space="0" w:color="auto"/>
        <w:right w:val="none" w:sz="0" w:space="0" w:color="auto"/>
      </w:divBdr>
    </w:div>
    <w:div w:id="991568101">
      <w:bodyDiv w:val="1"/>
      <w:marLeft w:val="0"/>
      <w:marRight w:val="0"/>
      <w:marTop w:val="0"/>
      <w:marBottom w:val="0"/>
      <w:divBdr>
        <w:top w:val="none" w:sz="0" w:space="0" w:color="auto"/>
        <w:left w:val="none" w:sz="0" w:space="0" w:color="auto"/>
        <w:bottom w:val="none" w:sz="0" w:space="0" w:color="auto"/>
        <w:right w:val="none" w:sz="0" w:space="0" w:color="auto"/>
      </w:divBdr>
    </w:div>
    <w:div w:id="1024329983">
      <w:bodyDiv w:val="1"/>
      <w:marLeft w:val="0"/>
      <w:marRight w:val="0"/>
      <w:marTop w:val="0"/>
      <w:marBottom w:val="0"/>
      <w:divBdr>
        <w:top w:val="none" w:sz="0" w:space="0" w:color="auto"/>
        <w:left w:val="none" w:sz="0" w:space="0" w:color="auto"/>
        <w:bottom w:val="none" w:sz="0" w:space="0" w:color="auto"/>
        <w:right w:val="none" w:sz="0" w:space="0" w:color="auto"/>
      </w:divBdr>
    </w:div>
    <w:div w:id="1041781381">
      <w:bodyDiv w:val="1"/>
      <w:marLeft w:val="0"/>
      <w:marRight w:val="0"/>
      <w:marTop w:val="0"/>
      <w:marBottom w:val="0"/>
      <w:divBdr>
        <w:top w:val="none" w:sz="0" w:space="0" w:color="auto"/>
        <w:left w:val="none" w:sz="0" w:space="0" w:color="auto"/>
        <w:bottom w:val="none" w:sz="0" w:space="0" w:color="auto"/>
        <w:right w:val="none" w:sz="0" w:space="0" w:color="auto"/>
      </w:divBdr>
    </w:div>
    <w:div w:id="1051031676">
      <w:bodyDiv w:val="1"/>
      <w:marLeft w:val="0"/>
      <w:marRight w:val="0"/>
      <w:marTop w:val="0"/>
      <w:marBottom w:val="0"/>
      <w:divBdr>
        <w:top w:val="none" w:sz="0" w:space="0" w:color="auto"/>
        <w:left w:val="none" w:sz="0" w:space="0" w:color="auto"/>
        <w:bottom w:val="none" w:sz="0" w:space="0" w:color="auto"/>
        <w:right w:val="none" w:sz="0" w:space="0" w:color="auto"/>
      </w:divBdr>
    </w:div>
    <w:div w:id="1052535991">
      <w:bodyDiv w:val="1"/>
      <w:marLeft w:val="0"/>
      <w:marRight w:val="0"/>
      <w:marTop w:val="0"/>
      <w:marBottom w:val="0"/>
      <w:divBdr>
        <w:top w:val="none" w:sz="0" w:space="0" w:color="auto"/>
        <w:left w:val="none" w:sz="0" w:space="0" w:color="auto"/>
        <w:bottom w:val="none" w:sz="0" w:space="0" w:color="auto"/>
        <w:right w:val="none" w:sz="0" w:space="0" w:color="auto"/>
      </w:divBdr>
    </w:div>
    <w:div w:id="1072314180">
      <w:bodyDiv w:val="1"/>
      <w:marLeft w:val="0"/>
      <w:marRight w:val="0"/>
      <w:marTop w:val="0"/>
      <w:marBottom w:val="0"/>
      <w:divBdr>
        <w:top w:val="none" w:sz="0" w:space="0" w:color="auto"/>
        <w:left w:val="none" w:sz="0" w:space="0" w:color="auto"/>
        <w:bottom w:val="none" w:sz="0" w:space="0" w:color="auto"/>
        <w:right w:val="none" w:sz="0" w:space="0" w:color="auto"/>
      </w:divBdr>
    </w:div>
    <w:div w:id="1100102551">
      <w:bodyDiv w:val="1"/>
      <w:marLeft w:val="0"/>
      <w:marRight w:val="0"/>
      <w:marTop w:val="0"/>
      <w:marBottom w:val="0"/>
      <w:divBdr>
        <w:top w:val="none" w:sz="0" w:space="0" w:color="auto"/>
        <w:left w:val="none" w:sz="0" w:space="0" w:color="auto"/>
        <w:bottom w:val="none" w:sz="0" w:space="0" w:color="auto"/>
        <w:right w:val="none" w:sz="0" w:space="0" w:color="auto"/>
      </w:divBdr>
    </w:div>
    <w:div w:id="1118842356">
      <w:bodyDiv w:val="1"/>
      <w:marLeft w:val="0"/>
      <w:marRight w:val="0"/>
      <w:marTop w:val="0"/>
      <w:marBottom w:val="0"/>
      <w:divBdr>
        <w:top w:val="none" w:sz="0" w:space="0" w:color="auto"/>
        <w:left w:val="none" w:sz="0" w:space="0" w:color="auto"/>
        <w:bottom w:val="none" w:sz="0" w:space="0" w:color="auto"/>
        <w:right w:val="none" w:sz="0" w:space="0" w:color="auto"/>
      </w:divBdr>
    </w:div>
    <w:div w:id="1132404774">
      <w:bodyDiv w:val="1"/>
      <w:marLeft w:val="0"/>
      <w:marRight w:val="0"/>
      <w:marTop w:val="0"/>
      <w:marBottom w:val="0"/>
      <w:divBdr>
        <w:top w:val="none" w:sz="0" w:space="0" w:color="auto"/>
        <w:left w:val="none" w:sz="0" w:space="0" w:color="auto"/>
        <w:bottom w:val="none" w:sz="0" w:space="0" w:color="auto"/>
        <w:right w:val="none" w:sz="0" w:space="0" w:color="auto"/>
      </w:divBdr>
    </w:div>
    <w:div w:id="1172918214">
      <w:bodyDiv w:val="1"/>
      <w:marLeft w:val="0"/>
      <w:marRight w:val="0"/>
      <w:marTop w:val="0"/>
      <w:marBottom w:val="0"/>
      <w:divBdr>
        <w:top w:val="none" w:sz="0" w:space="0" w:color="auto"/>
        <w:left w:val="none" w:sz="0" w:space="0" w:color="auto"/>
        <w:bottom w:val="none" w:sz="0" w:space="0" w:color="auto"/>
        <w:right w:val="none" w:sz="0" w:space="0" w:color="auto"/>
      </w:divBdr>
    </w:div>
    <w:div w:id="1211841128">
      <w:bodyDiv w:val="1"/>
      <w:marLeft w:val="0"/>
      <w:marRight w:val="0"/>
      <w:marTop w:val="0"/>
      <w:marBottom w:val="0"/>
      <w:divBdr>
        <w:top w:val="none" w:sz="0" w:space="0" w:color="auto"/>
        <w:left w:val="none" w:sz="0" w:space="0" w:color="auto"/>
        <w:bottom w:val="none" w:sz="0" w:space="0" w:color="auto"/>
        <w:right w:val="none" w:sz="0" w:space="0" w:color="auto"/>
      </w:divBdr>
    </w:div>
    <w:div w:id="1217815133">
      <w:bodyDiv w:val="1"/>
      <w:marLeft w:val="0"/>
      <w:marRight w:val="0"/>
      <w:marTop w:val="0"/>
      <w:marBottom w:val="0"/>
      <w:divBdr>
        <w:top w:val="none" w:sz="0" w:space="0" w:color="auto"/>
        <w:left w:val="none" w:sz="0" w:space="0" w:color="auto"/>
        <w:bottom w:val="none" w:sz="0" w:space="0" w:color="auto"/>
        <w:right w:val="none" w:sz="0" w:space="0" w:color="auto"/>
      </w:divBdr>
    </w:div>
    <w:div w:id="1251887311">
      <w:bodyDiv w:val="1"/>
      <w:marLeft w:val="0"/>
      <w:marRight w:val="0"/>
      <w:marTop w:val="0"/>
      <w:marBottom w:val="0"/>
      <w:divBdr>
        <w:top w:val="none" w:sz="0" w:space="0" w:color="auto"/>
        <w:left w:val="none" w:sz="0" w:space="0" w:color="auto"/>
        <w:bottom w:val="none" w:sz="0" w:space="0" w:color="auto"/>
        <w:right w:val="none" w:sz="0" w:space="0" w:color="auto"/>
      </w:divBdr>
    </w:div>
    <w:div w:id="1254820552">
      <w:bodyDiv w:val="1"/>
      <w:marLeft w:val="0"/>
      <w:marRight w:val="0"/>
      <w:marTop w:val="0"/>
      <w:marBottom w:val="0"/>
      <w:divBdr>
        <w:top w:val="none" w:sz="0" w:space="0" w:color="auto"/>
        <w:left w:val="none" w:sz="0" w:space="0" w:color="auto"/>
        <w:bottom w:val="none" w:sz="0" w:space="0" w:color="auto"/>
        <w:right w:val="none" w:sz="0" w:space="0" w:color="auto"/>
      </w:divBdr>
    </w:div>
    <w:div w:id="1271472904">
      <w:bodyDiv w:val="1"/>
      <w:marLeft w:val="0"/>
      <w:marRight w:val="0"/>
      <w:marTop w:val="0"/>
      <w:marBottom w:val="0"/>
      <w:divBdr>
        <w:top w:val="none" w:sz="0" w:space="0" w:color="auto"/>
        <w:left w:val="none" w:sz="0" w:space="0" w:color="auto"/>
        <w:bottom w:val="none" w:sz="0" w:space="0" w:color="auto"/>
        <w:right w:val="none" w:sz="0" w:space="0" w:color="auto"/>
      </w:divBdr>
    </w:div>
    <w:div w:id="1283416337">
      <w:bodyDiv w:val="1"/>
      <w:marLeft w:val="0"/>
      <w:marRight w:val="0"/>
      <w:marTop w:val="0"/>
      <w:marBottom w:val="0"/>
      <w:divBdr>
        <w:top w:val="none" w:sz="0" w:space="0" w:color="auto"/>
        <w:left w:val="none" w:sz="0" w:space="0" w:color="auto"/>
        <w:bottom w:val="none" w:sz="0" w:space="0" w:color="auto"/>
        <w:right w:val="none" w:sz="0" w:space="0" w:color="auto"/>
      </w:divBdr>
    </w:div>
    <w:div w:id="1380863168">
      <w:bodyDiv w:val="1"/>
      <w:marLeft w:val="0"/>
      <w:marRight w:val="0"/>
      <w:marTop w:val="0"/>
      <w:marBottom w:val="0"/>
      <w:divBdr>
        <w:top w:val="none" w:sz="0" w:space="0" w:color="auto"/>
        <w:left w:val="none" w:sz="0" w:space="0" w:color="auto"/>
        <w:bottom w:val="none" w:sz="0" w:space="0" w:color="auto"/>
        <w:right w:val="none" w:sz="0" w:space="0" w:color="auto"/>
      </w:divBdr>
    </w:div>
    <w:div w:id="1411855079">
      <w:bodyDiv w:val="1"/>
      <w:marLeft w:val="0"/>
      <w:marRight w:val="0"/>
      <w:marTop w:val="0"/>
      <w:marBottom w:val="0"/>
      <w:divBdr>
        <w:top w:val="none" w:sz="0" w:space="0" w:color="auto"/>
        <w:left w:val="none" w:sz="0" w:space="0" w:color="auto"/>
        <w:bottom w:val="none" w:sz="0" w:space="0" w:color="auto"/>
        <w:right w:val="none" w:sz="0" w:space="0" w:color="auto"/>
      </w:divBdr>
    </w:div>
    <w:div w:id="1412582535">
      <w:bodyDiv w:val="1"/>
      <w:marLeft w:val="0"/>
      <w:marRight w:val="0"/>
      <w:marTop w:val="0"/>
      <w:marBottom w:val="0"/>
      <w:divBdr>
        <w:top w:val="none" w:sz="0" w:space="0" w:color="auto"/>
        <w:left w:val="none" w:sz="0" w:space="0" w:color="auto"/>
        <w:bottom w:val="none" w:sz="0" w:space="0" w:color="auto"/>
        <w:right w:val="none" w:sz="0" w:space="0" w:color="auto"/>
      </w:divBdr>
    </w:div>
    <w:div w:id="1428691670">
      <w:bodyDiv w:val="1"/>
      <w:marLeft w:val="0"/>
      <w:marRight w:val="0"/>
      <w:marTop w:val="0"/>
      <w:marBottom w:val="0"/>
      <w:divBdr>
        <w:top w:val="none" w:sz="0" w:space="0" w:color="auto"/>
        <w:left w:val="none" w:sz="0" w:space="0" w:color="auto"/>
        <w:bottom w:val="none" w:sz="0" w:space="0" w:color="auto"/>
        <w:right w:val="none" w:sz="0" w:space="0" w:color="auto"/>
      </w:divBdr>
    </w:div>
    <w:div w:id="1448157695">
      <w:bodyDiv w:val="1"/>
      <w:marLeft w:val="0"/>
      <w:marRight w:val="0"/>
      <w:marTop w:val="0"/>
      <w:marBottom w:val="0"/>
      <w:divBdr>
        <w:top w:val="none" w:sz="0" w:space="0" w:color="auto"/>
        <w:left w:val="none" w:sz="0" w:space="0" w:color="auto"/>
        <w:bottom w:val="none" w:sz="0" w:space="0" w:color="auto"/>
        <w:right w:val="none" w:sz="0" w:space="0" w:color="auto"/>
      </w:divBdr>
    </w:div>
    <w:div w:id="1454127849">
      <w:bodyDiv w:val="1"/>
      <w:marLeft w:val="0"/>
      <w:marRight w:val="0"/>
      <w:marTop w:val="0"/>
      <w:marBottom w:val="0"/>
      <w:divBdr>
        <w:top w:val="none" w:sz="0" w:space="0" w:color="auto"/>
        <w:left w:val="none" w:sz="0" w:space="0" w:color="auto"/>
        <w:bottom w:val="none" w:sz="0" w:space="0" w:color="auto"/>
        <w:right w:val="none" w:sz="0" w:space="0" w:color="auto"/>
      </w:divBdr>
    </w:div>
    <w:div w:id="1462336241">
      <w:bodyDiv w:val="1"/>
      <w:marLeft w:val="0"/>
      <w:marRight w:val="0"/>
      <w:marTop w:val="0"/>
      <w:marBottom w:val="0"/>
      <w:divBdr>
        <w:top w:val="none" w:sz="0" w:space="0" w:color="auto"/>
        <w:left w:val="none" w:sz="0" w:space="0" w:color="auto"/>
        <w:bottom w:val="none" w:sz="0" w:space="0" w:color="auto"/>
        <w:right w:val="none" w:sz="0" w:space="0" w:color="auto"/>
      </w:divBdr>
    </w:div>
    <w:div w:id="1485439296">
      <w:bodyDiv w:val="1"/>
      <w:marLeft w:val="0"/>
      <w:marRight w:val="0"/>
      <w:marTop w:val="0"/>
      <w:marBottom w:val="0"/>
      <w:divBdr>
        <w:top w:val="none" w:sz="0" w:space="0" w:color="auto"/>
        <w:left w:val="none" w:sz="0" w:space="0" w:color="auto"/>
        <w:bottom w:val="none" w:sz="0" w:space="0" w:color="auto"/>
        <w:right w:val="none" w:sz="0" w:space="0" w:color="auto"/>
      </w:divBdr>
    </w:div>
    <w:div w:id="1490487623">
      <w:bodyDiv w:val="1"/>
      <w:marLeft w:val="0"/>
      <w:marRight w:val="0"/>
      <w:marTop w:val="0"/>
      <w:marBottom w:val="0"/>
      <w:divBdr>
        <w:top w:val="none" w:sz="0" w:space="0" w:color="auto"/>
        <w:left w:val="none" w:sz="0" w:space="0" w:color="auto"/>
        <w:bottom w:val="none" w:sz="0" w:space="0" w:color="auto"/>
        <w:right w:val="none" w:sz="0" w:space="0" w:color="auto"/>
      </w:divBdr>
    </w:div>
    <w:div w:id="1525288544">
      <w:bodyDiv w:val="1"/>
      <w:marLeft w:val="0"/>
      <w:marRight w:val="0"/>
      <w:marTop w:val="0"/>
      <w:marBottom w:val="0"/>
      <w:divBdr>
        <w:top w:val="none" w:sz="0" w:space="0" w:color="auto"/>
        <w:left w:val="none" w:sz="0" w:space="0" w:color="auto"/>
        <w:bottom w:val="none" w:sz="0" w:space="0" w:color="auto"/>
        <w:right w:val="none" w:sz="0" w:space="0" w:color="auto"/>
      </w:divBdr>
      <w:divsChild>
        <w:div w:id="794786390">
          <w:marLeft w:val="0"/>
          <w:marRight w:val="0"/>
          <w:marTop w:val="0"/>
          <w:marBottom w:val="0"/>
          <w:divBdr>
            <w:top w:val="none" w:sz="0" w:space="0" w:color="auto"/>
            <w:left w:val="none" w:sz="0" w:space="0" w:color="auto"/>
            <w:bottom w:val="none" w:sz="0" w:space="0" w:color="auto"/>
            <w:right w:val="none" w:sz="0" w:space="0" w:color="auto"/>
          </w:divBdr>
        </w:div>
        <w:div w:id="885216064">
          <w:marLeft w:val="0"/>
          <w:marRight w:val="0"/>
          <w:marTop w:val="0"/>
          <w:marBottom w:val="0"/>
          <w:divBdr>
            <w:top w:val="none" w:sz="0" w:space="0" w:color="auto"/>
            <w:left w:val="none" w:sz="0" w:space="0" w:color="auto"/>
            <w:bottom w:val="none" w:sz="0" w:space="0" w:color="auto"/>
            <w:right w:val="none" w:sz="0" w:space="0" w:color="auto"/>
          </w:divBdr>
        </w:div>
        <w:div w:id="1363821674">
          <w:marLeft w:val="0"/>
          <w:marRight w:val="0"/>
          <w:marTop w:val="0"/>
          <w:marBottom w:val="0"/>
          <w:divBdr>
            <w:top w:val="none" w:sz="0" w:space="0" w:color="auto"/>
            <w:left w:val="none" w:sz="0" w:space="0" w:color="auto"/>
            <w:bottom w:val="none" w:sz="0" w:space="0" w:color="auto"/>
            <w:right w:val="none" w:sz="0" w:space="0" w:color="auto"/>
          </w:divBdr>
        </w:div>
        <w:div w:id="1482576304">
          <w:marLeft w:val="0"/>
          <w:marRight w:val="0"/>
          <w:marTop w:val="0"/>
          <w:marBottom w:val="0"/>
          <w:divBdr>
            <w:top w:val="none" w:sz="0" w:space="0" w:color="auto"/>
            <w:left w:val="none" w:sz="0" w:space="0" w:color="auto"/>
            <w:bottom w:val="none" w:sz="0" w:space="0" w:color="auto"/>
            <w:right w:val="none" w:sz="0" w:space="0" w:color="auto"/>
          </w:divBdr>
        </w:div>
      </w:divsChild>
    </w:div>
    <w:div w:id="1560245039">
      <w:bodyDiv w:val="1"/>
      <w:marLeft w:val="0"/>
      <w:marRight w:val="0"/>
      <w:marTop w:val="0"/>
      <w:marBottom w:val="0"/>
      <w:divBdr>
        <w:top w:val="none" w:sz="0" w:space="0" w:color="auto"/>
        <w:left w:val="none" w:sz="0" w:space="0" w:color="auto"/>
        <w:bottom w:val="none" w:sz="0" w:space="0" w:color="auto"/>
        <w:right w:val="none" w:sz="0" w:space="0" w:color="auto"/>
      </w:divBdr>
    </w:div>
    <w:div w:id="1564174730">
      <w:bodyDiv w:val="1"/>
      <w:marLeft w:val="0"/>
      <w:marRight w:val="0"/>
      <w:marTop w:val="0"/>
      <w:marBottom w:val="0"/>
      <w:divBdr>
        <w:top w:val="none" w:sz="0" w:space="0" w:color="auto"/>
        <w:left w:val="none" w:sz="0" w:space="0" w:color="auto"/>
        <w:bottom w:val="none" w:sz="0" w:space="0" w:color="auto"/>
        <w:right w:val="none" w:sz="0" w:space="0" w:color="auto"/>
      </w:divBdr>
    </w:div>
    <w:div w:id="1566985074">
      <w:bodyDiv w:val="1"/>
      <w:marLeft w:val="0"/>
      <w:marRight w:val="0"/>
      <w:marTop w:val="0"/>
      <w:marBottom w:val="0"/>
      <w:divBdr>
        <w:top w:val="none" w:sz="0" w:space="0" w:color="auto"/>
        <w:left w:val="none" w:sz="0" w:space="0" w:color="auto"/>
        <w:bottom w:val="none" w:sz="0" w:space="0" w:color="auto"/>
        <w:right w:val="none" w:sz="0" w:space="0" w:color="auto"/>
      </w:divBdr>
    </w:div>
    <w:div w:id="1575237161">
      <w:bodyDiv w:val="1"/>
      <w:marLeft w:val="0"/>
      <w:marRight w:val="0"/>
      <w:marTop w:val="0"/>
      <w:marBottom w:val="0"/>
      <w:divBdr>
        <w:top w:val="none" w:sz="0" w:space="0" w:color="auto"/>
        <w:left w:val="none" w:sz="0" w:space="0" w:color="auto"/>
        <w:bottom w:val="none" w:sz="0" w:space="0" w:color="auto"/>
        <w:right w:val="none" w:sz="0" w:space="0" w:color="auto"/>
      </w:divBdr>
    </w:div>
    <w:div w:id="1578586395">
      <w:bodyDiv w:val="1"/>
      <w:marLeft w:val="0"/>
      <w:marRight w:val="0"/>
      <w:marTop w:val="0"/>
      <w:marBottom w:val="0"/>
      <w:divBdr>
        <w:top w:val="none" w:sz="0" w:space="0" w:color="auto"/>
        <w:left w:val="none" w:sz="0" w:space="0" w:color="auto"/>
        <w:bottom w:val="none" w:sz="0" w:space="0" w:color="auto"/>
        <w:right w:val="none" w:sz="0" w:space="0" w:color="auto"/>
      </w:divBdr>
    </w:div>
    <w:div w:id="1635674157">
      <w:bodyDiv w:val="1"/>
      <w:marLeft w:val="0"/>
      <w:marRight w:val="0"/>
      <w:marTop w:val="0"/>
      <w:marBottom w:val="0"/>
      <w:divBdr>
        <w:top w:val="none" w:sz="0" w:space="0" w:color="auto"/>
        <w:left w:val="none" w:sz="0" w:space="0" w:color="auto"/>
        <w:bottom w:val="none" w:sz="0" w:space="0" w:color="auto"/>
        <w:right w:val="none" w:sz="0" w:space="0" w:color="auto"/>
      </w:divBdr>
    </w:div>
    <w:div w:id="1676764396">
      <w:bodyDiv w:val="1"/>
      <w:marLeft w:val="0"/>
      <w:marRight w:val="0"/>
      <w:marTop w:val="0"/>
      <w:marBottom w:val="0"/>
      <w:divBdr>
        <w:top w:val="none" w:sz="0" w:space="0" w:color="auto"/>
        <w:left w:val="none" w:sz="0" w:space="0" w:color="auto"/>
        <w:bottom w:val="none" w:sz="0" w:space="0" w:color="auto"/>
        <w:right w:val="none" w:sz="0" w:space="0" w:color="auto"/>
      </w:divBdr>
    </w:div>
    <w:div w:id="1724404231">
      <w:bodyDiv w:val="1"/>
      <w:marLeft w:val="0"/>
      <w:marRight w:val="0"/>
      <w:marTop w:val="0"/>
      <w:marBottom w:val="0"/>
      <w:divBdr>
        <w:top w:val="none" w:sz="0" w:space="0" w:color="auto"/>
        <w:left w:val="none" w:sz="0" w:space="0" w:color="auto"/>
        <w:bottom w:val="none" w:sz="0" w:space="0" w:color="auto"/>
        <w:right w:val="none" w:sz="0" w:space="0" w:color="auto"/>
      </w:divBdr>
    </w:div>
    <w:div w:id="1726249755">
      <w:bodyDiv w:val="1"/>
      <w:marLeft w:val="0"/>
      <w:marRight w:val="0"/>
      <w:marTop w:val="0"/>
      <w:marBottom w:val="0"/>
      <w:divBdr>
        <w:top w:val="none" w:sz="0" w:space="0" w:color="auto"/>
        <w:left w:val="none" w:sz="0" w:space="0" w:color="auto"/>
        <w:bottom w:val="none" w:sz="0" w:space="0" w:color="auto"/>
        <w:right w:val="none" w:sz="0" w:space="0" w:color="auto"/>
      </w:divBdr>
    </w:div>
    <w:div w:id="1808546161">
      <w:bodyDiv w:val="1"/>
      <w:marLeft w:val="0"/>
      <w:marRight w:val="0"/>
      <w:marTop w:val="0"/>
      <w:marBottom w:val="0"/>
      <w:divBdr>
        <w:top w:val="none" w:sz="0" w:space="0" w:color="auto"/>
        <w:left w:val="none" w:sz="0" w:space="0" w:color="auto"/>
        <w:bottom w:val="none" w:sz="0" w:space="0" w:color="auto"/>
        <w:right w:val="none" w:sz="0" w:space="0" w:color="auto"/>
      </w:divBdr>
    </w:div>
    <w:div w:id="1831673421">
      <w:bodyDiv w:val="1"/>
      <w:marLeft w:val="0"/>
      <w:marRight w:val="0"/>
      <w:marTop w:val="0"/>
      <w:marBottom w:val="0"/>
      <w:divBdr>
        <w:top w:val="none" w:sz="0" w:space="0" w:color="auto"/>
        <w:left w:val="none" w:sz="0" w:space="0" w:color="auto"/>
        <w:bottom w:val="none" w:sz="0" w:space="0" w:color="auto"/>
        <w:right w:val="none" w:sz="0" w:space="0" w:color="auto"/>
      </w:divBdr>
    </w:div>
    <w:div w:id="1832090800">
      <w:bodyDiv w:val="1"/>
      <w:marLeft w:val="0"/>
      <w:marRight w:val="0"/>
      <w:marTop w:val="0"/>
      <w:marBottom w:val="0"/>
      <w:divBdr>
        <w:top w:val="none" w:sz="0" w:space="0" w:color="auto"/>
        <w:left w:val="none" w:sz="0" w:space="0" w:color="auto"/>
        <w:bottom w:val="none" w:sz="0" w:space="0" w:color="auto"/>
        <w:right w:val="none" w:sz="0" w:space="0" w:color="auto"/>
      </w:divBdr>
    </w:div>
    <w:div w:id="1843736734">
      <w:bodyDiv w:val="1"/>
      <w:marLeft w:val="0"/>
      <w:marRight w:val="0"/>
      <w:marTop w:val="0"/>
      <w:marBottom w:val="0"/>
      <w:divBdr>
        <w:top w:val="none" w:sz="0" w:space="0" w:color="auto"/>
        <w:left w:val="none" w:sz="0" w:space="0" w:color="auto"/>
        <w:bottom w:val="none" w:sz="0" w:space="0" w:color="auto"/>
        <w:right w:val="none" w:sz="0" w:space="0" w:color="auto"/>
      </w:divBdr>
    </w:div>
    <w:div w:id="1843740561">
      <w:bodyDiv w:val="1"/>
      <w:marLeft w:val="0"/>
      <w:marRight w:val="0"/>
      <w:marTop w:val="0"/>
      <w:marBottom w:val="0"/>
      <w:divBdr>
        <w:top w:val="none" w:sz="0" w:space="0" w:color="auto"/>
        <w:left w:val="none" w:sz="0" w:space="0" w:color="auto"/>
        <w:bottom w:val="none" w:sz="0" w:space="0" w:color="auto"/>
        <w:right w:val="none" w:sz="0" w:space="0" w:color="auto"/>
      </w:divBdr>
    </w:div>
    <w:div w:id="1887133285">
      <w:bodyDiv w:val="1"/>
      <w:marLeft w:val="0"/>
      <w:marRight w:val="0"/>
      <w:marTop w:val="0"/>
      <w:marBottom w:val="0"/>
      <w:divBdr>
        <w:top w:val="none" w:sz="0" w:space="0" w:color="auto"/>
        <w:left w:val="none" w:sz="0" w:space="0" w:color="auto"/>
        <w:bottom w:val="none" w:sz="0" w:space="0" w:color="auto"/>
        <w:right w:val="none" w:sz="0" w:space="0" w:color="auto"/>
      </w:divBdr>
    </w:div>
    <w:div w:id="2065982872">
      <w:bodyDiv w:val="1"/>
      <w:marLeft w:val="0"/>
      <w:marRight w:val="0"/>
      <w:marTop w:val="0"/>
      <w:marBottom w:val="0"/>
      <w:divBdr>
        <w:top w:val="none" w:sz="0" w:space="0" w:color="auto"/>
        <w:left w:val="none" w:sz="0" w:space="0" w:color="auto"/>
        <w:bottom w:val="none" w:sz="0" w:space="0" w:color="auto"/>
        <w:right w:val="none" w:sz="0" w:space="0" w:color="auto"/>
      </w:divBdr>
    </w:div>
    <w:div w:id="2118404605">
      <w:bodyDiv w:val="1"/>
      <w:marLeft w:val="0"/>
      <w:marRight w:val="0"/>
      <w:marTop w:val="0"/>
      <w:marBottom w:val="0"/>
      <w:divBdr>
        <w:top w:val="none" w:sz="0" w:space="0" w:color="auto"/>
        <w:left w:val="none" w:sz="0" w:space="0" w:color="auto"/>
        <w:bottom w:val="none" w:sz="0" w:space="0" w:color="auto"/>
        <w:right w:val="none" w:sz="0" w:space="0" w:color="auto"/>
      </w:divBdr>
    </w:div>
    <w:div w:id="212834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estrategia.planejamento.rj.gov.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fazenda.rj.gov.br/icms/fecp/"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fazenda.sp.gov.br/fecoep/"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s>
</file>

<file path=word/_rels/footnotes.xml.rels><?xml version="1.0" encoding="UTF-8" standalone="yes"?>
<Relationships xmlns="http://schemas.openxmlformats.org/package/2006/relationships"><Relationship Id="rId1" Type="http://schemas.openxmlformats.org/officeDocument/2006/relationships/hyperlink" Target="https://www.alerj.rj.gov.br/Visualizar/Noticia/785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Modelos%20Personalizados%20do%20Office\MET.%20TCC%20TCU%20ISC.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74684-E62F-468E-8C63-EB20B137F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 TCC TCU ISC.dotx</Template>
  <TotalTime>0</TotalTime>
  <Pages>91</Pages>
  <Words>43281</Words>
  <Characters>233723</Characters>
  <Application>Microsoft Office Word</Application>
  <DocSecurity>0</DocSecurity>
  <Lines>1947</Lines>
  <Paragraphs>552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2025-10-02T13:35:00Z</cp:lastPrinted>
  <dcterms:created xsi:type="dcterms:W3CDTF">2026-02-24T03:04:00Z</dcterms:created>
  <dcterms:modified xsi:type="dcterms:W3CDTF">2026-02-24T03:04:00Z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id="HkB2EHmm"/&gt;&lt;style id="http://www.zotero.org/styles/associacao-brasileira-de-normas-tecnicas" hasBibliography="1" bibliographyStyleHasBeenSet="1"/&gt;&lt;prefs&gt;&lt;pref name="fieldType" value="Field"/&gt;&lt;/pr</vt:lpwstr>
  </property>
  <property fmtid="{D5CDD505-2E9C-101B-9397-08002B2CF9AE}" pid="3" name="ZOTERO_PREF_2">
    <vt:lpwstr>efs&gt;&lt;/data&gt;</vt:lpwstr>
  </property>
</Properties>
</file>