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AAB85" w14:textId="21C0D1EA" w:rsidR="00692CE5" w:rsidRPr="00144782" w:rsidRDefault="00144782" w:rsidP="00144782">
      <w:pPr>
        <w:pStyle w:val="CORPODOTEXTOABNT"/>
        <w:ind w:firstLine="0"/>
        <w:jc w:val="center"/>
        <w:rPr>
          <w:b/>
          <w:bCs/>
        </w:rPr>
      </w:pPr>
      <w:bookmarkStart w:id="0" w:name="_Hlk223983087"/>
      <w:r w:rsidRPr="00144782">
        <w:rPr>
          <w:b/>
          <w:bCs/>
        </w:rPr>
        <w:t>O PLANO MACROINSTITUCIONAL DA IMPLEMENTAÇÃO DO PROGRAMA MINHA CASA, MINHA VIDA: UMA ANÁLISE À LUZ DA ABORDAGEM DPP</w:t>
      </w:r>
    </w:p>
    <w:p w14:paraId="73A0D08D" w14:textId="7B6D952C" w:rsidR="00B92F99" w:rsidRPr="00144782" w:rsidRDefault="00B92F99" w:rsidP="00144782">
      <w:pPr>
        <w:spacing w:after="0" w:line="360" w:lineRule="auto"/>
        <w:rPr>
          <w:rFonts w:ascii="Times New Roman" w:hAnsi="Times New Roman" w:cs="Times New Roman"/>
          <w:sz w:val="24"/>
          <w:szCs w:val="24"/>
        </w:rPr>
      </w:pPr>
    </w:p>
    <w:p w14:paraId="3600C52D" w14:textId="51F287B2" w:rsidR="00B92F99" w:rsidRPr="00144782" w:rsidRDefault="00B92F99" w:rsidP="00144782">
      <w:pPr>
        <w:spacing w:after="0" w:line="360" w:lineRule="auto"/>
        <w:rPr>
          <w:rFonts w:ascii="Times New Roman" w:hAnsi="Times New Roman" w:cs="Times New Roman"/>
          <w:sz w:val="24"/>
          <w:szCs w:val="24"/>
        </w:rPr>
      </w:pPr>
      <w:r w:rsidRPr="00144782">
        <w:rPr>
          <w:rFonts w:ascii="Times New Roman" w:hAnsi="Times New Roman" w:cs="Times New Roman"/>
          <w:sz w:val="24"/>
          <w:szCs w:val="24"/>
        </w:rPr>
        <w:t xml:space="preserve">Eixo Temático: </w:t>
      </w:r>
      <w:r w:rsidRPr="00144782">
        <w:rPr>
          <w:rFonts w:ascii="Times New Roman" w:hAnsi="Times New Roman" w:cs="Times New Roman"/>
          <w:sz w:val="24"/>
          <w:szCs w:val="24"/>
        </w:rPr>
        <w:t>Políticas de Estado e de Governo</w:t>
      </w:r>
    </w:p>
    <w:p w14:paraId="604C9FBD" w14:textId="7698FAF6" w:rsidR="00E2315C" w:rsidRPr="00144782" w:rsidRDefault="00E2315C" w:rsidP="00144782">
      <w:pPr>
        <w:spacing w:after="0" w:line="360" w:lineRule="auto"/>
        <w:rPr>
          <w:rFonts w:ascii="Times New Roman" w:hAnsi="Times New Roman" w:cs="Times New Roman"/>
          <w:sz w:val="24"/>
          <w:szCs w:val="24"/>
        </w:rPr>
      </w:pPr>
    </w:p>
    <w:p w14:paraId="65E09F62" w14:textId="1F388C95" w:rsidR="00E2315C" w:rsidRPr="00144782" w:rsidRDefault="00E2315C" w:rsidP="00144782">
      <w:pPr>
        <w:spacing w:after="0" w:line="360" w:lineRule="auto"/>
        <w:rPr>
          <w:rFonts w:ascii="Times New Roman" w:hAnsi="Times New Roman" w:cs="Times New Roman"/>
          <w:b/>
          <w:bCs/>
          <w:sz w:val="24"/>
          <w:szCs w:val="24"/>
        </w:rPr>
      </w:pPr>
      <w:r w:rsidRPr="00144782">
        <w:rPr>
          <w:rFonts w:ascii="Times New Roman" w:hAnsi="Times New Roman" w:cs="Times New Roman"/>
          <w:b/>
          <w:bCs/>
          <w:sz w:val="24"/>
          <w:szCs w:val="24"/>
        </w:rPr>
        <w:t>Resumo</w:t>
      </w:r>
    </w:p>
    <w:p w14:paraId="4205E359" w14:textId="605E50CC" w:rsidR="00E2315C" w:rsidRPr="00144782" w:rsidRDefault="00E2315C" w:rsidP="00144782">
      <w:pPr>
        <w:pStyle w:val="NormalWeb"/>
        <w:spacing w:before="0" w:beforeAutospacing="0" w:after="0" w:afterAutospacing="0" w:line="360" w:lineRule="auto"/>
        <w:jc w:val="both"/>
      </w:pPr>
      <w:r w:rsidRPr="00144782">
        <w:t>O trabalho analisa o desenho jurídico-institucional do Programa Minha Casa, Minha Vida (PMCMV)</w:t>
      </w:r>
      <w:r w:rsidRPr="00144782">
        <w:t>,</w:t>
      </w:r>
      <w:r w:rsidRPr="00144782">
        <w:t xml:space="preserve"> a partir da abordagem Direito e Políticas Públicas (DPP)</w:t>
      </w:r>
      <w:r w:rsidRPr="00144782">
        <w:t xml:space="preserve">, com a finalidade específica de identificar os elementos que conformaram a </w:t>
      </w:r>
      <w:r w:rsidRPr="00144782">
        <w:t xml:space="preserve">decisão governamental que orientou a </w:t>
      </w:r>
      <w:r w:rsidRPr="00144782">
        <w:t xml:space="preserve">sua </w:t>
      </w:r>
      <w:r w:rsidRPr="00144782">
        <w:t>formulação</w:t>
      </w:r>
      <w:r w:rsidRPr="00144782">
        <w:t>,</w:t>
      </w:r>
      <w:r w:rsidRPr="00144782">
        <w:t xml:space="preserve"> no contexto político-institucional do </w:t>
      </w:r>
      <w:r w:rsidRPr="00144782">
        <w:t>Governo Lula 2 (2007-2011)</w:t>
      </w:r>
      <w:r w:rsidRPr="00144782">
        <w:t>.</w:t>
      </w:r>
      <w:r w:rsidRPr="00144782">
        <w:t xml:space="preserve"> </w:t>
      </w:r>
      <w:r w:rsidRPr="00144782">
        <w:t xml:space="preserve">Metodologicamente, a investigação examina o </w:t>
      </w:r>
      <w:r w:rsidR="004438B9" w:rsidRPr="00144782">
        <w:t>P</w:t>
      </w:r>
      <w:r w:rsidRPr="00144782">
        <w:t xml:space="preserve">rograma em sua dimensão macroinstitucional, mobilizando uma revisão interdisciplinar da literatura sobre políticas </w:t>
      </w:r>
      <w:r w:rsidR="004438B9" w:rsidRPr="00144782">
        <w:t xml:space="preserve">as </w:t>
      </w:r>
      <w:r w:rsidRPr="00144782">
        <w:t>habitacionais no Brasil. A análise articula duas perspectivas complementares: a intragovernamental, voltada à forma como o Estado organiza internamente seus recursos institucionais, burocráticos e jurídicos para responder a demandas sociais; e a extragovernamental, que observa as pressões exercidas pela sociedade civil, pelos movimentos sociais, pelo mercado e pelo cenário econômico mais amplo.</w:t>
      </w:r>
      <w:r w:rsidRPr="00144782">
        <w:t xml:space="preserve"> </w:t>
      </w:r>
      <w:r w:rsidRPr="00144782">
        <w:t>A partir dessas dimensões, o estudo aborda quatro eixos analíticos</w:t>
      </w:r>
      <w:r w:rsidRPr="00144782">
        <w:t>:</w:t>
      </w:r>
      <w:r w:rsidRPr="00144782">
        <w:t xml:space="preserve"> </w:t>
      </w:r>
      <w:r w:rsidRPr="00144782">
        <w:t>o</w:t>
      </w:r>
      <w:r w:rsidRPr="00144782">
        <w:t xml:space="preserve"> primeiro,</w:t>
      </w:r>
      <w:r w:rsidRPr="00144782">
        <w:t xml:space="preserve"> em que se</w:t>
      </w:r>
      <w:r w:rsidRPr="00144782">
        <w:t xml:space="preserve"> que resgata a memória institucional da política habitacional, </w:t>
      </w:r>
      <w:r w:rsidRPr="00144782">
        <w:t>bem como examinam-se</w:t>
      </w:r>
      <w:r w:rsidRPr="00144782">
        <w:t xml:space="preserve"> as estruturas responsáveis pela </w:t>
      </w:r>
      <w:r w:rsidRPr="00144782">
        <w:t>concepção</w:t>
      </w:r>
      <w:r w:rsidRPr="00144782">
        <w:t xml:space="preserve"> do </w:t>
      </w:r>
      <w:r w:rsidRPr="00144782">
        <w:t>P</w:t>
      </w:r>
      <w:r w:rsidRPr="00144782">
        <w:t>rograma, as instâncias participativas</w:t>
      </w:r>
      <w:r w:rsidRPr="00144782">
        <w:t xml:space="preserve"> no seu entorno</w:t>
      </w:r>
      <w:r w:rsidRPr="00144782">
        <w:t xml:space="preserve"> e os marcos regulatórios</w:t>
      </w:r>
      <w:r w:rsidRPr="00144782">
        <w:t xml:space="preserve"> que lhes são correlatos;</w:t>
      </w:r>
      <w:r w:rsidRPr="00144782">
        <w:t xml:space="preserve"> </w:t>
      </w:r>
      <w:r w:rsidRPr="00144782">
        <w:t>o</w:t>
      </w:r>
      <w:r w:rsidRPr="00144782">
        <w:t xml:space="preserve"> segundo</w:t>
      </w:r>
      <w:r w:rsidRPr="00144782">
        <w:t>, que</w:t>
      </w:r>
      <w:r w:rsidRPr="00144782">
        <w:t xml:space="preserve"> </w:t>
      </w:r>
      <w:r w:rsidRPr="00144782">
        <w:t>volta-se</w:t>
      </w:r>
      <w:r w:rsidRPr="00144782">
        <w:t xml:space="preserve"> à identificação de pressões externas à estrutura estatal, incluindo os efeitos de reformas neoliberais sobre o financiamento das políticas sociais e a atuação de movimentos </w:t>
      </w:r>
      <w:r w:rsidRPr="00144782">
        <w:t>populares</w:t>
      </w:r>
      <w:r w:rsidRPr="00144782">
        <w:t xml:space="preserve"> na agenda habitacional</w:t>
      </w:r>
      <w:r w:rsidRPr="00144782">
        <w:t>; o</w:t>
      </w:r>
      <w:r w:rsidRPr="00144782">
        <w:t xml:space="preserve"> terceiro dedica-se à compreensão do arranjo jurídico-institucional e do sistema de governo, investigando o </w:t>
      </w:r>
      <w:r w:rsidRPr="00144782">
        <w:t xml:space="preserve">efeito </w:t>
      </w:r>
      <w:r w:rsidRPr="00144782">
        <w:t>das coalizões políticas e os mecanismos de governabilidade e governança que condicionam a ação estatal</w:t>
      </w:r>
      <w:r w:rsidRPr="00144782">
        <w:t>;</w:t>
      </w:r>
      <w:r w:rsidRPr="00144782">
        <w:t xml:space="preserve"> </w:t>
      </w:r>
      <w:r w:rsidRPr="00144782">
        <w:t>p</w:t>
      </w:r>
      <w:r w:rsidRPr="00144782">
        <w:t>or fim, analisa-se o desenvolvimento de capacidades governamentais fundamentais à efetividade das políticas sociais, considerando suas dimensões política, técnico-administrativa e criativa.</w:t>
      </w:r>
    </w:p>
    <w:p w14:paraId="5775E6C0" w14:textId="77395CF2" w:rsidR="00E2315C" w:rsidRPr="00144782" w:rsidRDefault="004438B9" w:rsidP="00144782">
      <w:pPr>
        <w:pStyle w:val="NormalWeb"/>
        <w:spacing w:before="0" w:beforeAutospacing="0" w:after="0" w:afterAutospacing="0" w:line="360" w:lineRule="auto"/>
        <w:jc w:val="both"/>
      </w:pPr>
      <w:r w:rsidRPr="00144782">
        <w:rPr>
          <w:rStyle w:val="Forte"/>
        </w:rPr>
        <w:t>Palavras-chave:</w:t>
      </w:r>
      <w:r w:rsidRPr="00144782">
        <w:t xml:space="preserve"> Habitação social</w:t>
      </w:r>
      <w:r w:rsidRPr="00144782">
        <w:t>; Direito e Políticas Públicas;</w:t>
      </w:r>
      <w:r w:rsidRPr="00144782">
        <w:t xml:space="preserve"> Governo</w:t>
      </w:r>
      <w:r w:rsidRPr="00144782">
        <w:t>.</w:t>
      </w:r>
    </w:p>
    <w:p w14:paraId="4B4D8F3F" w14:textId="77777777" w:rsidR="00171F6A" w:rsidRDefault="00171F6A" w:rsidP="00144782">
      <w:pPr>
        <w:spacing w:after="0" w:line="360" w:lineRule="auto"/>
        <w:jc w:val="both"/>
        <w:rPr>
          <w:rFonts w:ascii="Times New Roman" w:hAnsi="Times New Roman" w:cs="Times New Roman"/>
          <w:b/>
          <w:bCs/>
          <w:sz w:val="24"/>
          <w:szCs w:val="24"/>
        </w:rPr>
      </w:pPr>
    </w:p>
    <w:p w14:paraId="2434A907" w14:textId="685CCDBC" w:rsidR="004438B9" w:rsidRPr="00144782" w:rsidRDefault="004438B9" w:rsidP="00144782">
      <w:pPr>
        <w:spacing w:after="0" w:line="360" w:lineRule="auto"/>
        <w:jc w:val="both"/>
        <w:rPr>
          <w:rFonts w:ascii="Times New Roman" w:hAnsi="Times New Roman" w:cs="Times New Roman"/>
          <w:b/>
          <w:bCs/>
          <w:sz w:val="24"/>
          <w:szCs w:val="24"/>
        </w:rPr>
      </w:pPr>
      <w:r w:rsidRPr="00144782">
        <w:rPr>
          <w:rFonts w:ascii="Times New Roman" w:hAnsi="Times New Roman" w:cs="Times New Roman"/>
          <w:b/>
          <w:bCs/>
          <w:sz w:val="24"/>
          <w:szCs w:val="24"/>
        </w:rPr>
        <w:t>Abstract</w:t>
      </w:r>
    </w:p>
    <w:p w14:paraId="62058752" w14:textId="40E8BD4D" w:rsidR="004438B9" w:rsidRPr="00144782" w:rsidRDefault="004438B9" w:rsidP="00144782">
      <w:pPr>
        <w:spacing w:after="0" w:line="360" w:lineRule="auto"/>
        <w:jc w:val="both"/>
        <w:rPr>
          <w:rFonts w:ascii="Times New Roman" w:hAnsi="Times New Roman" w:cs="Times New Roman"/>
          <w:sz w:val="24"/>
          <w:szCs w:val="24"/>
        </w:rPr>
      </w:pPr>
      <w:proofErr w:type="spellStart"/>
      <w:r w:rsidRPr="00144782">
        <w:rPr>
          <w:rFonts w:ascii="Times New Roman" w:hAnsi="Times New Roman" w:cs="Times New Roman"/>
          <w:sz w:val="24"/>
          <w:szCs w:val="24"/>
        </w:rPr>
        <w:t>This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paper</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analyzes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legal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institutional</w:t>
      </w:r>
      <w:proofErr w:type="spellEnd"/>
      <w:r w:rsidRPr="00144782">
        <w:rPr>
          <w:rFonts w:ascii="Times New Roman" w:hAnsi="Times New Roman" w:cs="Times New Roman"/>
          <w:sz w:val="24"/>
          <w:szCs w:val="24"/>
        </w:rPr>
        <w:t xml:space="preserve"> design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Minha Casa, Minha Vida </w:t>
      </w:r>
      <w:proofErr w:type="spellStart"/>
      <w:r w:rsidRPr="00144782">
        <w:rPr>
          <w:rFonts w:ascii="Times New Roman" w:hAnsi="Times New Roman" w:cs="Times New Roman"/>
          <w:sz w:val="24"/>
          <w:szCs w:val="24"/>
        </w:rPr>
        <w:t>Program</w:t>
      </w:r>
      <w:proofErr w:type="spellEnd"/>
      <w:r w:rsidRPr="00144782">
        <w:rPr>
          <w:rFonts w:ascii="Times New Roman" w:hAnsi="Times New Roman" w:cs="Times New Roman"/>
          <w:sz w:val="24"/>
          <w:szCs w:val="24"/>
        </w:rPr>
        <w:t xml:space="preserve"> (PMCMV), </w:t>
      </w:r>
      <w:proofErr w:type="spellStart"/>
      <w:r w:rsidRPr="00144782">
        <w:rPr>
          <w:rFonts w:ascii="Times New Roman" w:hAnsi="Times New Roman" w:cs="Times New Roman"/>
          <w:sz w:val="24"/>
          <w:szCs w:val="24"/>
        </w:rPr>
        <w:t>from</w:t>
      </w:r>
      <w:proofErr w:type="spellEnd"/>
      <w:r w:rsidRPr="00144782">
        <w:rPr>
          <w:rFonts w:ascii="Times New Roman" w:hAnsi="Times New Roman" w:cs="Times New Roman"/>
          <w:sz w:val="24"/>
          <w:szCs w:val="24"/>
        </w:rPr>
        <w:t xml:space="preserve"> a Law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Public</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Policy</w:t>
      </w:r>
      <w:proofErr w:type="spellEnd"/>
      <w:r w:rsidRPr="00144782">
        <w:rPr>
          <w:rFonts w:ascii="Times New Roman" w:hAnsi="Times New Roman" w:cs="Times New Roman"/>
          <w:sz w:val="24"/>
          <w:szCs w:val="24"/>
        </w:rPr>
        <w:t xml:space="preserve"> (DPP) perspective, </w:t>
      </w:r>
      <w:proofErr w:type="spellStart"/>
      <w:r w:rsidRPr="00144782">
        <w:rPr>
          <w:rFonts w:ascii="Times New Roman" w:hAnsi="Times New Roman" w:cs="Times New Roman"/>
          <w:sz w:val="24"/>
          <w:szCs w:val="24"/>
        </w:rPr>
        <w:t>with</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specific</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aim</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identifying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elements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that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shaped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governmental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decision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that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guided</w:t>
      </w:r>
      <w:proofErr w:type="spellEnd"/>
      <w:r w:rsidRPr="00144782">
        <w:rPr>
          <w:rFonts w:ascii="Times New Roman" w:hAnsi="Times New Roman" w:cs="Times New Roman"/>
          <w:sz w:val="24"/>
          <w:szCs w:val="24"/>
        </w:rPr>
        <w:t xml:space="preserve"> its </w:t>
      </w:r>
      <w:proofErr w:type="spellStart"/>
      <w:r w:rsidRPr="00144782">
        <w:rPr>
          <w:rFonts w:ascii="Times New Roman" w:hAnsi="Times New Roman" w:cs="Times New Roman"/>
          <w:sz w:val="24"/>
          <w:szCs w:val="24"/>
        </w:rPr>
        <w:t>formulation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within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political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institutional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context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Lula 2 </w:t>
      </w:r>
      <w:proofErr w:type="spellStart"/>
      <w:r w:rsidRPr="00144782">
        <w:rPr>
          <w:rFonts w:ascii="Times New Roman" w:hAnsi="Times New Roman" w:cs="Times New Roman"/>
          <w:sz w:val="24"/>
          <w:szCs w:val="24"/>
        </w:rPr>
        <w:t>government</w:t>
      </w:r>
      <w:proofErr w:type="spellEnd"/>
      <w:r w:rsidRPr="00144782">
        <w:rPr>
          <w:rFonts w:ascii="Times New Roman" w:hAnsi="Times New Roman" w:cs="Times New Roman"/>
          <w:sz w:val="24"/>
          <w:szCs w:val="24"/>
        </w:rPr>
        <w:t xml:space="preserve"> (2007-2011). </w:t>
      </w:r>
      <w:proofErr w:type="spellStart"/>
      <w:r w:rsidRPr="00144782">
        <w:rPr>
          <w:rFonts w:ascii="Times New Roman" w:hAnsi="Times New Roman" w:cs="Times New Roman"/>
          <w:sz w:val="24"/>
          <w:szCs w:val="24"/>
        </w:rPr>
        <w:lastRenderedPageBreak/>
        <w:t>Methodologically</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investigation</w:t>
      </w:r>
      <w:proofErr w:type="spellEnd"/>
      <w:r w:rsidRPr="00144782">
        <w:rPr>
          <w:rFonts w:ascii="Times New Roman" w:hAnsi="Times New Roman" w:cs="Times New Roman"/>
          <w:sz w:val="24"/>
          <w:szCs w:val="24"/>
        </w:rPr>
        <w:t xml:space="preserve"> examines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Program</w:t>
      </w:r>
      <w:proofErr w:type="spellEnd"/>
      <w:r w:rsidRPr="00144782">
        <w:rPr>
          <w:rFonts w:ascii="Times New Roman" w:hAnsi="Times New Roman" w:cs="Times New Roman"/>
          <w:sz w:val="24"/>
          <w:szCs w:val="24"/>
        </w:rPr>
        <w:t xml:space="preserve"> in its </w:t>
      </w:r>
      <w:proofErr w:type="spellStart"/>
      <w:r w:rsidRPr="00144782">
        <w:rPr>
          <w:rFonts w:ascii="Times New Roman" w:hAnsi="Times New Roman" w:cs="Times New Roman"/>
          <w:sz w:val="24"/>
          <w:szCs w:val="24"/>
        </w:rPr>
        <w:t>macro-institutional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dimension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mobilizing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interdisciplinary</w:t>
      </w:r>
      <w:proofErr w:type="spellEnd"/>
      <w:r w:rsidRPr="00144782">
        <w:rPr>
          <w:rFonts w:ascii="Times New Roman" w:hAnsi="Times New Roman" w:cs="Times New Roman"/>
          <w:sz w:val="24"/>
          <w:szCs w:val="24"/>
        </w:rPr>
        <w:t xml:space="preserve"> review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literature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housing</w:t>
      </w:r>
      <w:proofErr w:type="spellEnd"/>
      <w:r w:rsidRPr="00144782">
        <w:rPr>
          <w:rFonts w:ascii="Times New Roman" w:hAnsi="Times New Roman" w:cs="Times New Roman"/>
          <w:sz w:val="24"/>
          <w:szCs w:val="24"/>
        </w:rPr>
        <w:t xml:space="preserve"> policies in </w:t>
      </w:r>
      <w:proofErr w:type="spellStart"/>
      <w:r w:rsidRPr="00144782">
        <w:rPr>
          <w:rFonts w:ascii="Times New Roman" w:hAnsi="Times New Roman" w:cs="Times New Roman"/>
          <w:sz w:val="24"/>
          <w:szCs w:val="24"/>
        </w:rPr>
        <w:t>Brazil</w:t>
      </w:r>
      <w:proofErr w:type="spellEnd"/>
      <w:r w:rsidRPr="00144782">
        <w:rPr>
          <w:rFonts w:ascii="Times New Roman" w:hAnsi="Times New Roman" w:cs="Times New Roman"/>
          <w:sz w:val="24"/>
          <w:szCs w:val="24"/>
        </w:rPr>
        <w:t xml:space="preserve">. The </w:t>
      </w:r>
      <w:proofErr w:type="spellStart"/>
      <w:r w:rsidRPr="00144782">
        <w:rPr>
          <w:rFonts w:ascii="Times New Roman" w:hAnsi="Times New Roman" w:cs="Times New Roman"/>
          <w:sz w:val="24"/>
          <w:szCs w:val="24"/>
        </w:rPr>
        <w:t>analysis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articulates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two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complementary</w:t>
      </w:r>
      <w:proofErr w:type="spellEnd"/>
      <w:r w:rsidRPr="00144782">
        <w:rPr>
          <w:rFonts w:ascii="Times New Roman" w:hAnsi="Times New Roman" w:cs="Times New Roman"/>
          <w:sz w:val="24"/>
          <w:szCs w:val="24"/>
        </w:rPr>
        <w:t xml:space="preserve"> perspectives: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intragovernmental</w:t>
      </w:r>
      <w:proofErr w:type="spellEnd"/>
      <w:r w:rsidRPr="00144782">
        <w:rPr>
          <w:rFonts w:ascii="Times New Roman" w:hAnsi="Times New Roman" w:cs="Times New Roman"/>
          <w:sz w:val="24"/>
          <w:szCs w:val="24"/>
        </w:rPr>
        <w:t xml:space="preserve"> perspective, </w:t>
      </w:r>
      <w:proofErr w:type="spellStart"/>
      <w:r w:rsidRPr="00144782">
        <w:rPr>
          <w:rFonts w:ascii="Times New Roman" w:hAnsi="Times New Roman" w:cs="Times New Roman"/>
          <w:sz w:val="24"/>
          <w:szCs w:val="24"/>
        </w:rPr>
        <w:t>focused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how</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State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internally</w:t>
      </w:r>
      <w:proofErr w:type="spellEnd"/>
      <w:r w:rsidRPr="00144782">
        <w:rPr>
          <w:rFonts w:ascii="Times New Roman" w:hAnsi="Times New Roman" w:cs="Times New Roman"/>
          <w:sz w:val="24"/>
          <w:szCs w:val="24"/>
        </w:rPr>
        <w:t xml:space="preserve"> organizes its </w:t>
      </w:r>
      <w:proofErr w:type="spellStart"/>
      <w:r w:rsidRPr="00144782">
        <w:rPr>
          <w:rFonts w:ascii="Times New Roman" w:hAnsi="Times New Roman" w:cs="Times New Roman"/>
          <w:sz w:val="24"/>
          <w:szCs w:val="24"/>
        </w:rPr>
        <w:t>institutional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bureaucratic</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legal </w:t>
      </w:r>
      <w:proofErr w:type="spellStart"/>
      <w:r w:rsidRPr="00144782">
        <w:rPr>
          <w:rFonts w:ascii="Times New Roman" w:hAnsi="Times New Roman" w:cs="Times New Roman"/>
          <w:sz w:val="24"/>
          <w:szCs w:val="24"/>
        </w:rPr>
        <w:t>resources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respond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to</w:t>
      </w:r>
      <w:proofErr w:type="spellEnd"/>
      <w:r w:rsidRPr="00144782">
        <w:rPr>
          <w:rFonts w:ascii="Times New Roman" w:hAnsi="Times New Roman" w:cs="Times New Roman"/>
          <w:sz w:val="24"/>
          <w:szCs w:val="24"/>
        </w:rPr>
        <w:t xml:space="preserve"> social </w:t>
      </w:r>
      <w:proofErr w:type="spellStart"/>
      <w:r w:rsidRPr="00144782">
        <w:rPr>
          <w:rFonts w:ascii="Times New Roman" w:hAnsi="Times New Roman" w:cs="Times New Roman"/>
          <w:sz w:val="24"/>
          <w:szCs w:val="24"/>
        </w:rPr>
        <w:t>demands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extragovernmental</w:t>
      </w:r>
      <w:proofErr w:type="spellEnd"/>
      <w:r w:rsidRPr="00144782">
        <w:rPr>
          <w:rFonts w:ascii="Times New Roman" w:hAnsi="Times New Roman" w:cs="Times New Roman"/>
          <w:sz w:val="24"/>
          <w:szCs w:val="24"/>
        </w:rPr>
        <w:t xml:space="preserve"> perspective, </w:t>
      </w:r>
      <w:proofErr w:type="spellStart"/>
      <w:r w:rsidRPr="00144782">
        <w:rPr>
          <w:rFonts w:ascii="Times New Roman" w:hAnsi="Times New Roman" w:cs="Times New Roman"/>
          <w:sz w:val="24"/>
          <w:szCs w:val="24"/>
        </w:rPr>
        <w:t>which</w:t>
      </w:r>
      <w:proofErr w:type="spellEnd"/>
      <w:r w:rsidRPr="00144782">
        <w:rPr>
          <w:rFonts w:ascii="Times New Roman" w:hAnsi="Times New Roman" w:cs="Times New Roman"/>
          <w:sz w:val="24"/>
          <w:szCs w:val="24"/>
        </w:rPr>
        <w:t xml:space="preserve"> observes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pressures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exerted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by</w:t>
      </w:r>
      <w:proofErr w:type="spellEnd"/>
      <w:r w:rsidRPr="00144782">
        <w:rPr>
          <w:rFonts w:ascii="Times New Roman" w:hAnsi="Times New Roman" w:cs="Times New Roman"/>
          <w:sz w:val="24"/>
          <w:szCs w:val="24"/>
        </w:rPr>
        <w:t xml:space="preserve"> civil </w:t>
      </w:r>
      <w:proofErr w:type="spellStart"/>
      <w:r w:rsidRPr="00144782">
        <w:rPr>
          <w:rFonts w:ascii="Times New Roman" w:hAnsi="Times New Roman" w:cs="Times New Roman"/>
          <w:sz w:val="24"/>
          <w:szCs w:val="24"/>
        </w:rPr>
        <w:t>society</w:t>
      </w:r>
      <w:proofErr w:type="spellEnd"/>
      <w:r w:rsidRPr="00144782">
        <w:rPr>
          <w:rFonts w:ascii="Times New Roman" w:hAnsi="Times New Roman" w:cs="Times New Roman"/>
          <w:sz w:val="24"/>
          <w:szCs w:val="24"/>
        </w:rPr>
        <w:t xml:space="preserve">, social </w:t>
      </w:r>
      <w:proofErr w:type="spellStart"/>
      <w:r w:rsidRPr="00144782">
        <w:rPr>
          <w:rFonts w:ascii="Times New Roman" w:hAnsi="Times New Roman" w:cs="Times New Roman"/>
          <w:sz w:val="24"/>
          <w:szCs w:val="24"/>
        </w:rPr>
        <w:t>movements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market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broader</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economic</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scenario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Based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these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dimensions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study</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addresses</w:t>
      </w:r>
      <w:proofErr w:type="spellEnd"/>
      <w:r w:rsidRPr="00144782">
        <w:rPr>
          <w:rFonts w:ascii="Times New Roman" w:hAnsi="Times New Roman" w:cs="Times New Roman"/>
          <w:sz w:val="24"/>
          <w:szCs w:val="24"/>
        </w:rPr>
        <w:t xml:space="preserve"> four </w:t>
      </w:r>
      <w:proofErr w:type="spellStart"/>
      <w:r w:rsidRPr="00144782">
        <w:rPr>
          <w:rFonts w:ascii="Times New Roman" w:hAnsi="Times New Roman" w:cs="Times New Roman"/>
          <w:sz w:val="24"/>
          <w:szCs w:val="24"/>
        </w:rPr>
        <w:t>analytical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axes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first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which</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recovers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institutional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memory</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housing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policy</w:t>
      </w:r>
      <w:proofErr w:type="spellEnd"/>
      <w:r w:rsidRPr="00144782">
        <w:rPr>
          <w:rFonts w:ascii="Times New Roman" w:hAnsi="Times New Roman" w:cs="Times New Roman"/>
          <w:sz w:val="24"/>
          <w:szCs w:val="24"/>
        </w:rPr>
        <w:t xml:space="preserve">, as </w:t>
      </w:r>
      <w:proofErr w:type="spellStart"/>
      <w:r w:rsidRPr="00144782">
        <w:rPr>
          <w:rFonts w:ascii="Times New Roman" w:hAnsi="Times New Roman" w:cs="Times New Roman"/>
          <w:sz w:val="24"/>
          <w:szCs w:val="24"/>
        </w:rPr>
        <w:t>well</w:t>
      </w:r>
      <w:proofErr w:type="spellEnd"/>
      <w:r w:rsidRPr="00144782">
        <w:rPr>
          <w:rFonts w:ascii="Times New Roman" w:hAnsi="Times New Roman" w:cs="Times New Roman"/>
          <w:sz w:val="24"/>
          <w:szCs w:val="24"/>
        </w:rPr>
        <w:t xml:space="preserve"> as examines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structures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responsible</w:t>
      </w:r>
      <w:proofErr w:type="spellEnd"/>
      <w:r w:rsidRPr="00144782">
        <w:rPr>
          <w:rFonts w:ascii="Times New Roman" w:hAnsi="Times New Roman" w:cs="Times New Roman"/>
          <w:sz w:val="24"/>
          <w:szCs w:val="24"/>
        </w:rPr>
        <w:t xml:space="preserve"> for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conception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Program</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participatory</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instances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surrounding</w:t>
      </w:r>
      <w:proofErr w:type="spellEnd"/>
      <w:r w:rsidRPr="00144782">
        <w:rPr>
          <w:rFonts w:ascii="Times New Roman" w:hAnsi="Times New Roman" w:cs="Times New Roman"/>
          <w:sz w:val="24"/>
          <w:szCs w:val="24"/>
        </w:rPr>
        <w:t xml:space="preserve"> it,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regulatory</w:t>
      </w:r>
      <w:proofErr w:type="spellEnd"/>
      <w:r w:rsidRPr="00144782">
        <w:rPr>
          <w:rFonts w:ascii="Times New Roman" w:hAnsi="Times New Roman" w:cs="Times New Roman"/>
          <w:sz w:val="24"/>
          <w:szCs w:val="24"/>
        </w:rPr>
        <w:t xml:space="preserve"> frameworks </w:t>
      </w:r>
      <w:proofErr w:type="spellStart"/>
      <w:r w:rsidRPr="00144782">
        <w:rPr>
          <w:rFonts w:ascii="Times New Roman" w:hAnsi="Times New Roman" w:cs="Times New Roman"/>
          <w:sz w:val="24"/>
          <w:szCs w:val="24"/>
        </w:rPr>
        <w:t>that</w:t>
      </w:r>
      <w:proofErr w:type="spellEnd"/>
      <w:r w:rsidRPr="00144782">
        <w:rPr>
          <w:rFonts w:ascii="Times New Roman" w:hAnsi="Times New Roman" w:cs="Times New Roman"/>
          <w:sz w:val="24"/>
          <w:szCs w:val="24"/>
        </w:rPr>
        <w:t xml:space="preserve"> are </w:t>
      </w:r>
      <w:proofErr w:type="spellStart"/>
      <w:r w:rsidRPr="00144782">
        <w:rPr>
          <w:rFonts w:ascii="Times New Roman" w:hAnsi="Times New Roman" w:cs="Times New Roman"/>
          <w:sz w:val="24"/>
          <w:szCs w:val="24"/>
        </w:rPr>
        <w:t>correlated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them</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second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which</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focuses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identifying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external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pressures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state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structure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including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effects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neoliberal </w:t>
      </w:r>
      <w:proofErr w:type="spellStart"/>
      <w:r w:rsidRPr="00144782">
        <w:rPr>
          <w:rFonts w:ascii="Times New Roman" w:hAnsi="Times New Roman" w:cs="Times New Roman"/>
          <w:sz w:val="24"/>
          <w:szCs w:val="24"/>
        </w:rPr>
        <w:t>reforms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financing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social policies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role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popular </w:t>
      </w:r>
      <w:proofErr w:type="spellStart"/>
      <w:r w:rsidRPr="00144782">
        <w:rPr>
          <w:rFonts w:ascii="Times New Roman" w:hAnsi="Times New Roman" w:cs="Times New Roman"/>
          <w:sz w:val="24"/>
          <w:szCs w:val="24"/>
        </w:rPr>
        <w:t>movements</w:t>
      </w:r>
      <w:proofErr w:type="spellEnd"/>
      <w:r w:rsidRPr="00144782">
        <w:rPr>
          <w:rFonts w:ascii="Times New Roman" w:hAnsi="Times New Roman" w:cs="Times New Roman"/>
          <w:sz w:val="24"/>
          <w:szCs w:val="24"/>
        </w:rPr>
        <w:t xml:space="preserve"> in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housing</w:t>
      </w:r>
      <w:proofErr w:type="spellEnd"/>
      <w:r w:rsidRPr="00144782">
        <w:rPr>
          <w:rFonts w:ascii="Times New Roman" w:hAnsi="Times New Roman" w:cs="Times New Roman"/>
          <w:sz w:val="24"/>
          <w:szCs w:val="24"/>
        </w:rPr>
        <w:t xml:space="preserve"> agenda;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third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dedicated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understanding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legal-</w:t>
      </w:r>
      <w:proofErr w:type="spellStart"/>
      <w:r w:rsidRPr="00144782">
        <w:rPr>
          <w:rFonts w:ascii="Times New Roman" w:hAnsi="Times New Roman" w:cs="Times New Roman"/>
          <w:sz w:val="24"/>
          <w:szCs w:val="24"/>
        </w:rPr>
        <w:t>institutional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arrangement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system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government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investigating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effect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political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coalitions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mechanisms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governability</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governance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that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condition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state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action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finally</w:t>
      </w:r>
      <w:proofErr w:type="spellEnd"/>
      <w:r w:rsidRPr="00144782">
        <w:rPr>
          <w:rFonts w:ascii="Times New Roman" w:hAnsi="Times New Roman" w:cs="Times New Roman"/>
          <w:sz w:val="24"/>
          <w:szCs w:val="24"/>
        </w:rPr>
        <w:t xml:space="preserve">, it </w:t>
      </w:r>
      <w:proofErr w:type="spellStart"/>
      <w:r w:rsidRPr="00144782">
        <w:rPr>
          <w:rFonts w:ascii="Times New Roman" w:hAnsi="Times New Roman" w:cs="Times New Roman"/>
          <w:sz w:val="24"/>
          <w:szCs w:val="24"/>
        </w:rPr>
        <w:t>analyzes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development</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governmental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capacities</w:t>
      </w:r>
      <w:proofErr w:type="spellEnd"/>
      <w:r w:rsidRPr="00144782">
        <w:rPr>
          <w:rFonts w:ascii="Times New Roman" w:hAnsi="Times New Roman" w:cs="Times New Roman"/>
          <w:sz w:val="24"/>
          <w:szCs w:val="24"/>
        </w:rPr>
        <w:t xml:space="preserve"> fundamental </w:t>
      </w:r>
      <w:proofErr w:type="spellStart"/>
      <w:r w:rsidRPr="00144782">
        <w:rPr>
          <w:rFonts w:ascii="Times New Roman" w:hAnsi="Times New Roman" w:cs="Times New Roman"/>
          <w:sz w:val="24"/>
          <w:szCs w:val="24"/>
        </w:rPr>
        <w:t>to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effectiveness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of</w:t>
      </w:r>
      <w:proofErr w:type="spellEnd"/>
      <w:r w:rsidRPr="00144782">
        <w:rPr>
          <w:rFonts w:ascii="Times New Roman" w:hAnsi="Times New Roman" w:cs="Times New Roman"/>
          <w:sz w:val="24"/>
          <w:szCs w:val="24"/>
        </w:rPr>
        <w:t xml:space="preserve"> social policies, </w:t>
      </w:r>
      <w:proofErr w:type="spellStart"/>
      <w:r w:rsidRPr="00144782">
        <w:rPr>
          <w:rFonts w:ascii="Times New Roman" w:hAnsi="Times New Roman" w:cs="Times New Roman"/>
          <w:sz w:val="24"/>
          <w:szCs w:val="24"/>
        </w:rPr>
        <w:t>considering</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their</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political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technical-administrative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creative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dimensions</w:t>
      </w:r>
      <w:proofErr w:type="spellEnd"/>
      <w:r w:rsidRPr="00144782">
        <w:rPr>
          <w:rFonts w:ascii="Times New Roman" w:hAnsi="Times New Roman" w:cs="Times New Roman"/>
          <w:sz w:val="24"/>
          <w:szCs w:val="24"/>
        </w:rPr>
        <w:t>.</w:t>
      </w:r>
    </w:p>
    <w:p w14:paraId="577C4F48" w14:textId="5C2AF9D3" w:rsidR="004438B9" w:rsidRPr="00144782" w:rsidRDefault="004438B9" w:rsidP="00144782">
      <w:pPr>
        <w:spacing w:after="0" w:line="360" w:lineRule="auto"/>
        <w:jc w:val="both"/>
        <w:rPr>
          <w:rFonts w:ascii="Times New Roman" w:hAnsi="Times New Roman" w:cs="Times New Roman"/>
          <w:sz w:val="24"/>
          <w:szCs w:val="24"/>
        </w:rPr>
      </w:pPr>
      <w:r w:rsidRPr="00144782">
        <w:rPr>
          <w:rFonts w:ascii="Times New Roman" w:hAnsi="Times New Roman" w:cs="Times New Roman"/>
          <w:b/>
          <w:bCs/>
          <w:sz w:val="24"/>
          <w:szCs w:val="24"/>
        </w:rPr>
        <w:t>Keywords</w:t>
      </w:r>
      <w:r w:rsidRPr="00144782">
        <w:rPr>
          <w:rFonts w:ascii="Times New Roman" w:hAnsi="Times New Roman" w:cs="Times New Roman"/>
          <w:sz w:val="24"/>
          <w:szCs w:val="24"/>
        </w:rPr>
        <w:t>:</w:t>
      </w:r>
      <w:r w:rsidRPr="00144782">
        <w:rPr>
          <w:rFonts w:ascii="Times New Roman" w:hAnsi="Times New Roman" w:cs="Times New Roman"/>
          <w:sz w:val="24"/>
          <w:szCs w:val="24"/>
        </w:rPr>
        <w:t xml:space="preserve"> </w:t>
      </w:r>
      <w:r w:rsidRPr="00144782">
        <w:rPr>
          <w:rFonts w:ascii="Times New Roman" w:hAnsi="Times New Roman" w:cs="Times New Roman"/>
          <w:sz w:val="24"/>
          <w:szCs w:val="24"/>
        </w:rPr>
        <w:t xml:space="preserve">Social </w:t>
      </w:r>
      <w:proofErr w:type="spellStart"/>
      <w:r w:rsidRPr="00144782">
        <w:rPr>
          <w:rFonts w:ascii="Times New Roman" w:hAnsi="Times New Roman" w:cs="Times New Roman"/>
          <w:sz w:val="24"/>
          <w:szCs w:val="24"/>
        </w:rPr>
        <w:t>housing</w:t>
      </w:r>
      <w:proofErr w:type="spellEnd"/>
      <w:r w:rsidRPr="00144782">
        <w:rPr>
          <w:rFonts w:ascii="Times New Roman" w:hAnsi="Times New Roman" w:cs="Times New Roman"/>
          <w:sz w:val="24"/>
          <w:szCs w:val="24"/>
        </w:rPr>
        <w:t xml:space="preserve">; Law </w:t>
      </w:r>
      <w:proofErr w:type="spellStart"/>
      <w:r w:rsidRPr="00144782">
        <w:rPr>
          <w:rFonts w:ascii="Times New Roman" w:hAnsi="Times New Roman" w:cs="Times New Roman"/>
          <w:sz w:val="24"/>
          <w:szCs w:val="24"/>
        </w:rPr>
        <w:t>and</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Public</w:t>
      </w:r>
      <w:proofErr w:type="spellEnd"/>
      <w:r w:rsidRPr="00144782">
        <w:rPr>
          <w:rFonts w:ascii="Times New Roman" w:hAnsi="Times New Roman" w:cs="Times New Roman"/>
          <w:sz w:val="24"/>
          <w:szCs w:val="24"/>
        </w:rPr>
        <w:t xml:space="preserve"> Policies; </w:t>
      </w:r>
      <w:proofErr w:type="spellStart"/>
      <w:r w:rsidRPr="00144782">
        <w:rPr>
          <w:rFonts w:ascii="Times New Roman" w:hAnsi="Times New Roman" w:cs="Times New Roman"/>
          <w:sz w:val="24"/>
          <w:szCs w:val="24"/>
        </w:rPr>
        <w:t>Government</w:t>
      </w:r>
      <w:proofErr w:type="spellEnd"/>
      <w:r w:rsidRPr="00144782">
        <w:rPr>
          <w:rFonts w:ascii="Times New Roman" w:hAnsi="Times New Roman" w:cs="Times New Roman"/>
          <w:sz w:val="24"/>
          <w:szCs w:val="24"/>
        </w:rPr>
        <w:t>.</w:t>
      </w:r>
    </w:p>
    <w:p w14:paraId="6EB2B2EC" w14:textId="63557386" w:rsidR="00692CE5" w:rsidRPr="00144782" w:rsidRDefault="00692CE5" w:rsidP="00144782">
      <w:pPr>
        <w:pStyle w:val="corpodotexto"/>
      </w:pPr>
    </w:p>
    <w:p w14:paraId="002D9A44" w14:textId="77777777" w:rsidR="004438B9" w:rsidRPr="00144782" w:rsidRDefault="004438B9" w:rsidP="00144782">
      <w:pPr>
        <w:spacing w:after="0" w:line="360" w:lineRule="auto"/>
        <w:jc w:val="both"/>
        <w:rPr>
          <w:rFonts w:ascii="Times New Roman" w:hAnsi="Times New Roman" w:cs="Times New Roman"/>
          <w:b/>
          <w:bCs/>
          <w:sz w:val="24"/>
          <w:szCs w:val="24"/>
        </w:rPr>
      </w:pPr>
      <w:proofErr w:type="spellStart"/>
      <w:r w:rsidRPr="00144782">
        <w:rPr>
          <w:rFonts w:ascii="Times New Roman" w:hAnsi="Times New Roman" w:cs="Times New Roman"/>
          <w:b/>
          <w:bCs/>
          <w:sz w:val="24"/>
          <w:szCs w:val="24"/>
        </w:rPr>
        <w:t>Resumen</w:t>
      </w:r>
      <w:proofErr w:type="spellEnd"/>
    </w:p>
    <w:p w14:paraId="0CC7F3DF" w14:textId="4757827B" w:rsidR="004438B9" w:rsidRPr="00144782" w:rsidRDefault="004438B9" w:rsidP="00144782">
      <w:pPr>
        <w:spacing w:after="0" w:line="360" w:lineRule="auto"/>
        <w:jc w:val="both"/>
        <w:rPr>
          <w:rFonts w:ascii="Times New Roman" w:hAnsi="Times New Roman" w:cs="Times New Roman"/>
          <w:sz w:val="24"/>
          <w:szCs w:val="24"/>
        </w:rPr>
      </w:pPr>
      <w:r w:rsidRPr="00144782">
        <w:rPr>
          <w:rFonts w:ascii="Times New Roman" w:hAnsi="Times New Roman" w:cs="Times New Roman"/>
          <w:sz w:val="24"/>
          <w:szCs w:val="24"/>
        </w:rPr>
        <w:t xml:space="preserve">Este artículo </w:t>
      </w:r>
      <w:proofErr w:type="spellStart"/>
      <w:r w:rsidRPr="00144782">
        <w:rPr>
          <w:rFonts w:ascii="Times New Roman" w:hAnsi="Times New Roman" w:cs="Times New Roman"/>
          <w:sz w:val="24"/>
          <w:szCs w:val="24"/>
        </w:rPr>
        <w:t>analiza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diseño</w:t>
      </w:r>
      <w:proofErr w:type="spellEnd"/>
      <w:r w:rsidRPr="00144782">
        <w:rPr>
          <w:rFonts w:ascii="Times New Roman" w:hAnsi="Times New Roman" w:cs="Times New Roman"/>
          <w:sz w:val="24"/>
          <w:szCs w:val="24"/>
        </w:rPr>
        <w:t xml:space="preserve"> legal e institucional </w:t>
      </w:r>
      <w:proofErr w:type="spellStart"/>
      <w:r w:rsidRPr="00144782">
        <w:rPr>
          <w:rFonts w:ascii="Times New Roman" w:hAnsi="Times New Roman" w:cs="Times New Roman"/>
          <w:sz w:val="24"/>
          <w:szCs w:val="24"/>
        </w:rPr>
        <w:t>del</w:t>
      </w:r>
      <w:proofErr w:type="spellEnd"/>
      <w:r w:rsidRPr="00144782">
        <w:rPr>
          <w:rFonts w:ascii="Times New Roman" w:hAnsi="Times New Roman" w:cs="Times New Roman"/>
          <w:sz w:val="24"/>
          <w:szCs w:val="24"/>
        </w:rPr>
        <w:t xml:space="preserve"> Programa Minha Casa, Minha Vida (PMCMV) desde una perspectiva de </w:t>
      </w:r>
      <w:proofErr w:type="spellStart"/>
      <w:r w:rsidRPr="00144782">
        <w:rPr>
          <w:rFonts w:ascii="Times New Roman" w:hAnsi="Times New Roman" w:cs="Times New Roman"/>
          <w:sz w:val="24"/>
          <w:szCs w:val="24"/>
        </w:rPr>
        <w:t>Derecho</w:t>
      </w:r>
      <w:proofErr w:type="spellEnd"/>
      <w:r w:rsidRPr="00144782">
        <w:rPr>
          <w:rFonts w:ascii="Times New Roman" w:hAnsi="Times New Roman" w:cs="Times New Roman"/>
          <w:sz w:val="24"/>
          <w:szCs w:val="24"/>
        </w:rPr>
        <w:t xml:space="preserve"> y Políticas Públicas (DPP), </w:t>
      </w:r>
      <w:proofErr w:type="spellStart"/>
      <w:r w:rsidRPr="00144782">
        <w:rPr>
          <w:rFonts w:ascii="Times New Roman" w:hAnsi="Times New Roman" w:cs="Times New Roman"/>
          <w:sz w:val="24"/>
          <w:szCs w:val="24"/>
        </w:rPr>
        <w:t>con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objetivo específico de identificar </w:t>
      </w:r>
      <w:proofErr w:type="spellStart"/>
      <w:r w:rsidRPr="00144782">
        <w:rPr>
          <w:rFonts w:ascii="Times New Roman" w:hAnsi="Times New Roman" w:cs="Times New Roman"/>
          <w:sz w:val="24"/>
          <w:szCs w:val="24"/>
        </w:rPr>
        <w:t>los</w:t>
      </w:r>
      <w:proofErr w:type="spellEnd"/>
      <w:r w:rsidRPr="00144782">
        <w:rPr>
          <w:rFonts w:ascii="Times New Roman" w:hAnsi="Times New Roman" w:cs="Times New Roman"/>
          <w:sz w:val="24"/>
          <w:szCs w:val="24"/>
        </w:rPr>
        <w:t xml:space="preserve"> elementos que </w:t>
      </w:r>
      <w:proofErr w:type="spellStart"/>
      <w:r w:rsidRPr="00144782">
        <w:rPr>
          <w:rFonts w:ascii="Times New Roman" w:hAnsi="Times New Roman" w:cs="Times New Roman"/>
          <w:sz w:val="24"/>
          <w:szCs w:val="24"/>
        </w:rPr>
        <w:t>moldearon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decisión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gubernamental</w:t>
      </w:r>
      <w:proofErr w:type="spellEnd"/>
      <w:r w:rsidRPr="00144782">
        <w:rPr>
          <w:rFonts w:ascii="Times New Roman" w:hAnsi="Times New Roman" w:cs="Times New Roman"/>
          <w:sz w:val="24"/>
          <w:szCs w:val="24"/>
        </w:rPr>
        <w:t xml:space="preserve"> que </w:t>
      </w:r>
      <w:proofErr w:type="spellStart"/>
      <w:r w:rsidRPr="00144782">
        <w:rPr>
          <w:rFonts w:ascii="Times New Roman" w:hAnsi="Times New Roman" w:cs="Times New Roman"/>
          <w:sz w:val="24"/>
          <w:szCs w:val="24"/>
        </w:rPr>
        <w:t>guió</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su</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formulación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contexto político e institucional </w:t>
      </w:r>
      <w:proofErr w:type="spellStart"/>
      <w:r w:rsidRPr="00144782">
        <w:rPr>
          <w:rFonts w:ascii="Times New Roman" w:hAnsi="Times New Roman" w:cs="Times New Roman"/>
          <w:sz w:val="24"/>
          <w:szCs w:val="24"/>
        </w:rPr>
        <w:t>del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gobierno</w:t>
      </w:r>
      <w:proofErr w:type="spellEnd"/>
      <w:r w:rsidRPr="00144782">
        <w:rPr>
          <w:rFonts w:ascii="Times New Roman" w:hAnsi="Times New Roman" w:cs="Times New Roman"/>
          <w:sz w:val="24"/>
          <w:szCs w:val="24"/>
        </w:rPr>
        <w:t xml:space="preserve"> de Lula II (2007-2011). </w:t>
      </w:r>
      <w:proofErr w:type="spellStart"/>
      <w:r w:rsidRPr="00144782">
        <w:rPr>
          <w:rFonts w:ascii="Times New Roman" w:hAnsi="Times New Roman" w:cs="Times New Roman"/>
          <w:sz w:val="24"/>
          <w:szCs w:val="24"/>
        </w:rPr>
        <w:t>Metodológicamente</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investigación</w:t>
      </w:r>
      <w:proofErr w:type="spellEnd"/>
      <w:r w:rsidRPr="00144782">
        <w:rPr>
          <w:rFonts w:ascii="Times New Roman" w:hAnsi="Times New Roman" w:cs="Times New Roman"/>
          <w:sz w:val="24"/>
          <w:szCs w:val="24"/>
        </w:rPr>
        <w:t xml:space="preserve"> examina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Programa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su</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dimensión</w:t>
      </w:r>
      <w:proofErr w:type="spellEnd"/>
      <w:r w:rsidRPr="00144782">
        <w:rPr>
          <w:rFonts w:ascii="Times New Roman" w:hAnsi="Times New Roman" w:cs="Times New Roman"/>
          <w:sz w:val="24"/>
          <w:szCs w:val="24"/>
        </w:rPr>
        <w:t xml:space="preserve"> macroinstitucional, impulsando una </w:t>
      </w:r>
      <w:proofErr w:type="spellStart"/>
      <w:r w:rsidRPr="00144782">
        <w:rPr>
          <w:rFonts w:ascii="Times New Roman" w:hAnsi="Times New Roman" w:cs="Times New Roman"/>
          <w:sz w:val="24"/>
          <w:szCs w:val="24"/>
        </w:rPr>
        <w:t>revisión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interdisciplinaria</w:t>
      </w:r>
      <w:proofErr w:type="spellEnd"/>
      <w:r w:rsidRPr="00144782">
        <w:rPr>
          <w:rFonts w:ascii="Times New Roman" w:hAnsi="Times New Roman" w:cs="Times New Roman"/>
          <w:sz w:val="24"/>
          <w:szCs w:val="24"/>
        </w:rPr>
        <w:t xml:space="preserve"> de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literatura sobre políticas de </w:t>
      </w:r>
      <w:proofErr w:type="spellStart"/>
      <w:r w:rsidRPr="00144782">
        <w:rPr>
          <w:rFonts w:ascii="Times New Roman" w:hAnsi="Times New Roman" w:cs="Times New Roman"/>
          <w:sz w:val="24"/>
          <w:szCs w:val="24"/>
        </w:rPr>
        <w:t>vivienda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Brasil. El </w:t>
      </w:r>
      <w:proofErr w:type="spellStart"/>
      <w:r w:rsidRPr="00144782">
        <w:rPr>
          <w:rFonts w:ascii="Times New Roman" w:hAnsi="Times New Roman" w:cs="Times New Roman"/>
          <w:sz w:val="24"/>
          <w:szCs w:val="24"/>
        </w:rPr>
        <w:t>análisis</w:t>
      </w:r>
      <w:proofErr w:type="spellEnd"/>
      <w:r w:rsidRPr="00144782">
        <w:rPr>
          <w:rFonts w:ascii="Times New Roman" w:hAnsi="Times New Roman" w:cs="Times New Roman"/>
          <w:sz w:val="24"/>
          <w:szCs w:val="24"/>
        </w:rPr>
        <w:t xml:space="preserve"> articula dos perspectivas complementarias: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intragubernamental</w:t>
      </w:r>
      <w:proofErr w:type="spellEnd"/>
      <w:r w:rsidRPr="00144782">
        <w:rPr>
          <w:rFonts w:ascii="Times New Roman" w:hAnsi="Times New Roman" w:cs="Times New Roman"/>
          <w:sz w:val="24"/>
          <w:szCs w:val="24"/>
        </w:rPr>
        <w:t xml:space="preserve">, centrada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cómo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Estado organiza internamente sus recursos </w:t>
      </w:r>
      <w:proofErr w:type="spellStart"/>
      <w:r w:rsidRPr="00144782">
        <w:rPr>
          <w:rFonts w:ascii="Times New Roman" w:hAnsi="Times New Roman" w:cs="Times New Roman"/>
          <w:sz w:val="24"/>
          <w:szCs w:val="24"/>
        </w:rPr>
        <w:t>institucionales</w:t>
      </w:r>
      <w:proofErr w:type="spellEnd"/>
      <w:r w:rsidRPr="00144782">
        <w:rPr>
          <w:rFonts w:ascii="Times New Roman" w:hAnsi="Times New Roman" w:cs="Times New Roman"/>
          <w:sz w:val="24"/>
          <w:szCs w:val="24"/>
        </w:rPr>
        <w:t xml:space="preserve">, burocráticos y </w:t>
      </w:r>
      <w:proofErr w:type="spellStart"/>
      <w:r w:rsidRPr="00144782">
        <w:rPr>
          <w:rFonts w:ascii="Times New Roman" w:hAnsi="Times New Roman" w:cs="Times New Roman"/>
          <w:sz w:val="24"/>
          <w:szCs w:val="24"/>
        </w:rPr>
        <w:t>legales</w:t>
      </w:r>
      <w:proofErr w:type="spellEnd"/>
      <w:r w:rsidRPr="00144782">
        <w:rPr>
          <w:rFonts w:ascii="Times New Roman" w:hAnsi="Times New Roman" w:cs="Times New Roman"/>
          <w:sz w:val="24"/>
          <w:szCs w:val="24"/>
        </w:rPr>
        <w:t xml:space="preserve"> para responder a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demandas </w:t>
      </w:r>
      <w:proofErr w:type="spellStart"/>
      <w:r w:rsidRPr="00144782">
        <w:rPr>
          <w:rFonts w:ascii="Times New Roman" w:hAnsi="Times New Roman" w:cs="Times New Roman"/>
          <w:sz w:val="24"/>
          <w:szCs w:val="24"/>
        </w:rPr>
        <w:t>sociales</w:t>
      </w:r>
      <w:proofErr w:type="spellEnd"/>
      <w:r w:rsidRPr="00144782">
        <w:rPr>
          <w:rFonts w:ascii="Times New Roman" w:hAnsi="Times New Roman" w:cs="Times New Roman"/>
          <w:sz w:val="24"/>
          <w:szCs w:val="24"/>
        </w:rPr>
        <w:t xml:space="preserve">; y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extragubernamental</w:t>
      </w:r>
      <w:proofErr w:type="spellEnd"/>
      <w:r w:rsidRPr="00144782">
        <w:rPr>
          <w:rFonts w:ascii="Times New Roman" w:hAnsi="Times New Roman" w:cs="Times New Roman"/>
          <w:sz w:val="24"/>
          <w:szCs w:val="24"/>
        </w:rPr>
        <w:t xml:space="preserve">, que observa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presiones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ejercidas</w:t>
      </w:r>
      <w:proofErr w:type="spellEnd"/>
      <w:r w:rsidRPr="00144782">
        <w:rPr>
          <w:rFonts w:ascii="Times New Roman" w:hAnsi="Times New Roman" w:cs="Times New Roman"/>
          <w:sz w:val="24"/>
          <w:szCs w:val="24"/>
        </w:rPr>
        <w:t xml:space="preserve"> por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sociedad</w:t>
      </w:r>
      <w:proofErr w:type="spellEnd"/>
      <w:r w:rsidRPr="00144782">
        <w:rPr>
          <w:rFonts w:ascii="Times New Roman" w:hAnsi="Times New Roman" w:cs="Times New Roman"/>
          <w:sz w:val="24"/>
          <w:szCs w:val="24"/>
        </w:rPr>
        <w:t xml:space="preserve"> civil, </w:t>
      </w:r>
      <w:proofErr w:type="spellStart"/>
      <w:r w:rsidRPr="00144782">
        <w:rPr>
          <w:rFonts w:ascii="Times New Roman" w:hAnsi="Times New Roman" w:cs="Times New Roman"/>
          <w:sz w:val="24"/>
          <w:szCs w:val="24"/>
        </w:rPr>
        <w:t>los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movimientos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sociales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mercado y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contexto económico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general. </w:t>
      </w:r>
      <w:proofErr w:type="spellStart"/>
      <w:r w:rsidRPr="00144782">
        <w:rPr>
          <w:rFonts w:ascii="Times New Roman" w:hAnsi="Times New Roman" w:cs="Times New Roman"/>
          <w:sz w:val="24"/>
          <w:szCs w:val="24"/>
        </w:rPr>
        <w:t>Con</w:t>
      </w:r>
      <w:proofErr w:type="spellEnd"/>
      <w:r w:rsidRPr="00144782">
        <w:rPr>
          <w:rFonts w:ascii="Times New Roman" w:hAnsi="Times New Roman" w:cs="Times New Roman"/>
          <w:sz w:val="24"/>
          <w:szCs w:val="24"/>
        </w:rPr>
        <w:t xml:space="preserve"> base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estas dimensiones,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estudio</w:t>
      </w:r>
      <w:proofErr w:type="spellEnd"/>
      <w:r w:rsidRPr="00144782">
        <w:rPr>
          <w:rFonts w:ascii="Times New Roman" w:hAnsi="Times New Roman" w:cs="Times New Roman"/>
          <w:sz w:val="24"/>
          <w:szCs w:val="24"/>
        </w:rPr>
        <w:t xml:space="preserve"> aborda </w:t>
      </w:r>
      <w:proofErr w:type="spellStart"/>
      <w:r w:rsidRPr="00144782">
        <w:rPr>
          <w:rFonts w:ascii="Times New Roman" w:hAnsi="Times New Roman" w:cs="Times New Roman"/>
          <w:sz w:val="24"/>
          <w:szCs w:val="24"/>
        </w:rPr>
        <w:t>cuatro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ejes</w:t>
      </w:r>
      <w:proofErr w:type="spellEnd"/>
      <w:r w:rsidRPr="00144782">
        <w:rPr>
          <w:rFonts w:ascii="Times New Roman" w:hAnsi="Times New Roman" w:cs="Times New Roman"/>
          <w:sz w:val="24"/>
          <w:szCs w:val="24"/>
        </w:rPr>
        <w:t xml:space="preserve"> analíticos: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primero</w:t>
      </w:r>
      <w:proofErr w:type="spellEnd"/>
      <w:r w:rsidRPr="00144782">
        <w:rPr>
          <w:rFonts w:ascii="Times New Roman" w:hAnsi="Times New Roman" w:cs="Times New Roman"/>
          <w:sz w:val="24"/>
          <w:szCs w:val="24"/>
        </w:rPr>
        <w:t xml:space="preserve">, que recupera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memoria institucional de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política de </w:t>
      </w:r>
      <w:proofErr w:type="spellStart"/>
      <w:r w:rsidRPr="00144782">
        <w:rPr>
          <w:rFonts w:ascii="Times New Roman" w:hAnsi="Times New Roman" w:cs="Times New Roman"/>
          <w:sz w:val="24"/>
          <w:szCs w:val="24"/>
        </w:rPr>
        <w:t>vivienda</w:t>
      </w:r>
      <w:proofErr w:type="spellEnd"/>
      <w:r w:rsidRPr="00144782">
        <w:rPr>
          <w:rFonts w:ascii="Times New Roman" w:hAnsi="Times New Roman" w:cs="Times New Roman"/>
          <w:sz w:val="24"/>
          <w:szCs w:val="24"/>
        </w:rPr>
        <w:t xml:space="preserve"> y examina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estructuras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responsables</w:t>
      </w:r>
      <w:proofErr w:type="spellEnd"/>
      <w:r w:rsidRPr="00144782">
        <w:rPr>
          <w:rFonts w:ascii="Times New Roman" w:hAnsi="Times New Roman" w:cs="Times New Roman"/>
          <w:sz w:val="24"/>
          <w:szCs w:val="24"/>
        </w:rPr>
        <w:t xml:space="preserve"> de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concepción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del</w:t>
      </w:r>
      <w:proofErr w:type="spellEnd"/>
      <w:r w:rsidRPr="00144782">
        <w:rPr>
          <w:rFonts w:ascii="Times New Roman" w:hAnsi="Times New Roman" w:cs="Times New Roman"/>
          <w:sz w:val="24"/>
          <w:szCs w:val="24"/>
        </w:rPr>
        <w:t xml:space="preserve"> Programa,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instancias participativas que </w:t>
      </w:r>
      <w:proofErr w:type="spellStart"/>
      <w:r w:rsidRPr="00144782">
        <w:rPr>
          <w:rFonts w:ascii="Times New Roman" w:hAnsi="Times New Roman" w:cs="Times New Roman"/>
          <w:sz w:val="24"/>
          <w:szCs w:val="24"/>
        </w:rPr>
        <w:t>lo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rodean</w:t>
      </w:r>
      <w:proofErr w:type="spellEnd"/>
      <w:r w:rsidRPr="00144782">
        <w:rPr>
          <w:rFonts w:ascii="Times New Roman" w:hAnsi="Times New Roman" w:cs="Times New Roman"/>
          <w:sz w:val="24"/>
          <w:szCs w:val="24"/>
        </w:rPr>
        <w:t xml:space="preserve"> y </w:t>
      </w:r>
      <w:proofErr w:type="spellStart"/>
      <w:r w:rsidRPr="00144782">
        <w:rPr>
          <w:rFonts w:ascii="Times New Roman" w:hAnsi="Times New Roman" w:cs="Times New Roman"/>
          <w:sz w:val="24"/>
          <w:szCs w:val="24"/>
        </w:rPr>
        <w:t>los</w:t>
      </w:r>
      <w:proofErr w:type="spellEnd"/>
      <w:r w:rsidRPr="00144782">
        <w:rPr>
          <w:rFonts w:ascii="Times New Roman" w:hAnsi="Times New Roman" w:cs="Times New Roman"/>
          <w:sz w:val="24"/>
          <w:szCs w:val="24"/>
        </w:rPr>
        <w:t xml:space="preserve"> marcos </w:t>
      </w:r>
      <w:proofErr w:type="spellStart"/>
      <w:r w:rsidRPr="00144782">
        <w:rPr>
          <w:rFonts w:ascii="Times New Roman" w:hAnsi="Times New Roman" w:cs="Times New Roman"/>
          <w:sz w:val="24"/>
          <w:szCs w:val="24"/>
        </w:rPr>
        <w:t>regulatorios</w:t>
      </w:r>
      <w:proofErr w:type="spellEnd"/>
      <w:r w:rsidRPr="00144782">
        <w:rPr>
          <w:rFonts w:ascii="Times New Roman" w:hAnsi="Times New Roman" w:cs="Times New Roman"/>
          <w:sz w:val="24"/>
          <w:szCs w:val="24"/>
        </w:rPr>
        <w:t xml:space="preserve"> que se </w:t>
      </w:r>
      <w:proofErr w:type="spellStart"/>
      <w:r w:rsidRPr="00144782">
        <w:rPr>
          <w:rFonts w:ascii="Times New Roman" w:hAnsi="Times New Roman" w:cs="Times New Roman"/>
          <w:sz w:val="24"/>
          <w:szCs w:val="24"/>
        </w:rPr>
        <w:t>correlacionan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con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ellas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segundo, se centra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identificar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presiones</w:t>
      </w:r>
      <w:proofErr w:type="spellEnd"/>
      <w:r w:rsidRPr="00144782">
        <w:rPr>
          <w:rFonts w:ascii="Times New Roman" w:hAnsi="Times New Roman" w:cs="Times New Roman"/>
          <w:sz w:val="24"/>
          <w:szCs w:val="24"/>
        </w:rPr>
        <w:t xml:space="preserve"> externas sobre </w:t>
      </w:r>
      <w:proofErr w:type="spellStart"/>
      <w:r w:rsidRPr="00144782">
        <w:rPr>
          <w:rFonts w:ascii="Times New Roman" w:hAnsi="Times New Roman" w:cs="Times New Roman"/>
          <w:sz w:val="24"/>
          <w:szCs w:val="24"/>
        </w:rPr>
        <w:lastRenderedPageBreak/>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estructura</w:t>
      </w:r>
      <w:proofErr w:type="spellEnd"/>
      <w:r w:rsidRPr="00144782">
        <w:rPr>
          <w:rFonts w:ascii="Times New Roman" w:hAnsi="Times New Roman" w:cs="Times New Roman"/>
          <w:sz w:val="24"/>
          <w:szCs w:val="24"/>
        </w:rPr>
        <w:t xml:space="preserve"> estatal, </w:t>
      </w:r>
      <w:proofErr w:type="spellStart"/>
      <w:r w:rsidRPr="00144782">
        <w:rPr>
          <w:rFonts w:ascii="Times New Roman" w:hAnsi="Times New Roman" w:cs="Times New Roman"/>
          <w:sz w:val="24"/>
          <w:szCs w:val="24"/>
        </w:rPr>
        <w:t>incluyendo</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los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efectos</w:t>
      </w:r>
      <w:proofErr w:type="spellEnd"/>
      <w:r w:rsidRPr="00144782">
        <w:rPr>
          <w:rFonts w:ascii="Times New Roman" w:hAnsi="Times New Roman" w:cs="Times New Roman"/>
          <w:sz w:val="24"/>
          <w:szCs w:val="24"/>
        </w:rPr>
        <w:t xml:space="preserve"> de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reformas </w:t>
      </w:r>
      <w:proofErr w:type="spellStart"/>
      <w:r w:rsidRPr="00144782">
        <w:rPr>
          <w:rFonts w:ascii="Times New Roman" w:hAnsi="Times New Roman" w:cs="Times New Roman"/>
          <w:sz w:val="24"/>
          <w:szCs w:val="24"/>
        </w:rPr>
        <w:t>neoliberales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financiamiento</w:t>
      </w:r>
      <w:proofErr w:type="spellEnd"/>
      <w:r w:rsidRPr="00144782">
        <w:rPr>
          <w:rFonts w:ascii="Times New Roman" w:hAnsi="Times New Roman" w:cs="Times New Roman"/>
          <w:sz w:val="24"/>
          <w:szCs w:val="24"/>
        </w:rPr>
        <w:t xml:space="preserve"> de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políticas </w:t>
      </w:r>
      <w:proofErr w:type="spellStart"/>
      <w:r w:rsidRPr="00144782">
        <w:rPr>
          <w:rFonts w:ascii="Times New Roman" w:hAnsi="Times New Roman" w:cs="Times New Roman"/>
          <w:sz w:val="24"/>
          <w:szCs w:val="24"/>
        </w:rPr>
        <w:t>sociales</w:t>
      </w:r>
      <w:proofErr w:type="spellEnd"/>
      <w:r w:rsidRPr="00144782">
        <w:rPr>
          <w:rFonts w:ascii="Times New Roman" w:hAnsi="Times New Roman" w:cs="Times New Roman"/>
          <w:sz w:val="24"/>
          <w:szCs w:val="24"/>
        </w:rPr>
        <w:t xml:space="preserve"> y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papel de </w:t>
      </w:r>
      <w:proofErr w:type="spellStart"/>
      <w:r w:rsidRPr="00144782">
        <w:rPr>
          <w:rFonts w:ascii="Times New Roman" w:hAnsi="Times New Roman" w:cs="Times New Roman"/>
          <w:sz w:val="24"/>
          <w:szCs w:val="24"/>
        </w:rPr>
        <w:t>los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movimientos</w:t>
      </w:r>
      <w:proofErr w:type="spellEnd"/>
      <w:r w:rsidRPr="00144782">
        <w:rPr>
          <w:rFonts w:ascii="Times New Roman" w:hAnsi="Times New Roman" w:cs="Times New Roman"/>
          <w:sz w:val="24"/>
          <w:szCs w:val="24"/>
        </w:rPr>
        <w:t xml:space="preserve"> populares </w:t>
      </w:r>
      <w:proofErr w:type="spellStart"/>
      <w:r w:rsidRPr="00144782">
        <w:rPr>
          <w:rFonts w:ascii="Times New Roman" w:hAnsi="Times New Roman" w:cs="Times New Roman"/>
          <w:sz w:val="24"/>
          <w:szCs w:val="24"/>
        </w:rPr>
        <w:t>en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agenda de </w:t>
      </w:r>
      <w:proofErr w:type="spellStart"/>
      <w:r w:rsidRPr="00144782">
        <w:rPr>
          <w:rFonts w:ascii="Times New Roman" w:hAnsi="Times New Roman" w:cs="Times New Roman"/>
          <w:sz w:val="24"/>
          <w:szCs w:val="24"/>
        </w:rPr>
        <w:t>vivienda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tercero</w:t>
      </w:r>
      <w:proofErr w:type="spellEnd"/>
      <w:r w:rsidRPr="00144782">
        <w:rPr>
          <w:rFonts w:ascii="Times New Roman" w:hAnsi="Times New Roman" w:cs="Times New Roman"/>
          <w:sz w:val="24"/>
          <w:szCs w:val="24"/>
        </w:rPr>
        <w:t xml:space="preserve"> se dedica a </w:t>
      </w:r>
      <w:proofErr w:type="spellStart"/>
      <w:r w:rsidRPr="00144782">
        <w:rPr>
          <w:rFonts w:ascii="Times New Roman" w:hAnsi="Times New Roman" w:cs="Times New Roman"/>
          <w:sz w:val="24"/>
          <w:szCs w:val="24"/>
        </w:rPr>
        <w:t>comprender</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arreglo jurídico-institucional y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sistema de </w:t>
      </w:r>
      <w:proofErr w:type="spellStart"/>
      <w:r w:rsidRPr="00144782">
        <w:rPr>
          <w:rFonts w:ascii="Times New Roman" w:hAnsi="Times New Roman" w:cs="Times New Roman"/>
          <w:sz w:val="24"/>
          <w:szCs w:val="24"/>
        </w:rPr>
        <w:t>gobierno</w:t>
      </w:r>
      <w:proofErr w:type="spellEnd"/>
      <w:r w:rsidRPr="00144782">
        <w:rPr>
          <w:rFonts w:ascii="Times New Roman" w:hAnsi="Times New Roman" w:cs="Times New Roman"/>
          <w:sz w:val="24"/>
          <w:szCs w:val="24"/>
        </w:rPr>
        <w:t xml:space="preserve">, investigando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efecto</w:t>
      </w:r>
      <w:proofErr w:type="spellEnd"/>
      <w:r w:rsidRPr="00144782">
        <w:rPr>
          <w:rFonts w:ascii="Times New Roman" w:hAnsi="Times New Roman" w:cs="Times New Roman"/>
          <w:sz w:val="24"/>
          <w:szCs w:val="24"/>
        </w:rPr>
        <w:t xml:space="preserve"> de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coaliciones</w:t>
      </w:r>
      <w:proofErr w:type="spellEnd"/>
      <w:r w:rsidRPr="00144782">
        <w:rPr>
          <w:rFonts w:ascii="Times New Roman" w:hAnsi="Times New Roman" w:cs="Times New Roman"/>
          <w:sz w:val="24"/>
          <w:szCs w:val="24"/>
        </w:rPr>
        <w:t xml:space="preserve"> políticas y </w:t>
      </w:r>
      <w:proofErr w:type="spellStart"/>
      <w:r w:rsidRPr="00144782">
        <w:rPr>
          <w:rFonts w:ascii="Times New Roman" w:hAnsi="Times New Roman" w:cs="Times New Roman"/>
          <w:sz w:val="24"/>
          <w:szCs w:val="24"/>
        </w:rPr>
        <w:t>los</w:t>
      </w:r>
      <w:proofErr w:type="spellEnd"/>
      <w:r w:rsidRPr="00144782">
        <w:rPr>
          <w:rFonts w:ascii="Times New Roman" w:hAnsi="Times New Roman" w:cs="Times New Roman"/>
          <w:sz w:val="24"/>
          <w:szCs w:val="24"/>
        </w:rPr>
        <w:t xml:space="preserve"> mecanismos de </w:t>
      </w:r>
      <w:proofErr w:type="spellStart"/>
      <w:r w:rsidRPr="00144782">
        <w:rPr>
          <w:rFonts w:ascii="Times New Roman" w:hAnsi="Times New Roman" w:cs="Times New Roman"/>
          <w:sz w:val="24"/>
          <w:szCs w:val="24"/>
        </w:rPr>
        <w:t>gobernabilidad</w:t>
      </w:r>
      <w:proofErr w:type="spellEnd"/>
      <w:r w:rsidRPr="00144782">
        <w:rPr>
          <w:rFonts w:ascii="Times New Roman" w:hAnsi="Times New Roman" w:cs="Times New Roman"/>
          <w:sz w:val="24"/>
          <w:szCs w:val="24"/>
        </w:rPr>
        <w:t xml:space="preserve"> y </w:t>
      </w:r>
      <w:proofErr w:type="spellStart"/>
      <w:r w:rsidRPr="00144782">
        <w:rPr>
          <w:rFonts w:ascii="Times New Roman" w:hAnsi="Times New Roman" w:cs="Times New Roman"/>
          <w:sz w:val="24"/>
          <w:szCs w:val="24"/>
        </w:rPr>
        <w:t>gobernanza</w:t>
      </w:r>
      <w:proofErr w:type="spellEnd"/>
      <w:r w:rsidRPr="00144782">
        <w:rPr>
          <w:rFonts w:ascii="Times New Roman" w:hAnsi="Times New Roman" w:cs="Times New Roman"/>
          <w:sz w:val="24"/>
          <w:szCs w:val="24"/>
        </w:rPr>
        <w:t xml:space="preserve"> que </w:t>
      </w:r>
      <w:proofErr w:type="spellStart"/>
      <w:r w:rsidRPr="00144782">
        <w:rPr>
          <w:rFonts w:ascii="Times New Roman" w:hAnsi="Times New Roman" w:cs="Times New Roman"/>
          <w:sz w:val="24"/>
          <w:szCs w:val="24"/>
        </w:rPr>
        <w:t>condicionan</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acción</w:t>
      </w:r>
      <w:proofErr w:type="spellEnd"/>
      <w:r w:rsidRPr="00144782">
        <w:rPr>
          <w:rFonts w:ascii="Times New Roman" w:hAnsi="Times New Roman" w:cs="Times New Roman"/>
          <w:sz w:val="24"/>
          <w:szCs w:val="24"/>
        </w:rPr>
        <w:t xml:space="preserve"> estatal; finalmente, </w:t>
      </w:r>
      <w:proofErr w:type="spellStart"/>
      <w:r w:rsidRPr="00144782">
        <w:rPr>
          <w:rFonts w:ascii="Times New Roman" w:hAnsi="Times New Roman" w:cs="Times New Roman"/>
          <w:sz w:val="24"/>
          <w:szCs w:val="24"/>
        </w:rPr>
        <w:t>analiza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el</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desarrollo</w:t>
      </w:r>
      <w:proofErr w:type="spellEnd"/>
      <w:r w:rsidRPr="00144782">
        <w:rPr>
          <w:rFonts w:ascii="Times New Roman" w:hAnsi="Times New Roman" w:cs="Times New Roman"/>
          <w:sz w:val="24"/>
          <w:szCs w:val="24"/>
        </w:rPr>
        <w:t xml:space="preserve"> de capacidades </w:t>
      </w:r>
      <w:proofErr w:type="spellStart"/>
      <w:r w:rsidRPr="00144782">
        <w:rPr>
          <w:rFonts w:ascii="Times New Roman" w:hAnsi="Times New Roman" w:cs="Times New Roman"/>
          <w:sz w:val="24"/>
          <w:szCs w:val="24"/>
        </w:rPr>
        <w:t>gubernamentales</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fundamentales</w:t>
      </w:r>
      <w:proofErr w:type="spellEnd"/>
      <w:r w:rsidRPr="00144782">
        <w:rPr>
          <w:rFonts w:ascii="Times New Roman" w:hAnsi="Times New Roman" w:cs="Times New Roman"/>
          <w:sz w:val="24"/>
          <w:szCs w:val="24"/>
        </w:rPr>
        <w:t xml:space="preserve"> para </w:t>
      </w:r>
      <w:proofErr w:type="spellStart"/>
      <w:r w:rsidRPr="00144782">
        <w:rPr>
          <w:rFonts w:ascii="Times New Roman" w:hAnsi="Times New Roman" w:cs="Times New Roman"/>
          <w:sz w:val="24"/>
          <w:szCs w:val="24"/>
        </w:rPr>
        <w:t>la</w:t>
      </w:r>
      <w:proofErr w:type="spellEnd"/>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efectividad</w:t>
      </w:r>
      <w:proofErr w:type="spellEnd"/>
      <w:r w:rsidRPr="00144782">
        <w:rPr>
          <w:rFonts w:ascii="Times New Roman" w:hAnsi="Times New Roman" w:cs="Times New Roman"/>
          <w:sz w:val="24"/>
          <w:szCs w:val="24"/>
        </w:rPr>
        <w:t xml:space="preserve"> de </w:t>
      </w:r>
      <w:proofErr w:type="spellStart"/>
      <w:r w:rsidRPr="00144782">
        <w:rPr>
          <w:rFonts w:ascii="Times New Roman" w:hAnsi="Times New Roman" w:cs="Times New Roman"/>
          <w:sz w:val="24"/>
          <w:szCs w:val="24"/>
        </w:rPr>
        <w:t>las</w:t>
      </w:r>
      <w:proofErr w:type="spellEnd"/>
      <w:r w:rsidRPr="00144782">
        <w:rPr>
          <w:rFonts w:ascii="Times New Roman" w:hAnsi="Times New Roman" w:cs="Times New Roman"/>
          <w:sz w:val="24"/>
          <w:szCs w:val="24"/>
        </w:rPr>
        <w:t xml:space="preserve"> políticas </w:t>
      </w:r>
      <w:proofErr w:type="spellStart"/>
      <w:r w:rsidRPr="00144782">
        <w:rPr>
          <w:rFonts w:ascii="Times New Roman" w:hAnsi="Times New Roman" w:cs="Times New Roman"/>
          <w:sz w:val="24"/>
          <w:szCs w:val="24"/>
        </w:rPr>
        <w:t>sociales</w:t>
      </w:r>
      <w:proofErr w:type="spellEnd"/>
      <w:r w:rsidRPr="00144782">
        <w:rPr>
          <w:rFonts w:ascii="Times New Roman" w:hAnsi="Times New Roman" w:cs="Times New Roman"/>
          <w:sz w:val="24"/>
          <w:szCs w:val="24"/>
        </w:rPr>
        <w:t xml:space="preserve">, considerando sus dimensiones política, técnico-administrativa y </w:t>
      </w:r>
      <w:proofErr w:type="spellStart"/>
      <w:r w:rsidRPr="00144782">
        <w:rPr>
          <w:rFonts w:ascii="Times New Roman" w:hAnsi="Times New Roman" w:cs="Times New Roman"/>
          <w:sz w:val="24"/>
          <w:szCs w:val="24"/>
        </w:rPr>
        <w:t>creativa</w:t>
      </w:r>
      <w:proofErr w:type="spellEnd"/>
      <w:r w:rsidRPr="00144782">
        <w:rPr>
          <w:rFonts w:ascii="Times New Roman" w:hAnsi="Times New Roman" w:cs="Times New Roman"/>
          <w:sz w:val="24"/>
          <w:szCs w:val="24"/>
        </w:rPr>
        <w:t>.</w:t>
      </w:r>
    </w:p>
    <w:p w14:paraId="603DB538" w14:textId="34CC3826" w:rsidR="004438B9" w:rsidRPr="00144782" w:rsidRDefault="004438B9" w:rsidP="00144782">
      <w:pPr>
        <w:spacing w:after="0" w:line="360" w:lineRule="auto"/>
        <w:jc w:val="both"/>
        <w:rPr>
          <w:rFonts w:ascii="Times New Roman" w:hAnsi="Times New Roman" w:cs="Times New Roman"/>
          <w:sz w:val="24"/>
          <w:szCs w:val="24"/>
        </w:rPr>
      </w:pPr>
      <w:proofErr w:type="spellStart"/>
      <w:r w:rsidRPr="00144782">
        <w:rPr>
          <w:rFonts w:ascii="Times New Roman" w:hAnsi="Times New Roman" w:cs="Times New Roman"/>
          <w:b/>
          <w:bCs/>
          <w:sz w:val="24"/>
          <w:szCs w:val="24"/>
        </w:rPr>
        <w:t>Palabras</w:t>
      </w:r>
      <w:proofErr w:type="spellEnd"/>
      <w:r w:rsidRPr="00144782">
        <w:rPr>
          <w:rFonts w:ascii="Times New Roman" w:hAnsi="Times New Roman" w:cs="Times New Roman"/>
          <w:b/>
          <w:bCs/>
          <w:sz w:val="24"/>
          <w:szCs w:val="24"/>
        </w:rPr>
        <w:t>-</w:t>
      </w:r>
      <w:r w:rsidRPr="00144782">
        <w:rPr>
          <w:rFonts w:ascii="Times New Roman" w:hAnsi="Times New Roman" w:cs="Times New Roman"/>
          <w:b/>
          <w:bCs/>
          <w:sz w:val="24"/>
          <w:szCs w:val="24"/>
        </w:rPr>
        <w:t>clave:</w:t>
      </w:r>
      <w:r w:rsidRPr="00144782">
        <w:rPr>
          <w:rFonts w:ascii="Times New Roman" w:hAnsi="Times New Roman" w:cs="Times New Roman"/>
          <w:sz w:val="24"/>
          <w:szCs w:val="24"/>
        </w:rPr>
        <w:t xml:space="preserve"> </w:t>
      </w:r>
      <w:proofErr w:type="spellStart"/>
      <w:r w:rsidRPr="00144782">
        <w:rPr>
          <w:rFonts w:ascii="Times New Roman" w:hAnsi="Times New Roman" w:cs="Times New Roman"/>
          <w:sz w:val="24"/>
          <w:szCs w:val="24"/>
        </w:rPr>
        <w:t>Vivienda</w:t>
      </w:r>
      <w:proofErr w:type="spellEnd"/>
      <w:r w:rsidRPr="00144782">
        <w:rPr>
          <w:rFonts w:ascii="Times New Roman" w:hAnsi="Times New Roman" w:cs="Times New Roman"/>
          <w:sz w:val="24"/>
          <w:szCs w:val="24"/>
        </w:rPr>
        <w:t xml:space="preserve"> social; </w:t>
      </w:r>
      <w:proofErr w:type="spellStart"/>
      <w:r w:rsidRPr="00144782">
        <w:rPr>
          <w:rFonts w:ascii="Times New Roman" w:hAnsi="Times New Roman" w:cs="Times New Roman"/>
          <w:sz w:val="24"/>
          <w:szCs w:val="24"/>
        </w:rPr>
        <w:t>Derecho</w:t>
      </w:r>
      <w:proofErr w:type="spellEnd"/>
      <w:r w:rsidRPr="00144782">
        <w:rPr>
          <w:rFonts w:ascii="Times New Roman" w:hAnsi="Times New Roman" w:cs="Times New Roman"/>
          <w:sz w:val="24"/>
          <w:szCs w:val="24"/>
        </w:rPr>
        <w:t xml:space="preserve"> y políticas públicas; Gobierno.</w:t>
      </w:r>
    </w:p>
    <w:p w14:paraId="6819D418" w14:textId="77777777" w:rsidR="00A80277" w:rsidRPr="00A80277" w:rsidRDefault="00A80277" w:rsidP="00144782">
      <w:pPr>
        <w:pStyle w:val="CorpodoTextoABNT0"/>
        <w:ind w:firstLine="0"/>
      </w:pPr>
    </w:p>
    <w:p w14:paraId="156C2225" w14:textId="2A1F7480" w:rsidR="00935509" w:rsidRPr="00935509" w:rsidRDefault="00935509" w:rsidP="00144782">
      <w:pPr>
        <w:pStyle w:val="Ttulo1"/>
      </w:pPr>
      <w:r w:rsidRPr="00935509">
        <w:t xml:space="preserve">Introdução </w:t>
      </w:r>
    </w:p>
    <w:bookmarkEnd w:id="0"/>
    <w:p w14:paraId="3903927A" w14:textId="77777777" w:rsidR="00935509" w:rsidRDefault="00935509" w:rsidP="00935509">
      <w:pPr>
        <w:spacing w:after="0" w:line="360" w:lineRule="auto"/>
        <w:jc w:val="both"/>
        <w:rPr>
          <w:rFonts w:ascii="Times New Roman" w:hAnsi="Times New Roman" w:cs="Times New Roman"/>
          <w:sz w:val="24"/>
          <w:szCs w:val="24"/>
        </w:rPr>
      </w:pPr>
    </w:p>
    <w:p w14:paraId="27B64AF3" w14:textId="2C98912A" w:rsidR="00E02510" w:rsidRDefault="00DE3911" w:rsidP="00A80277">
      <w:pPr>
        <w:pStyle w:val="CorpodoTextoABNT0"/>
        <w:rPr>
          <w:rStyle w:val="CorpoChar"/>
        </w:rPr>
      </w:pPr>
      <w:r w:rsidRPr="00935509">
        <w:t>A</w:t>
      </w:r>
      <w:r w:rsidR="001A132A">
        <w:t xml:space="preserve"> </w:t>
      </w:r>
      <w:bookmarkStart w:id="1" w:name="_Hlk223983151"/>
      <w:r w:rsidR="001A132A">
        <w:t>experiência de</w:t>
      </w:r>
      <w:r w:rsidRPr="00935509">
        <w:t xml:space="preserve"> pesquisa ora apresentada</w:t>
      </w:r>
      <w:r w:rsidR="001A132A">
        <w:t xml:space="preserve">, </w:t>
      </w:r>
      <w:r w:rsidR="00531063">
        <w:t>um recorte de uma tese de doutorado defendida junto ao</w:t>
      </w:r>
      <w:r w:rsidR="001A132A">
        <w:t xml:space="preserve"> Programa de Pós-Graduação em Estado e Sociedade da Universidade Federal do Sul da Bahia</w:t>
      </w:r>
      <w:bookmarkEnd w:id="1"/>
      <w:r w:rsidR="001A132A">
        <w:t>,</w:t>
      </w:r>
      <w:r w:rsidRPr="00935509">
        <w:t xml:space="preserve"> </w:t>
      </w:r>
      <w:r w:rsidR="009E1E78" w:rsidRPr="00935509">
        <w:t>se insere em um</w:t>
      </w:r>
      <w:r w:rsidR="00A211ED" w:rsidRPr="00935509">
        <w:t xml:space="preserve"> debate</w:t>
      </w:r>
      <w:r w:rsidR="009E1E78" w:rsidRPr="00935509">
        <w:t xml:space="preserve"> mais amplo</w:t>
      </w:r>
      <w:r w:rsidR="00A211ED" w:rsidRPr="00935509">
        <w:t xml:space="preserve"> sobre a mercantilização do espaço urbano promovida pelo Estado, </w:t>
      </w:r>
      <w:r w:rsidR="009E1E78" w:rsidRPr="00935509">
        <w:t xml:space="preserve">ao normatizar </w:t>
      </w:r>
      <w:r w:rsidR="00A211ED" w:rsidRPr="00935509">
        <w:t xml:space="preserve">a reprodução do capitalismo nas cidades, apoiando-se em estruturas jurídico-institucionais que legitimam tais interesses. Nesse cenário, </w:t>
      </w:r>
      <w:r w:rsidR="00D71EF5" w:rsidRPr="00935509">
        <w:t xml:space="preserve">em que </w:t>
      </w:r>
      <w:r w:rsidR="00A211ED" w:rsidRPr="00935509">
        <w:t xml:space="preserve">a habitação ocupa um posto privilegiado, vez que se afigura como suporte material para a </w:t>
      </w:r>
      <w:r w:rsidR="00D71EF5" w:rsidRPr="00935509">
        <w:t xml:space="preserve">concretização de outros direitos sociais, propõe-se </w:t>
      </w:r>
      <w:bookmarkStart w:id="2" w:name="_Hlk223983375"/>
      <w:r w:rsidR="00D71EF5" w:rsidRPr="00935509">
        <w:t xml:space="preserve">a análise </w:t>
      </w:r>
      <w:bookmarkEnd w:id="2"/>
      <w:r w:rsidR="00E02510">
        <w:t>da d</w:t>
      </w:r>
      <w:r w:rsidR="00E02510" w:rsidRPr="008A4880">
        <w:rPr>
          <w:rStyle w:val="CorpoChar"/>
        </w:rPr>
        <w:t xml:space="preserve">ecisão governamental </w:t>
      </w:r>
      <w:r w:rsidR="00E02510">
        <w:rPr>
          <w:rStyle w:val="CorpoChar"/>
        </w:rPr>
        <w:t>que deu o tom do desenho jurídico-institucional do</w:t>
      </w:r>
      <w:r w:rsidR="00E02510" w:rsidRPr="008A4880">
        <w:rPr>
          <w:rStyle w:val="CorpoChar"/>
        </w:rPr>
        <w:t xml:space="preserve"> </w:t>
      </w:r>
      <w:r w:rsidR="00E02510">
        <w:rPr>
          <w:rStyle w:val="CorpoChar"/>
        </w:rPr>
        <w:t>Programa Minha Casa, Minha Vida (PMCMV)</w:t>
      </w:r>
      <w:r w:rsidR="00E02510" w:rsidRPr="008A4880">
        <w:rPr>
          <w:rStyle w:val="CorpoChar"/>
        </w:rPr>
        <w:t xml:space="preserve"> a partir do contexto e das disputas políticas no ambiente do governo que desafiaram a sua concepção</w:t>
      </w:r>
      <w:r w:rsidR="00B92F99">
        <w:rPr>
          <w:rStyle w:val="CorpoChar"/>
        </w:rPr>
        <w:t>, no governo Lula 2</w:t>
      </w:r>
      <w:r w:rsidR="00E02510">
        <w:rPr>
          <w:rStyle w:val="CorpoChar"/>
        </w:rPr>
        <w:t>.</w:t>
      </w:r>
    </w:p>
    <w:p w14:paraId="7DAE045D" w14:textId="0E71CC9B" w:rsidR="003E326C" w:rsidRDefault="003E326C" w:rsidP="00A80277">
      <w:pPr>
        <w:pStyle w:val="CorpodoTextoABNT0"/>
      </w:pPr>
      <w:r w:rsidRPr="00F436E4">
        <w:t xml:space="preserve">De pronto, anunciam-se </w:t>
      </w:r>
      <w:r>
        <w:t xml:space="preserve">duas </w:t>
      </w:r>
      <w:r w:rsidRPr="00F436E4">
        <w:t>concepções importantes</w:t>
      </w:r>
      <w:r w:rsidR="009E1E78">
        <w:t xml:space="preserve"> para o estudo</w:t>
      </w:r>
      <w:r w:rsidRPr="00F436E4">
        <w:t>: a de política pública</w:t>
      </w:r>
      <w:r>
        <w:t xml:space="preserve"> e </w:t>
      </w:r>
      <w:r w:rsidRPr="00F436E4">
        <w:t>a de habitação</w:t>
      </w:r>
      <w:r>
        <w:t>. Quanto à primeira, adota-se</w:t>
      </w:r>
      <w:r w:rsidR="009E1E78">
        <w:t xml:space="preserve"> aquela</w:t>
      </w:r>
      <w:r>
        <w:t xml:space="preserve"> </w:t>
      </w:r>
      <w:r w:rsidRPr="00F436E4">
        <w:t>defendid</w:t>
      </w:r>
      <w:r w:rsidR="009E1E78">
        <w:t>a</w:t>
      </w:r>
      <w:r w:rsidRPr="00F436E4">
        <w:t xml:space="preserve"> por Maria Paula Bucci, que realça o papel do </w:t>
      </w:r>
      <w:r w:rsidR="009E1E78">
        <w:t>D</w:t>
      </w:r>
      <w:r w:rsidRPr="00F436E4">
        <w:t xml:space="preserve">ireito no disciplinamento das formas </w:t>
      </w:r>
      <w:r w:rsidR="009E1E78">
        <w:t>por meio</w:t>
      </w:r>
      <w:r w:rsidRPr="00F436E4">
        <w:t xml:space="preserve"> das quais se expressa a atuação dos governos, definindo-a como “o programa de ação governamental que resulta de um processo ou conjunto de processos juridicamente regulados [...] visando coordenar os meios à disposição do Estado e as atividades privadas, para realização de objetivos socialmente relevantes e politicamente determinados” </w:t>
      </w:r>
      <w:sdt>
        <w:sdtPr>
          <w:id w:val="-1517460747"/>
          <w:citation/>
        </w:sdtPr>
        <w:sdtContent>
          <w:r w:rsidRPr="00F436E4">
            <w:fldChar w:fldCharType="begin"/>
          </w:r>
          <w:r w:rsidRPr="00F436E4">
            <w:instrText xml:space="preserve">CITATION Buc06 \p 39 \l 1046 </w:instrText>
          </w:r>
          <w:r w:rsidRPr="00F436E4">
            <w:fldChar w:fldCharType="separate"/>
          </w:r>
          <w:r w:rsidR="004438B9">
            <w:rPr>
              <w:noProof/>
            </w:rPr>
            <w:t>(BUCCI, 2006, p. 39)</w:t>
          </w:r>
          <w:r w:rsidRPr="00F436E4">
            <w:fldChar w:fldCharType="end"/>
          </w:r>
        </w:sdtContent>
      </w:sdt>
      <w:r w:rsidR="009E1E78">
        <w:t xml:space="preserve">, constituindo-se como </w:t>
      </w:r>
      <w:r w:rsidRPr="00F436E4">
        <w:t xml:space="preserve">respostas a demandas de grande escala sobre problemas complexos </w:t>
      </w:r>
      <w:sdt>
        <w:sdtPr>
          <w:id w:val="813766995"/>
          <w:citation/>
        </w:sdtPr>
        <w:sdtContent>
          <w:r w:rsidRPr="00F436E4">
            <w:fldChar w:fldCharType="begin"/>
          </w:r>
          <w:r w:rsidRPr="00F436E4">
            <w:instrText xml:space="preserve">CITATION Mar21 \p 37 \l 1046 </w:instrText>
          </w:r>
          <w:r w:rsidRPr="00F436E4">
            <w:fldChar w:fldCharType="separate"/>
          </w:r>
          <w:r w:rsidR="004438B9">
            <w:rPr>
              <w:noProof/>
            </w:rPr>
            <w:t>(BUCCI, 2021, p. 37)</w:t>
          </w:r>
          <w:r w:rsidRPr="00F436E4">
            <w:fldChar w:fldCharType="end"/>
          </w:r>
        </w:sdtContent>
      </w:sdt>
      <w:r w:rsidRPr="00F436E4">
        <w:t>.</w:t>
      </w:r>
    </w:p>
    <w:p w14:paraId="250ADCF3" w14:textId="5B485A36" w:rsidR="003E326C" w:rsidRPr="00F436E4" w:rsidRDefault="003E326C" w:rsidP="00A80277">
      <w:pPr>
        <w:pStyle w:val="CorpodoTextoABNT0"/>
      </w:pPr>
      <w:r w:rsidRPr="00F436E4">
        <w:t xml:space="preserve">A concepção da habitação nas cidades enquanto um direito é, por sua vez, </w:t>
      </w:r>
      <w:r w:rsidR="009E1E78">
        <w:t xml:space="preserve">essencialmente </w:t>
      </w:r>
      <w:r w:rsidRPr="00F436E4">
        <w:t>complexa, tendo em vista que aglutina em um único núcleo uma série de dimensões que exigem atenção pública: a moradia</w:t>
      </w:r>
      <w:r w:rsidR="009E1E78">
        <w:t xml:space="preserve"> propriamente</w:t>
      </w:r>
      <w:r w:rsidRPr="00F436E4">
        <w:t xml:space="preserve">, a instalação de equipamentos sociais, o acesso ao mercado de trabalho, a mobilidade, dentre outros elementos que viabilizam a integração à vida urbana, além do amadurecimento de legislações urbanísticas. Demais disso, </w:t>
      </w:r>
      <w:r w:rsidRPr="00F436E4">
        <w:lastRenderedPageBreak/>
        <w:t>o elevado custo da moradia, que ultrapassa a capacidade de pagamento da população pobre – sendo</w:t>
      </w:r>
      <w:r w:rsidR="009E1E78">
        <w:t>,</w:t>
      </w:r>
      <w:r w:rsidRPr="00F436E4">
        <w:t xml:space="preserve"> por essa razão</w:t>
      </w:r>
      <w:r w:rsidR="009E1E78">
        <w:t>,</w:t>
      </w:r>
      <w:r w:rsidRPr="00F436E4">
        <w:t xml:space="preserve"> caracterizada por Ermínia Maricato </w:t>
      </w:r>
      <w:sdt>
        <w:sdtPr>
          <w:id w:val="-202401959"/>
          <w:citation/>
        </w:sdtPr>
        <w:sdtContent>
          <w:r w:rsidRPr="00F436E4">
            <w:fldChar w:fldCharType="begin"/>
          </w:r>
          <w:r w:rsidRPr="00F436E4">
            <w:instrText xml:space="preserve">CITATION Erm97 \n  \t  \l 1046 </w:instrText>
          </w:r>
          <w:r w:rsidRPr="00F436E4">
            <w:fldChar w:fldCharType="separate"/>
          </w:r>
          <w:r w:rsidR="004438B9">
            <w:rPr>
              <w:noProof/>
            </w:rPr>
            <w:t>(1997)</w:t>
          </w:r>
          <w:r w:rsidRPr="00F436E4">
            <w:fldChar w:fldCharType="end"/>
          </w:r>
        </w:sdtContent>
      </w:sdt>
      <w:r w:rsidRPr="00F436E4">
        <w:t xml:space="preserve"> como uma “mercadoria especial” – implicam na necessária adoção, pelo Estado, de programas de ação que viabilizem a provisão e favoreçam a produção desse bem, num cenário em que é preciso mediar as relações entre o mercado imobiliário, o setor da construção civil e as </w:t>
      </w:r>
      <w:r w:rsidR="009E1E78">
        <w:t>necessidades</w:t>
      </w:r>
      <w:r w:rsidRPr="00F436E4">
        <w:t xml:space="preserve"> populares.</w:t>
      </w:r>
    </w:p>
    <w:p w14:paraId="74C172B7" w14:textId="183FE496" w:rsidR="003E326C" w:rsidRDefault="001D32A8" w:rsidP="003E326C">
      <w:pPr>
        <w:pStyle w:val="Corpo"/>
      </w:pPr>
      <w:r>
        <w:t>No</w:t>
      </w:r>
      <w:r w:rsidR="003E326C" w:rsidRPr="00F436E4">
        <w:t xml:space="preserve"> contexto da produção pública da habitação, tecnicamente chamada de </w:t>
      </w:r>
      <w:r w:rsidR="003E326C" w:rsidRPr="008A4880">
        <w:t>habitação de interesse social</w:t>
      </w:r>
      <w:r w:rsidR="003E326C" w:rsidRPr="00F436E4">
        <w:t xml:space="preserve">, o Estado atua como o principal agente da cadeia, na medida em que “agencia a aquisição de terras (em geral, públicas), a seleção da demanda, a origem dos recursos e a construção das unidades habitacionais (contratando empresas construtoras)” (SHIMBO, 2010, p. 50). Além disso, ele também pode exercer o papel de regulador do financiamento habitacional, por meio da disponibilização de fundos públicos e semipúblicos e do estabelecimento de políticas de crédito </w:t>
      </w:r>
      <w:sdt>
        <w:sdtPr>
          <w:id w:val="2146929338"/>
          <w:citation/>
        </w:sdtPr>
        <w:sdtContent>
          <w:r w:rsidR="003E326C" w:rsidRPr="00F436E4">
            <w:fldChar w:fldCharType="begin"/>
          </w:r>
          <w:r w:rsidR="003E326C" w:rsidRPr="00F436E4">
            <w:instrText xml:space="preserve"> CITATION Mor02 \l 1046 </w:instrText>
          </w:r>
          <w:r w:rsidR="003E326C" w:rsidRPr="00F436E4">
            <w:fldChar w:fldCharType="separate"/>
          </w:r>
          <w:r w:rsidR="004438B9">
            <w:rPr>
              <w:noProof/>
            </w:rPr>
            <w:t>(MORAIS, 2002)</w:t>
          </w:r>
          <w:r w:rsidR="003E326C" w:rsidRPr="00F436E4">
            <w:fldChar w:fldCharType="end"/>
          </w:r>
        </w:sdtContent>
      </w:sdt>
      <w:r w:rsidR="003E326C" w:rsidRPr="00F436E4">
        <w:t xml:space="preserve">, estratégias que consequentemente estimulam a produção privada de habitação. </w:t>
      </w:r>
    </w:p>
    <w:p w14:paraId="746FFD6F" w14:textId="68CF7F83" w:rsidR="00EC5D09" w:rsidRPr="00F436E4" w:rsidRDefault="003E326C" w:rsidP="00EC5D09">
      <w:pPr>
        <w:pStyle w:val="Corpo"/>
        <w:rPr>
          <w:rStyle w:val="CORPODOTEXTOABNTChar"/>
        </w:rPr>
      </w:pPr>
      <w:r w:rsidRPr="00F436E4">
        <w:t>Nesse binômio Estado-mercado</w:t>
      </w:r>
      <w:r w:rsidR="001D32A8">
        <w:t xml:space="preserve"> </w:t>
      </w:r>
      <w:r w:rsidRPr="00F436E4">
        <w:t>é que se localiza o PMCMV</w:t>
      </w:r>
      <w:r>
        <w:t>.</w:t>
      </w:r>
      <w:r w:rsidR="00EC5D09">
        <w:t xml:space="preserve"> </w:t>
      </w:r>
      <w:r w:rsidR="00EC5D09" w:rsidRPr="00F436E4">
        <w:t xml:space="preserve">Implantado em 25 de março de 2009 por meio da Medida Provisória nº 459, posteriormente convertida na Lei nº 11.977, de 07 de julho do mesmo ano, o Programa foi concebido pelos Ministérios da Fazenda e da Casa Civil em intenso diálogo com o setor empresarial, ocupando o </w:t>
      </w:r>
      <w:r w:rsidR="00EC5D09" w:rsidRPr="00F436E4">
        <w:rPr>
          <w:rStyle w:val="CORPODOTEXTOABNTChar"/>
        </w:rPr>
        <w:t>vazio no campo da habitação de interesse social deixado pela extinção do Banco Nacional de Habitação (BNH) em 1986 e pela ausência de uma es</w:t>
      </w:r>
      <w:r w:rsidR="00EC5D09" w:rsidRPr="00F436E4">
        <w:rPr>
          <w:rStyle w:val="CORPODOTEXTOABNTChar"/>
        </w:rPr>
        <w:softHyphen/>
        <w:t xml:space="preserve">trutura de âmbito federal organizada para a condução das políticas habitacional e urbana </w:t>
      </w:r>
      <w:sdt>
        <w:sdtPr>
          <w:rPr>
            <w:rStyle w:val="CORPODOTEXTOABNTChar"/>
          </w:rPr>
          <w:id w:val="-1173958018"/>
          <w:citation/>
        </w:sdtPr>
        <w:sdtContent>
          <w:r w:rsidR="00EC5D09" w:rsidRPr="00F436E4">
            <w:rPr>
              <w:rStyle w:val="CORPODOTEXTOABNTChar"/>
            </w:rPr>
            <w:fldChar w:fldCharType="begin"/>
          </w:r>
          <w:r w:rsidR="00EC5D09" w:rsidRPr="00F436E4">
            <w:rPr>
              <w:rStyle w:val="CORPODOTEXTOABNTChar"/>
            </w:rPr>
            <w:instrText xml:space="preserve"> CITATION Ada13 \l 1046 </w:instrText>
          </w:r>
          <w:r w:rsidR="00EC5D09" w:rsidRPr="00F436E4">
            <w:rPr>
              <w:rStyle w:val="CORPODOTEXTOABNTChar"/>
            </w:rPr>
            <w:fldChar w:fldCharType="separate"/>
          </w:r>
          <w:r w:rsidR="004438B9" w:rsidRPr="004438B9">
            <w:rPr>
              <w:noProof/>
              <w:color w:val="000000" w:themeColor="text1"/>
            </w:rPr>
            <w:t>(CARDOSO e ARAGÃO, 2013)</w:t>
          </w:r>
          <w:r w:rsidR="00EC5D09" w:rsidRPr="00F436E4">
            <w:rPr>
              <w:rStyle w:val="CORPODOTEXTOABNTChar"/>
            </w:rPr>
            <w:fldChar w:fldCharType="end"/>
          </w:r>
        </w:sdtContent>
      </w:sdt>
      <w:r w:rsidR="00EC5D09" w:rsidRPr="00F436E4">
        <w:rPr>
          <w:rStyle w:val="CORPODOTEXTOABNTChar"/>
        </w:rPr>
        <w:t>, ao tempo em que também fortalecia os ramos imobiliário e da construção civil, abalados pela crise</w:t>
      </w:r>
      <w:r w:rsidR="00935509">
        <w:rPr>
          <w:rStyle w:val="CORPODOTEXTOABNTChar"/>
        </w:rPr>
        <w:t xml:space="preserve"> </w:t>
      </w:r>
      <w:r w:rsidR="00935509" w:rsidRPr="00F436E4">
        <w:t>financeira global iniciada nos Estados Unidos em 2008</w:t>
      </w:r>
      <w:r w:rsidR="00EC5D09" w:rsidRPr="00F436E4">
        <w:rPr>
          <w:rStyle w:val="CORPODOTEXTOABNTChar"/>
        </w:rPr>
        <w:t xml:space="preserve"> e considerados pelo governo como estratégicos para o crescimento econômico (CHILVARQUER, 2018). </w:t>
      </w:r>
    </w:p>
    <w:p w14:paraId="62D3B9C9" w14:textId="77777777" w:rsidR="00144782" w:rsidRDefault="00935509" w:rsidP="00B92F99">
      <w:pPr>
        <w:pStyle w:val="Corpo"/>
      </w:pPr>
      <w:r w:rsidRPr="00F436E4">
        <w:rPr>
          <w:rStyle w:val="CorpoChar"/>
        </w:rPr>
        <w:t>Dentre as aludidas faixas de renda em que se dividem as modalidades do Programa, o presente trabalho</w:t>
      </w:r>
      <w:r>
        <w:rPr>
          <w:rStyle w:val="CorpoChar"/>
        </w:rPr>
        <w:t xml:space="preserve"> </w:t>
      </w:r>
      <w:r w:rsidRPr="00F436E4">
        <w:rPr>
          <w:rStyle w:val="CorpoChar"/>
        </w:rPr>
        <w:t>direciona a sua investigação para a mais popular, a Faixa 1, destinada inicialmente às famílias com receita mensal de até três salários mínimos, onde historicamente se adensa o déficit habitacional no Brasil</w:t>
      </w:r>
      <w:r w:rsidR="00B92F99">
        <w:t xml:space="preserve">. </w:t>
      </w:r>
    </w:p>
    <w:p w14:paraId="510188A3" w14:textId="6EAFA181" w:rsidR="00935509" w:rsidRPr="00F436E4" w:rsidRDefault="00935509" w:rsidP="00B92F99">
      <w:pPr>
        <w:pStyle w:val="Corpo"/>
        <w:rPr>
          <w:rStyle w:val="CorpoChar"/>
        </w:rPr>
      </w:pPr>
      <w:r w:rsidRPr="00F436E4">
        <w:rPr>
          <w:color w:val="000000" w:themeColor="text1"/>
        </w:rPr>
        <w:t xml:space="preserve">Sobre o tema, </w:t>
      </w:r>
      <w:r>
        <w:rPr>
          <w:color w:val="000000" w:themeColor="text1"/>
        </w:rPr>
        <w:t>parte-se</w:t>
      </w:r>
      <w:r w:rsidRPr="00F436E4">
        <w:rPr>
          <w:color w:val="000000" w:themeColor="text1"/>
        </w:rPr>
        <w:t xml:space="preserve"> de algumas constatações já consolidadas na literatura produzida no âmbito dos estudos urbanos, dentre as quais, destacam-se: o papel ativo do PMCMV na reprodução da segregação em função da renda e na reafirmação da periferia como lugar dos pobres nas cidades brasileiras </w:t>
      </w:r>
      <w:sdt>
        <w:sdtPr>
          <w:rPr>
            <w:color w:val="000000" w:themeColor="text1"/>
          </w:rPr>
          <w:id w:val="1175156408"/>
          <w:citation/>
        </w:sdtPr>
        <w:sdtContent>
          <w:r w:rsidRPr="00F436E4">
            <w:rPr>
              <w:color w:val="000000" w:themeColor="text1"/>
            </w:rPr>
            <w:fldChar w:fldCharType="begin"/>
          </w:r>
          <w:r w:rsidRPr="00F436E4">
            <w:rPr>
              <w:color w:val="000000" w:themeColor="text1"/>
            </w:rPr>
            <w:instrText xml:space="preserve"> CITATION alR15 \l 1046 </w:instrText>
          </w:r>
          <w:r w:rsidRPr="00F436E4">
            <w:rPr>
              <w:color w:val="000000" w:themeColor="text1"/>
            </w:rPr>
            <w:fldChar w:fldCharType="separate"/>
          </w:r>
          <w:r w:rsidR="004438B9" w:rsidRPr="004438B9">
            <w:rPr>
              <w:noProof/>
              <w:color w:val="000000" w:themeColor="text1"/>
            </w:rPr>
            <w:t xml:space="preserve">(ROLNIK, PEREIRA, </w:t>
          </w:r>
          <w:r w:rsidR="004438B9" w:rsidRPr="004438B9">
            <w:rPr>
              <w:i/>
              <w:iCs/>
              <w:noProof/>
              <w:color w:val="000000" w:themeColor="text1"/>
            </w:rPr>
            <w:t>et al.</w:t>
          </w:r>
          <w:r w:rsidR="004438B9" w:rsidRPr="004438B9">
            <w:rPr>
              <w:noProof/>
              <w:color w:val="000000" w:themeColor="text1"/>
            </w:rPr>
            <w:t>, 2015)</w:t>
          </w:r>
          <w:r w:rsidRPr="00F436E4">
            <w:rPr>
              <w:color w:val="000000" w:themeColor="text1"/>
            </w:rPr>
            <w:fldChar w:fldCharType="end"/>
          </w:r>
        </w:sdtContent>
      </w:sdt>
      <w:r w:rsidRPr="00F436E4">
        <w:rPr>
          <w:color w:val="000000" w:themeColor="text1"/>
        </w:rPr>
        <w:t xml:space="preserve">, sobretudo ao se considerar a precária infraestrutura de serviços disponibilizada pelo poder público nos arredores dos conjuntos habitacionais e a baixa qualidade dos imóveis entregues; a priorização dos interesses do capital imobiliário e a ausência de maior controle no uso e ocupação da terra urbana na </w:t>
      </w:r>
      <w:r w:rsidRPr="00F436E4">
        <w:rPr>
          <w:color w:val="000000" w:themeColor="text1"/>
        </w:rPr>
        <w:lastRenderedPageBreak/>
        <w:t xml:space="preserve">formulação e execução da política, de modo que ela acaba por asseverar os problemas urbanos já presentes nas cidades brasileiras </w:t>
      </w:r>
      <w:sdt>
        <w:sdtPr>
          <w:rPr>
            <w:color w:val="000000" w:themeColor="text1"/>
          </w:rPr>
          <w:id w:val="726719372"/>
          <w:citation/>
        </w:sdtPr>
        <w:sdtContent>
          <w:r w:rsidRPr="00F436E4">
            <w:rPr>
              <w:color w:val="000000" w:themeColor="text1"/>
            </w:rPr>
            <w:fldChar w:fldCharType="begin"/>
          </w:r>
          <w:r w:rsidRPr="00F436E4">
            <w:rPr>
              <w:color w:val="000000" w:themeColor="text1"/>
            </w:rPr>
            <w:instrText xml:space="preserve"> CITATION SOU18 \l 1046 </w:instrText>
          </w:r>
          <w:r w:rsidRPr="00F436E4">
            <w:rPr>
              <w:color w:val="000000" w:themeColor="text1"/>
            </w:rPr>
            <w:fldChar w:fldCharType="separate"/>
          </w:r>
          <w:r w:rsidR="004438B9" w:rsidRPr="004438B9">
            <w:rPr>
              <w:noProof/>
              <w:color w:val="000000" w:themeColor="text1"/>
            </w:rPr>
            <w:t>(SOUZA e SUGAI, 2018)</w:t>
          </w:r>
          <w:r w:rsidRPr="00F436E4">
            <w:rPr>
              <w:color w:val="000000" w:themeColor="text1"/>
            </w:rPr>
            <w:fldChar w:fldCharType="end"/>
          </w:r>
        </w:sdtContent>
      </w:sdt>
      <w:r w:rsidRPr="00F436E4">
        <w:rPr>
          <w:color w:val="000000" w:themeColor="text1"/>
        </w:rPr>
        <w:t xml:space="preserve">; a sua definição do como o exemplo mais cabal da habitação social de mercado, sendo “social” porque a intervenção estatal ao longo dos últimos anos fomentou e ampliou significativamente o mercado da produção habitacional do país para a baixa renda, antes restrito ao segmento de luxo, e “de mercado” porque o mecanismo de captura dos fundos públicos se realizou pela lógica de apropriação privada do lucro da produção por empresas construtoras e incorporadoras, atingindo-se um novo patamar, uma produção em larga escala, inédita e sem precedentes na história da habitação popular brasileira </w:t>
      </w:r>
      <w:sdt>
        <w:sdtPr>
          <w:rPr>
            <w:color w:val="000000" w:themeColor="text1"/>
          </w:rPr>
          <w:id w:val="1336796867"/>
          <w:citation/>
        </w:sdtPr>
        <w:sdtContent>
          <w:r w:rsidRPr="00F436E4">
            <w:rPr>
              <w:color w:val="000000" w:themeColor="text1"/>
            </w:rPr>
            <w:fldChar w:fldCharType="begin"/>
          </w:r>
          <w:r w:rsidRPr="00F436E4">
            <w:rPr>
              <w:color w:val="000000" w:themeColor="text1"/>
            </w:rPr>
            <w:instrText xml:space="preserve"> CITATION BUO18 \l 1046 </w:instrText>
          </w:r>
          <w:r w:rsidRPr="00F436E4">
            <w:rPr>
              <w:color w:val="000000" w:themeColor="text1"/>
            </w:rPr>
            <w:fldChar w:fldCharType="separate"/>
          </w:r>
          <w:r w:rsidR="004438B9" w:rsidRPr="004438B9">
            <w:rPr>
              <w:noProof/>
              <w:color w:val="000000" w:themeColor="text1"/>
            </w:rPr>
            <w:t>(BUONFIGLIO, 2018)</w:t>
          </w:r>
          <w:r w:rsidRPr="00F436E4">
            <w:rPr>
              <w:color w:val="000000" w:themeColor="text1"/>
            </w:rPr>
            <w:fldChar w:fldCharType="end"/>
          </w:r>
        </w:sdtContent>
      </w:sdt>
      <w:r w:rsidRPr="00F436E4">
        <w:rPr>
          <w:color w:val="000000" w:themeColor="text1"/>
        </w:rPr>
        <w:t xml:space="preserve">; o fato de que, em que pesem os elementos negativos verificados, </w:t>
      </w:r>
      <w:r w:rsidRPr="00F436E4">
        <w:rPr>
          <w:rStyle w:val="CorpoChar"/>
          <w:lang w:eastAsia="pt-BR"/>
        </w:rPr>
        <w:t>a propriedade do imóvel representa ascensão no status social para os</w:t>
      </w:r>
      <w:r>
        <w:rPr>
          <w:rStyle w:val="CorpoChar"/>
          <w:lang w:eastAsia="pt-BR"/>
        </w:rPr>
        <w:t>/as</w:t>
      </w:r>
      <w:r w:rsidRPr="00F436E4">
        <w:rPr>
          <w:rStyle w:val="CorpoChar"/>
          <w:lang w:eastAsia="pt-BR"/>
        </w:rPr>
        <w:t xml:space="preserve"> moradores</w:t>
      </w:r>
      <w:r>
        <w:rPr>
          <w:rStyle w:val="CorpoChar"/>
          <w:lang w:eastAsia="pt-BR"/>
        </w:rPr>
        <w:t>/as</w:t>
      </w:r>
      <w:r w:rsidRPr="00F436E4">
        <w:rPr>
          <w:rStyle w:val="CorpoChar"/>
          <w:lang w:eastAsia="pt-BR"/>
        </w:rPr>
        <w:t xml:space="preserve"> dos condomínios</w:t>
      </w:r>
      <w:sdt>
        <w:sdtPr>
          <w:rPr>
            <w:rStyle w:val="CorpoChar"/>
            <w:lang w:eastAsia="pt-BR"/>
          </w:rPr>
          <w:id w:val="-1469055051"/>
          <w:citation/>
        </w:sdtPr>
        <w:sdtContent>
          <w:r w:rsidRPr="00F436E4">
            <w:rPr>
              <w:rStyle w:val="CorpoChar"/>
              <w:lang w:eastAsia="pt-BR"/>
            </w:rPr>
            <w:fldChar w:fldCharType="begin"/>
          </w:r>
          <w:r w:rsidRPr="00F436E4">
            <w:rPr>
              <w:rStyle w:val="CorpoChar"/>
              <w:lang w:eastAsia="pt-BR"/>
            </w:rPr>
            <w:instrText xml:space="preserve"> CITATION SIL18 \l 1046 </w:instrText>
          </w:r>
          <w:r w:rsidRPr="00F436E4">
            <w:rPr>
              <w:rStyle w:val="CorpoChar"/>
              <w:lang w:eastAsia="pt-BR"/>
            </w:rPr>
            <w:fldChar w:fldCharType="separate"/>
          </w:r>
          <w:r w:rsidR="004438B9">
            <w:rPr>
              <w:rStyle w:val="CorpoChar"/>
              <w:noProof/>
              <w:lang w:eastAsia="pt-BR"/>
            </w:rPr>
            <w:t xml:space="preserve"> </w:t>
          </w:r>
          <w:r w:rsidR="004438B9">
            <w:rPr>
              <w:noProof/>
              <w:lang w:eastAsia="pt-BR"/>
            </w:rPr>
            <w:t>(SILVA e COSTA, 2018)</w:t>
          </w:r>
          <w:r w:rsidRPr="00F436E4">
            <w:rPr>
              <w:rStyle w:val="CorpoChar"/>
              <w:lang w:eastAsia="pt-BR"/>
            </w:rPr>
            <w:fldChar w:fldCharType="end"/>
          </w:r>
        </w:sdtContent>
      </w:sdt>
      <w:r w:rsidRPr="00F436E4">
        <w:rPr>
          <w:rStyle w:val="CorpoChar"/>
          <w:lang w:eastAsia="pt-BR"/>
        </w:rPr>
        <w:t>.</w:t>
      </w:r>
    </w:p>
    <w:p w14:paraId="63768680" w14:textId="77777777" w:rsidR="00410379" w:rsidRDefault="00410379" w:rsidP="00410379">
      <w:pPr>
        <w:spacing w:after="0" w:line="360" w:lineRule="auto"/>
        <w:ind w:firstLine="708"/>
        <w:jc w:val="both"/>
      </w:pPr>
    </w:p>
    <w:p w14:paraId="667A749E" w14:textId="729D8AB3" w:rsidR="001A132A" w:rsidRPr="00F436E4" w:rsidRDefault="001A132A" w:rsidP="001A132A">
      <w:pPr>
        <w:pStyle w:val="Ttulo1"/>
      </w:pPr>
      <w:r w:rsidRPr="001A132A">
        <w:t>Principais métodos empregados</w:t>
      </w:r>
    </w:p>
    <w:p w14:paraId="794402FB" w14:textId="20DEEA98" w:rsidR="003E326C" w:rsidRDefault="003E326C" w:rsidP="001A132A">
      <w:pPr>
        <w:pStyle w:val="corpodotexto"/>
      </w:pPr>
    </w:p>
    <w:p w14:paraId="50A15170" w14:textId="29F6776F" w:rsidR="00815965" w:rsidRDefault="00E4207E" w:rsidP="00815965">
      <w:pPr>
        <w:pStyle w:val="corpodotexto"/>
        <w:ind w:firstLine="708"/>
      </w:pPr>
      <w:r>
        <w:t xml:space="preserve">Para analisar o desenho jurídico-institucional do </w:t>
      </w:r>
      <w:r w:rsidR="00064D40">
        <w:t>PMCMV</w:t>
      </w:r>
      <w:r>
        <w:t xml:space="preserve">, a pesquisa </w:t>
      </w:r>
      <w:r w:rsidR="00815965" w:rsidRPr="007C31A2">
        <w:t>ampar</w:t>
      </w:r>
      <w:r w:rsidR="0082061E">
        <w:t>ou</w:t>
      </w:r>
      <w:r w:rsidR="00815965" w:rsidRPr="007C31A2">
        <w:t>-se em um referencial metodológico fundamentado, principalmente, nos trabalhos de Maria Paula Dallari Bucci, cuja abordagem teórico-metodológica</w:t>
      </w:r>
      <w:r w:rsidR="0082061E">
        <w:t>,</w:t>
      </w:r>
      <w:r w:rsidR="00815965" w:rsidRPr="007C31A2">
        <w:t xml:space="preserve"> denominada </w:t>
      </w:r>
      <w:r w:rsidR="00815965" w:rsidRPr="008A4880">
        <w:t>Direito e Políticas Públicas</w:t>
      </w:r>
      <w:r w:rsidR="00815965" w:rsidRPr="007C31A2">
        <w:t xml:space="preserve"> (DPP), permite a identificação e sistematização das condições, regras e instituições jurídicas necessárias à implementação destas. </w:t>
      </w:r>
      <w:r w:rsidR="00815965">
        <w:t xml:space="preserve"> </w:t>
      </w:r>
      <w:r w:rsidR="00815965" w:rsidRPr="007C31A2">
        <w:t xml:space="preserve">Trata-se de uma proposta que se analisa a ação governamental “por dentro”, a partir de uma visão crítica do próprio </w:t>
      </w:r>
      <w:r w:rsidR="0082061E">
        <w:t>D</w:t>
      </w:r>
      <w:r w:rsidR="00815965" w:rsidRPr="007C31A2">
        <w:t>ireito, da sua relação com a política e com as políticas públicas e que considera o governo como motor das políticas públicas no interior do Estado, em simetria com a concepção de política pública adotada n</w:t>
      </w:r>
      <w:r w:rsidR="0082061E">
        <w:t>o</w:t>
      </w:r>
      <w:r w:rsidR="00815965" w:rsidRPr="007C31A2">
        <w:t xml:space="preserve"> trabalho, delineada pela mesma autora. </w:t>
      </w:r>
    </w:p>
    <w:p w14:paraId="03E44864" w14:textId="26BFD1A7" w:rsidR="00064D40" w:rsidRPr="00815965" w:rsidRDefault="0082061E" w:rsidP="00815965">
      <w:pPr>
        <w:pStyle w:val="corpodotexto"/>
        <w:ind w:firstLine="708"/>
      </w:pPr>
      <w:r>
        <w:rPr>
          <w:rFonts w:eastAsia="Calibri"/>
        </w:rPr>
        <w:t>Nesse sentido, e</w:t>
      </w:r>
      <w:r w:rsidR="00064D40">
        <w:rPr>
          <w:rFonts w:eastAsia="Calibri"/>
        </w:rPr>
        <w:t>ntende-se</w:t>
      </w:r>
      <w:r w:rsidR="00815965">
        <w:rPr>
          <w:rFonts w:eastAsia="Calibri"/>
        </w:rPr>
        <w:t xml:space="preserve"> que os </w:t>
      </w:r>
      <w:r w:rsidR="00064D40">
        <w:rPr>
          <w:rFonts w:eastAsia="Calibri"/>
        </w:rPr>
        <w:t xml:space="preserve">contextos político-institucionais </w:t>
      </w:r>
      <w:r w:rsidR="00064D40" w:rsidRPr="00F436E4">
        <w:rPr>
          <w:rFonts w:eastAsia="Calibri"/>
        </w:rPr>
        <w:t xml:space="preserve">são compostos pelos conflitos decorrentes da distribuição do poder que se concentra na esfera governamental e deve ser organizado pela burocracia da Administração Pública em parâmetros de legalidade e constitucionalidade. A heterogeneidade e a larga escala dos problemas sociais que chegam até essa estrutura em busca de solução, demandam uma intervenção complexa por parte do governo, num processo que envolve uma multiplicidade de atores, longos ciclos políticos e diversas variáveis (reserva de recursos, dispositivos fiscais e o intervalo de tempo em que se espera o alcance de resultados, por exemplo), elementos que estão em interação constante </w:t>
      </w:r>
      <w:r w:rsidR="00064D40" w:rsidRPr="00F436E4">
        <w:rPr>
          <w:rFonts w:eastAsia="Calibri" w:cs="Calibri"/>
        </w:rPr>
        <w:fldChar w:fldCharType="begin"/>
      </w:r>
      <w:r w:rsidR="00064D40" w:rsidRPr="00F436E4">
        <w:rPr>
          <w:rFonts w:eastAsia="Calibri" w:cs="Calibri"/>
        </w:rPr>
        <w:instrText xml:space="preserve">CITATION Pau07 \l 1046 </w:instrText>
      </w:r>
      <w:r w:rsidR="00064D40" w:rsidRPr="00F436E4">
        <w:rPr>
          <w:rFonts w:eastAsia="Calibri" w:cs="Calibri"/>
        </w:rPr>
        <w:fldChar w:fldCharType="separate"/>
      </w:r>
      <w:r w:rsidR="004438B9">
        <w:rPr>
          <w:rFonts w:eastAsia="Calibri" w:cs="Calibri"/>
          <w:noProof/>
        </w:rPr>
        <w:t xml:space="preserve"> </w:t>
      </w:r>
      <w:r w:rsidR="004438B9" w:rsidRPr="004438B9">
        <w:rPr>
          <w:rFonts w:eastAsia="Calibri" w:cs="Calibri"/>
          <w:noProof/>
        </w:rPr>
        <w:t>(SABATIER, 2007)</w:t>
      </w:r>
      <w:r w:rsidR="00064D40" w:rsidRPr="00F436E4">
        <w:rPr>
          <w:rFonts w:eastAsia="Calibri" w:cs="Calibri"/>
        </w:rPr>
        <w:fldChar w:fldCharType="end"/>
      </w:r>
      <w:r w:rsidR="00064D40" w:rsidRPr="00F436E4">
        <w:rPr>
          <w:rFonts w:eastAsia="Calibri" w:cs="Calibri"/>
        </w:rPr>
        <w:t>.</w:t>
      </w:r>
    </w:p>
    <w:p w14:paraId="5FCFA61E" w14:textId="5E1F6FDA" w:rsidR="00E4207E" w:rsidRPr="00E4207E" w:rsidRDefault="00E4207E" w:rsidP="00E4207E">
      <w:pPr>
        <w:spacing w:after="0" w:line="360" w:lineRule="auto"/>
        <w:ind w:firstLine="708"/>
        <w:jc w:val="both"/>
        <w:rPr>
          <w:rFonts w:ascii="Times New Roman" w:eastAsia="Calibri" w:hAnsi="Times New Roman" w:cs="Times New Roman"/>
          <w:sz w:val="24"/>
          <w:szCs w:val="24"/>
        </w:rPr>
      </w:pPr>
      <w:r w:rsidRPr="00E4207E">
        <w:rPr>
          <w:rFonts w:ascii="Times New Roman" w:eastAsia="Calibri" w:hAnsi="Times New Roman" w:cs="Times New Roman"/>
          <w:sz w:val="24"/>
          <w:szCs w:val="24"/>
        </w:rPr>
        <w:t>Adotou-se</w:t>
      </w:r>
      <w:r w:rsidR="0082061E">
        <w:rPr>
          <w:rFonts w:ascii="Times New Roman" w:eastAsia="Calibri" w:hAnsi="Times New Roman" w:cs="Times New Roman"/>
          <w:sz w:val="24"/>
          <w:szCs w:val="24"/>
        </w:rPr>
        <w:t xml:space="preserve">, no trabalho, </w:t>
      </w:r>
      <w:r w:rsidRPr="00E4207E">
        <w:rPr>
          <w:rFonts w:ascii="Times New Roman" w:eastAsia="Calibri" w:hAnsi="Times New Roman" w:cs="Times New Roman"/>
          <w:sz w:val="24"/>
          <w:szCs w:val="24"/>
        </w:rPr>
        <w:t xml:space="preserve">uma perspectiva crítica da ação governamental e das consequências dos processos políticos e jurídicos que o Estado utilizou para promover direitos </w:t>
      </w:r>
      <w:r w:rsidRPr="00E4207E">
        <w:rPr>
          <w:rFonts w:ascii="Times New Roman" w:eastAsia="Calibri" w:hAnsi="Times New Roman" w:cs="Times New Roman"/>
          <w:sz w:val="24"/>
          <w:szCs w:val="24"/>
        </w:rPr>
        <w:lastRenderedPageBreak/>
        <w:t>sociais. Isso implicou analisar os próprios termos e fundamentos materiais das legislações e das políticas públicas, bem como o modo como as demandas coletivas acabaram sendo absorvidas e/ou esvaziadas por esses instrumentos, que as reinterpretaram dentro dos limites estabelecidos pelo capital.</w:t>
      </w:r>
    </w:p>
    <w:p w14:paraId="52256910" w14:textId="0AC0641B" w:rsidR="00410379" w:rsidRDefault="00E4207E" w:rsidP="00410379">
      <w:pPr>
        <w:spacing w:after="0" w:line="360" w:lineRule="auto"/>
        <w:ind w:firstLine="708"/>
        <w:jc w:val="both"/>
        <w:rPr>
          <w:rFonts w:ascii="Times New Roman" w:eastAsia="Calibri" w:hAnsi="Times New Roman" w:cs="Times New Roman"/>
          <w:sz w:val="24"/>
          <w:szCs w:val="24"/>
        </w:rPr>
      </w:pPr>
      <w:r w:rsidRPr="00E4207E">
        <w:rPr>
          <w:rFonts w:ascii="Times New Roman" w:eastAsia="Calibri" w:hAnsi="Times New Roman" w:cs="Times New Roman"/>
          <w:sz w:val="24"/>
          <w:szCs w:val="24"/>
        </w:rPr>
        <w:t xml:space="preserve">Ao se valer da proposta metodológica de Bucci, </w:t>
      </w:r>
      <w:r w:rsidR="00531063">
        <w:rPr>
          <w:rFonts w:ascii="Times New Roman" w:eastAsia="Calibri" w:hAnsi="Times New Roman" w:cs="Times New Roman"/>
          <w:sz w:val="24"/>
          <w:szCs w:val="24"/>
        </w:rPr>
        <w:t>para alcançar o objetivo proposto,</w:t>
      </w:r>
      <w:r w:rsidRPr="00E4207E">
        <w:rPr>
          <w:rFonts w:ascii="Times New Roman" w:eastAsia="Calibri" w:hAnsi="Times New Roman" w:cs="Times New Roman"/>
          <w:sz w:val="24"/>
          <w:szCs w:val="24"/>
        </w:rPr>
        <w:t xml:space="preserve"> examinou</w:t>
      </w:r>
      <w:r w:rsidR="00531063">
        <w:rPr>
          <w:rFonts w:ascii="Times New Roman" w:eastAsia="Calibri" w:hAnsi="Times New Roman" w:cs="Times New Roman"/>
          <w:sz w:val="24"/>
          <w:szCs w:val="24"/>
        </w:rPr>
        <w:t>-se</w:t>
      </w:r>
      <w:r w:rsidRPr="00E4207E">
        <w:rPr>
          <w:rFonts w:ascii="Times New Roman" w:eastAsia="Calibri" w:hAnsi="Times New Roman" w:cs="Times New Roman"/>
          <w:sz w:val="24"/>
          <w:szCs w:val="24"/>
        </w:rPr>
        <w:t xml:space="preserve"> o PMCMV em </w:t>
      </w:r>
      <w:r w:rsidR="00410379">
        <w:rPr>
          <w:rFonts w:ascii="Times New Roman" w:eastAsia="Calibri" w:hAnsi="Times New Roman" w:cs="Times New Roman"/>
          <w:sz w:val="24"/>
          <w:szCs w:val="24"/>
        </w:rPr>
        <w:t>sua dimensão macro</w:t>
      </w:r>
      <w:r w:rsidRPr="00E4207E">
        <w:rPr>
          <w:rFonts w:ascii="Times New Roman" w:eastAsia="Calibri" w:hAnsi="Times New Roman" w:cs="Times New Roman"/>
          <w:sz w:val="24"/>
          <w:szCs w:val="24"/>
        </w:rPr>
        <w:t>institucional</w:t>
      </w:r>
      <w:r w:rsidR="00410379">
        <w:rPr>
          <w:rFonts w:ascii="Times New Roman" w:eastAsia="Calibri" w:hAnsi="Times New Roman" w:cs="Times New Roman"/>
          <w:sz w:val="24"/>
          <w:szCs w:val="24"/>
        </w:rPr>
        <w:t>, c</w:t>
      </w:r>
      <w:r w:rsidRPr="00E4207E">
        <w:rPr>
          <w:rFonts w:ascii="Times New Roman" w:eastAsia="Calibri" w:hAnsi="Times New Roman" w:cs="Times New Roman"/>
          <w:sz w:val="24"/>
          <w:szCs w:val="24"/>
        </w:rPr>
        <w:t>om</w:t>
      </w:r>
      <w:r w:rsidR="00410379">
        <w:rPr>
          <w:rFonts w:ascii="Times New Roman" w:eastAsia="Calibri" w:hAnsi="Times New Roman" w:cs="Times New Roman"/>
          <w:sz w:val="24"/>
          <w:szCs w:val="24"/>
        </w:rPr>
        <w:t xml:space="preserve"> </w:t>
      </w:r>
      <w:r w:rsidRPr="00E4207E">
        <w:rPr>
          <w:rFonts w:ascii="Times New Roman" w:eastAsia="Calibri" w:hAnsi="Times New Roman" w:cs="Times New Roman"/>
          <w:sz w:val="24"/>
          <w:szCs w:val="24"/>
        </w:rPr>
        <w:t>o objetivo</w:t>
      </w:r>
      <w:r w:rsidR="00410379">
        <w:rPr>
          <w:rFonts w:ascii="Times New Roman" w:eastAsia="Calibri" w:hAnsi="Times New Roman" w:cs="Times New Roman"/>
          <w:sz w:val="24"/>
          <w:szCs w:val="24"/>
        </w:rPr>
        <w:t xml:space="preserve"> de</w:t>
      </w:r>
      <w:r w:rsidRPr="00E4207E">
        <w:rPr>
          <w:rFonts w:ascii="Times New Roman" w:eastAsia="Calibri" w:hAnsi="Times New Roman" w:cs="Times New Roman"/>
          <w:sz w:val="24"/>
          <w:szCs w:val="24"/>
        </w:rPr>
        <w:t xml:space="preserve"> conhecer o contexto político-institucional em que o Programa se inseriu, isto é, o ambiente em que se deu a conversão do impulso político em ação governamental, verificando-se a tensão entre a política e a política pública em análise, a fim de compreender a decisão governamental em torno do Programa. Para </w:t>
      </w:r>
      <w:r w:rsidR="00410379">
        <w:rPr>
          <w:rFonts w:ascii="Times New Roman" w:eastAsia="Calibri" w:hAnsi="Times New Roman" w:cs="Times New Roman"/>
          <w:sz w:val="24"/>
          <w:szCs w:val="24"/>
        </w:rPr>
        <w:t>realizar essa leitura</w:t>
      </w:r>
      <w:r w:rsidRPr="00E4207E">
        <w:rPr>
          <w:rFonts w:ascii="Times New Roman" w:eastAsia="Calibri" w:hAnsi="Times New Roman" w:cs="Times New Roman"/>
          <w:sz w:val="24"/>
          <w:szCs w:val="24"/>
        </w:rPr>
        <w:t xml:space="preserve">, recorreu-se a uma revisão interdisciplinar de literatura, sustentada em autores/as que trataram das políticas habitacionais no Brasil e, mais especificamente, do PMCMV. </w:t>
      </w:r>
    </w:p>
    <w:p w14:paraId="1F67F4FB" w14:textId="7F9354B4" w:rsidR="00E4207E" w:rsidRDefault="00E4207E" w:rsidP="00410379">
      <w:pPr>
        <w:spacing w:after="0" w:line="360" w:lineRule="auto"/>
        <w:ind w:firstLine="708"/>
        <w:jc w:val="both"/>
        <w:rPr>
          <w:rFonts w:ascii="Times New Roman" w:eastAsia="Calibri" w:hAnsi="Times New Roman" w:cs="Times New Roman"/>
          <w:sz w:val="24"/>
          <w:szCs w:val="24"/>
        </w:rPr>
      </w:pPr>
      <w:r w:rsidRPr="00E4207E">
        <w:rPr>
          <w:rFonts w:ascii="Times New Roman" w:eastAsia="Calibri" w:hAnsi="Times New Roman" w:cs="Times New Roman"/>
          <w:sz w:val="24"/>
          <w:szCs w:val="24"/>
        </w:rPr>
        <w:t xml:space="preserve">Os constructos metodológicos, neste plano, partiram de duas perspectivas inter-relacionadas, a fim de identificar os elementos que informaram a decisão governamental que impulsionou sua criação: a intragovernamental, centrada em como o Estado </w:t>
      </w:r>
      <w:r>
        <w:rPr>
          <w:rFonts w:ascii="Times New Roman" w:eastAsia="Calibri" w:hAnsi="Times New Roman" w:cs="Times New Roman"/>
          <w:sz w:val="24"/>
          <w:szCs w:val="24"/>
        </w:rPr>
        <w:t>racionalizou</w:t>
      </w:r>
      <w:r w:rsidRPr="00E4207E">
        <w:rPr>
          <w:rFonts w:ascii="Times New Roman" w:eastAsia="Calibri" w:hAnsi="Times New Roman" w:cs="Times New Roman"/>
          <w:sz w:val="24"/>
          <w:szCs w:val="24"/>
        </w:rPr>
        <w:t xml:space="preserve"> o poder para expressar e realizar demandas sociais, e a extragovernamental, que examinou as pressões da sociedade civil, dos movimentos sociais, do mercado e do cenário internacional.</w:t>
      </w:r>
      <w:r>
        <w:rPr>
          <w:rFonts w:ascii="Times New Roman" w:eastAsia="Calibri" w:hAnsi="Times New Roman" w:cs="Times New Roman"/>
          <w:sz w:val="24"/>
          <w:szCs w:val="24"/>
        </w:rPr>
        <w:t xml:space="preserve"> </w:t>
      </w:r>
      <w:r w:rsidRPr="00E4207E">
        <w:rPr>
          <w:rFonts w:ascii="Times New Roman" w:eastAsia="Calibri" w:hAnsi="Times New Roman" w:cs="Times New Roman"/>
          <w:sz w:val="24"/>
          <w:szCs w:val="24"/>
        </w:rPr>
        <w:t>Para tanto, seguiram-se as seguintes etapas:</w:t>
      </w:r>
    </w:p>
    <w:p w14:paraId="096B7EE7" w14:textId="76EE5B54" w:rsidR="00E4207E" w:rsidRDefault="00E4207E" w:rsidP="00E4207E">
      <w:pPr>
        <w:pStyle w:val="CorpodoTextoABNT0"/>
        <w:numPr>
          <w:ilvl w:val="0"/>
          <w:numId w:val="2"/>
        </w:numPr>
        <w:ind w:left="1276" w:hanging="283"/>
      </w:pPr>
      <w:r>
        <w:t>A análise intragovernamental</w:t>
      </w:r>
      <w:r>
        <w:t>, que</w:t>
      </w:r>
      <w:r>
        <w:t xml:space="preserve"> incluiu o resgate da memória institucional em torno da política pública, a organização das estruturas responsáveis por sua implementação, as instâncias participativas e o tratamento dos marcos regulatórios.</w:t>
      </w:r>
    </w:p>
    <w:p w14:paraId="460BC05D" w14:textId="788AB3D6" w:rsidR="00E4207E" w:rsidRDefault="00E4207E" w:rsidP="00E4207E">
      <w:pPr>
        <w:pStyle w:val="CorpodoTextoABNT0"/>
        <w:numPr>
          <w:ilvl w:val="0"/>
          <w:numId w:val="2"/>
        </w:numPr>
        <w:ind w:left="1276" w:hanging="283"/>
      </w:pPr>
      <w:r>
        <w:t>A análise extragovernamental</w:t>
      </w:r>
      <w:r>
        <w:t>,</w:t>
      </w:r>
      <w:r>
        <w:t xml:space="preserve"> </w:t>
      </w:r>
      <w:r>
        <w:t>em que foram observadas</w:t>
      </w:r>
      <w:r>
        <w:t xml:space="preserve"> as pressões externas à estrutura estatal, como o impacto de reformas neoliberais nos gastos sociais e a atuação de movimentos sociais.</w:t>
      </w:r>
    </w:p>
    <w:p w14:paraId="56FDAFD5" w14:textId="2961C15B" w:rsidR="00E4207E" w:rsidRDefault="00E4207E" w:rsidP="00E4207E">
      <w:pPr>
        <w:pStyle w:val="CorpodoTextoABNT0"/>
        <w:numPr>
          <w:ilvl w:val="0"/>
          <w:numId w:val="2"/>
        </w:numPr>
        <w:ind w:left="1276" w:hanging="283"/>
      </w:pPr>
      <w:r>
        <w:t>A compreensão do arranjo jurídico-institucional e do sistema de governo</w:t>
      </w:r>
      <w:r>
        <w:t>,</w:t>
      </w:r>
      <w:r>
        <w:t xml:space="preserve"> </w:t>
      </w:r>
      <w:r>
        <w:t xml:space="preserve">que </w:t>
      </w:r>
      <w:r>
        <w:t>incluiu o exame do funcionamento das coalizões políticas e dos mecanismos de governabilidade e governança no contexto brasileiro.</w:t>
      </w:r>
    </w:p>
    <w:p w14:paraId="113F72A2" w14:textId="4D4D43DF" w:rsidR="00A80277" w:rsidRDefault="00E4207E" w:rsidP="00171F6A">
      <w:pPr>
        <w:pStyle w:val="CorpodoTextoABNT0"/>
        <w:numPr>
          <w:ilvl w:val="0"/>
          <w:numId w:val="2"/>
        </w:numPr>
        <w:ind w:left="1276" w:hanging="283"/>
      </w:pPr>
      <w:r>
        <w:t>A análise das capacidades governamentais fundamentais à efetividade das políticas sociais</w:t>
      </w:r>
      <w:r>
        <w:t>, que</w:t>
      </w:r>
      <w:r>
        <w:t xml:space="preserve"> considerou três dimensões: a capacidade política (representatividade e articulação com a sociedade civil e o sistema político), a capacidade técnico-administrativa (planejamento e coordenação interorganizacional) e a capacidade criativa (uso inovador do direito para a formulação de políticas).</w:t>
      </w:r>
    </w:p>
    <w:p w14:paraId="2BD2EEA7" w14:textId="484DF214" w:rsidR="00202E27" w:rsidRPr="00F436E4" w:rsidRDefault="00202E27" w:rsidP="00202E27">
      <w:pPr>
        <w:pStyle w:val="Ttulo1"/>
      </w:pPr>
      <w:r>
        <w:lastRenderedPageBreak/>
        <w:t>Fundamentação teórica</w:t>
      </w:r>
    </w:p>
    <w:p w14:paraId="2F5DC4BF" w14:textId="47930C7B" w:rsidR="00A70F6C" w:rsidRDefault="00A70F6C" w:rsidP="00202E27">
      <w:pPr>
        <w:pStyle w:val="CorpodoTextoABNT0"/>
      </w:pPr>
    </w:p>
    <w:p w14:paraId="6F529F5A" w14:textId="638154EB" w:rsidR="0082061E" w:rsidRDefault="0082061E" w:rsidP="00202E27">
      <w:pPr>
        <w:pStyle w:val="CorpodoTextoABNT0"/>
        <w:rPr>
          <w:rFonts w:eastAsia="Calibri"/>
        </w:rPr>
      </w:pPr>
      <w:r>
        <w:t xml:space="preserve">Dentre os conceitos importantantes à pesquisa, destaca-se </w:t>
      </w:r>
      <w:r>
        <w:t>a definição do que vem a ser o</w:t>
      </w:r>
      <w:r w:rsidRPr="00F436E4">
        <w:t xml:space="preserve"> governo, </w:t>
      </w:r>
      <w:r>
        <w:t xml:space="preserve">aqui </w:t>
      </w:r>
      <w:r w:rsidRPr="00F436E4">
        <w:t xml:space="preserve">considerado como o local onde se desenrola a relação entre as forças políticas que disputam tanto o poder na sociedade, como as suas formas institucionalizadas pelo direito </w:t>
      </w:r>
      <w:sdt>
        <w:sdtPr>
          <w:rPr>
            <w:rFonts w:ascii="Calibri" w:eastAsia="Calibri" w:hAnsi="Calibri" w:cs="Calibri"/>
          </w:rPr>
          <w:id w:val="712875929"/>
          <w:citation/>
        </w:sdtPr>
        <w:sdtContent>
          <w:r w:rsidRPr="00F436E4">
            <w:rPr>
              <w:rFonts w:eastAsia="Calibri" w:cs="Calibri"/>
            </w:rPr>
            <w:fldChar w:fldCharType="begin"/>
          </w:r>
          <w:r w:rsidRPr="00F436E4">
            <w:rPr>
              <w:rFonts w:eastAsia="Calibri" w:cs="Calibri"/>
            </w:rPr>
            <w:instrText xml:space="preserve"> CITATION Mar21 \l 1046 </w:instrText>
          </w:r>
          <w:r w:rsidRPr="00F436E4">
            <w:rPr>
              <w:rFonts w:eastAsia="Calibri" w:cs="Calibri"/>
            </w:rPr>
            <w:fldChar w:fldCharType="separate"/>
          </w:r>
          <w:r w:rsidR="004438B9" w:rsidRPr="004438B9">
            <w:rPr>
              <w:rFonts w:eastAsia="Calibri" w:cs="Calibri"/>
              <w:noProof/>
            </w:rPr>
            <w:t>(BUCCI, 2021)</w:t>
          </w:r>
          <w:r w:rsidRPr="00F436E4">
            <w:rPr>
              <w:rFonts w:eastAsia="Calibri" w:cs="Calibri"/>
            </w:rPr>
            <w:fldChar w:fldCharType="end"/>
          </w:r>
        </w:sdtContent>
      </w:sdt>
      <w:r w:rsidRPr="00F436E4">
        <w:rPr>
          <w:rFonts w:eastAsia="Calibri"/>
        </w:rPr>
        <w:t xml:space="preserve">. O fenômeno governamental, enquanto manifestação juridicamente disciplinada (e limitada), </w:t>
      </w:r>
      <w:r>
        <w:rPr>
          <w:rFonts w:eastAsia="Calibri"/>
        </w:rPr>
        <w:t>apresenta-se como o objeto</w:t>
      </w:r>
      <w:r w:rsidRPr="00F436E4">
        <w:rPr>
          <w:rFonts w:eastAsia="Calibri"/>
        </w:rPr>
        <w:t xml:space="preserve"> sobre o qual se debruça </w:t>
      </w:r>
      <w:r>
        <w:rPr>
          <w:rFonts w:eastAsia="Calibri"/>
        </w:rPr>
        <w:t>a</w:t>
      </w:r>
      <w:r w:rsidRPr="00F436E4">
        <w:rPr>
          <w:rFonts w:eastAsia="Calibri"/>
        </w:rPr>
        <w:t xml:space="preserve"> análise, podendo ser considerado como um conjunto de pessoas e órgãos que institucionalmente reúne o exercício do poder, constituindo-se como um aspecto do Estado moderno</w:t>
      </w:r>
      <w:sdt>
        <w:sdtPr>
          <w:rPr>
            <w:rFonts w:ascii="Calibri" w:eastAsia="Calibri" w:hAnsi="Calibri" w:cs="Calibri"/>
          </w:rPr>
          <w:id w:val="1461789019"/>
          <w:citation/>
        </w:sdtPr>
        <w:sdtContent>
          <w:r w:rsidRPr="00F436E4">
            <w:rPr>
              <w:rFonts w:eastAsia="Calibri" w:cs="Calibri"/>
            </w:rPr>
            <w:fldChar w:fldCharType="begin"/>
          </w:r>
          <w:r w:rsidRPr="00F436E4">
            <w:rPr>
              <w:rFonts w:eastAsia="Calibri" w:cs="Calibri"/>
            </w:rPr>
            <w:instrText xml:space="preserve"> CITATION Luc98 \l 1046 </w:instrText>
          </w:r>
          <w:r w:rsidRPr="00F436E4">
            <w:rPr>
              <w:rFonts w:eastAsia="Calibri" w:cs="Calibri"/>
            </w:rPr>
            <w:fldChar w:fldCharType="separate"/>
          </w:r>
          <w:r w:rsidR="004438B9">
            <w:rPr>
              <w:rFonts w:eastAsia="Calibri" w:cs="Calibri"/>
              <w:noProof/>
            </w:rPr>
            <w:t xml:space="preserve"> </w:t>
          </w:r>
          <w:r w:rsidR="004438B9" w:rsidRPr="004438B9">
            <w:rPr>
              <w:rFonts w:eastAsia="Calibri" w:cs="Calibri"/>
              <w:noProof/>
            </w:rPr>
            <w:t>(LEVI, 1998)</w:t>
          </w:r>
          <w:r w:rsidRPr="00F436E4">
            <w:rPr>
              <w:rFonts w:eastAsia="Calibri" w:cs="Calibri"/>
            </w:rPr>
            <w:fldChar w:fldCharType="end"/>
          </w:r>
        </w:sdtContent>
      </w:sdt>
      <w:r w:rsidRPr="00F436E4">
        <w:rPr>
          <w:rFonts w:eastAsia="Calibri"/>
        </w:rPr>
        <w:t xml:space="preserve">. Essa organização precisa </w:t>
      </w:r>
      <w:r>
        <w:rPr>
          <w:rFonts w:eastAsia="Calibri"/>
        </w:rPr>
        <w:t>articular</w:t>
      </w:r>
      <w:r w:rsidRPr="00F436E4">
        <w:rPr>
          <w:rFonts w:eastAsia="Calibri"/>
        </w:rPr>
        <w:t xml:space="preserve"> demandas internas e necessidades externas da comunidade política</w:t>
      </w:r>
      <w:r>
        <w:rPr>
          <w:rFonts w:eastAsia="Calibri"/>
        </w:rPr>
        <w:t xml:space="preserve"> </w:t>
      </w:r>
      <w:r w:rsidRPr="00F436E4">
        <w:rPr>
          <w:rFonts w:eastAsia="Calibri"/>
        </w:rPr>
        <w:t>para garantir, a integração da sociedade, o desenvolvimento econômico, o bem-estar e a diminuição dos acirramentos entre a esfera pública e os movimentos populares.</w:t>
      </w:r>
    </w:p>
    <w:p w14:paraId="4BF948FD" w14:textId="156308FB" w:rsidR="0082061E" w:rsidRPr="0082061E" w:rsidRDefault="0082061E" w:rsidP="0082061E">
      <w:pPr>
        <w:pStyle w:val="CorpodoTextoABNT0"/>
        <w:rPr>
          <w:rFonts w:eastAsia="Calibri"/>
        </w:rPr>
      </w:pPr>
      <w:r w:rsidRPr="00F436E4">
        <w:rPr>
          <w:rFonts w:eastAsia="Calibri"/>
        </w:rPr>
        <w:t xml:space="preserve">No contexto da separação de poderes enquanto princípio constitucional do Estado democrático de direito moderno, o governo corresponde ao Executivo, que congrega uma série de competências administrativas aptas a realizar os fins estatais, atuando com autonomia política na condução dos negócios públicos </w:t>
      </w:r>
      <w:sdt>
        <w:sdtPr>
          <w:rPr>
            <w:rFonts w:ascii="Calibri" w:eastAsia="Calibri" w:hAnsi="Calibri" w:cs="Calibri"/>
          </w:rPr>
          <w:id w:val="1801174933"/>
          <w:citation/>
        </w:sdtPr>
        <w:sdtContent>
          <w:r w:rsidRPr="00F436E4">
            <w:rPr>
              <w:rFonts w:eastAsia="Calibri" w:cs="Calibri"/>
            </w:rPr>
            <w:fldChar w:fldCharType="begin"/>
          </w:r>
          <w:r w:rsidRPr="00F436E4">
            <w:rPr>
              <w:rFonts w:eastAsia="Calibri" w:cs="Calibri"/>
            </w:rPr>
            <w:instrText xml:space="preserve"> CITATION Hel96 \l 1046 </w:instrText>
          </w:r>
          <w:r w:rsidRPr="00F436E4">
            <w:rPr>
              <w:rFonts w:eastAsia="Calibri" w:cs="Calibri"/>
            </w:rPr>
            <w:fldChar w:fldCharType="separate"/>
          </w:r>
          <w:r w:rsidR="004438B9" w:rsidRPr="004438B9">
            <w:rPr>
              <w:rFonts w:eastAsia="Calibri" w:cs="Calibri"/>
              <w:noProof/>
            </w:rPr>
            <w:t>(MEIRELLES, 1996)</w:t>
          </w:r>
          <w:r w:rsidRPr="00F436E4">
            <w:rPr>
              <w:rFonts w:eastAsia="Calibri" w:cs="Calibri"/>
            </w:rPr>
            <w:fldChar w:fldCharType="end"/>
          </w:r>
        </w:sdtContent>
      </w:sdt>
      <w:r w:rsidRPr="00F436E4">
        <w:rPr>
          <w:rFonts w:eastAsia="Calibri"/>
        </w:rPr>
        <w:t xml:space="preserve">. Para além disso, não se deve confundir a concepção de governo com a de Estado – que, numa definição sucinta, pode ser conceituado como a “ordem jurídica soberana, que tem por fim o bem comum de um povo situado em determinado território” </w:t>
      </w:r>
      <w:sdt>
        <w:sdtPr>
          <w:rPr>
            <w:rFonts w:ascii="Calibri" w:eastAsia="Calibri" w:hAnsi="Calibri" w:cs="Calibri"/>
          </w:rPr>
          <w:id w:val="1943930551"/>
          <w:citation/>
        </w:sdtPr>
        <w:sdtContent>
          <w:r w:rsidRPr="00F436E4">
            <w:rPr>
              <w:rFonts w:eastAsia="Calibri" w:cs="Calibri"/>
            </w:rPr>
            <w:fldChar w:fldCharType="begin"/>
          </w:r>
          <w:r w:rsidRPr="00F436E4">
            <w:rPr>
              <w:rFonts w:eastAsia="Calibri" w:cs="Calibri"/>
            </w:rPr>
            <w:instrText xml:space="preserve">CITATION Dal98 \p 118 \l 1046 </w:instrText>
          </w:r>
          <w:r w:rsidRPr="00F436E4">
            <w:rPr>
              <w:rFonts w:eastAsia="Calibri" w:cs="Calibri"/>
            </w:rPr>
            <w:fldChar w:fldCharType="separate"/>
          </w:r>
          <w:r w:rsidR="004438B9" w:rsidRPr="004438B9">
            <w:rPr>
              <w:rFonts w:eastAsia="Calibri" w:cs="Calibri"/>
              <w:noProof/>
            </w:rPr>
            <w:t>(DALLARI, 1998, p. 118)</w:t>
          </w:r>
          <w:r w:rsidRPr="00F436E4">
            <w:rPr>
              <w:rFonts w:eastAsia="Calibri" w:cs="Calibri"/>
            </w:rPr>
            <w:fldChar w:fldCharType="end"/>
          </w:r>
        </w:sdtContent>
      </w:sdt>
      <w:r w:rsidRPr="00F436E4">
        <w:rPr>
          <w:rFonts w:eastAsia="Calibri"/>
        </w:rPr>
        <w:t xml:space="preserve"> – e nem com a de Administração Pública, que diz respeito à estrutura dirigida pelo governo, destinada à prestação dos serviços públicos e à execução das decisões políticas e legislativas ou, na perspectiva de Maria Sylvia Zanella Di Pietro </w:t>
      </w:r>
      <w:sdt>
        <w:sdtPr>
          <w:rPr>
            <w:rFonts w:eastAsia="Calibri"/>
          </w:rPr>
          <w:id w:val="-1684355288"/>
          <w:citation/>
        </w:sdtPr>
        <w:sdtContent>
          <w:r w:rsidRPr="00F436E4">
            <w:rPr>
              <w:rFonts w:eastAsia="Calibri"/>
            </w:rPr>
            <w:fldChar w:fldCharType="begin"/>
          </w:r>
          <w:r w:rsidRPr="00F436E4">
            <w:rPr>
              <w:rFonts w:eastAsia="Calibri"/>
            </w:rPr>
            <w:instrText xml:space="preserve">CITATION Mar131 \n  \t  \l 1046 </w:instrText>
          </w:r>
          <w:r w:rsidRPr="00F436E4">
            <w:rPr>
              <w:rFonts w:eastAsia="Calibri"/>
            </w:rPr>
            <w:fldChar w:fldCharType="separate"/>
          </w:r>
          <w:r w:rsidR="004438B9" w:rsidRPr="004438B9">
            <w:rPr>
              <w:rFonts w:eastAsia="Calibri"/>
              <w:noProof/>
            </w:rPr>
            <w:t>(2013)</w:t>
          </w:r>
          <w:r w:rsidRPr="00F436E4">
            <w:rPr>
              <w:rFonts w:eastAsia="Calibri"/>
            </w:rPr>
            <w:fldChar w:fldCharType="end"/>
          </w:r>
        </w:sdtContent>
      </w:sdt>
      <w:r w:rsidRPr="00F436E4">
        <w:rPr>
          <w:rFonts w:eastAsia="Calibri"/>
        </w:rPr>
        <w:t>, que divide-se em dois sentidos: um objetivo, material ou funcional, em que pode ser entendida como a atividade concreta e imediata que o Estado desenvolve, sob regime jurídico de direito público, para a consecução dos interesses coletivos; e outro subjetivo, formal ou orgânico, segundo o qual representa o conjunto de órgãos e de pessoas jurídicas que a lei atribui o exercício da função administrativa do Estado</w:t>
      </w:r>
      <w:r>
        <w:rPr>
          <w:rFonts w:eastAsia="Calibri"/>
        </w:rPr>
        <w:t>.</w:t>
      </w:r>
    </w:p>
    <w:p w14:paraId="6AF5FA29" w14:textId="0F11F246" w:rsidR="0082061E" w:rsidRPr="00F436E4" w:rsidRDefault="0082061E" w:rsidP="0082061E">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A partir e ao lado dessas concepções, é importante sinalizar as noções de governança e governabilidade adotadas, que também servem à abordagem utilizada. Esta última refere-se às condições substantivas de exercício e legitimidade do poder, derivadas da sua postura diante da sociedade civil e do mercado e da sua aptidão de articular alianças e coalizões entre os diferentes grupos sociopolíticos para viabilizar o projeto a ser implementado, agregando múltiplos interesses e apresentando-lhes um objetivo comum para os curto, médio e longo prazos </w:t>
      </w:r>
      <w:sdt>
        <w:sdtPr>
          <w:rPr>
            <w:rFonts w:ascii="Times New Roman" w:eastAsia="Calibri" w:hAnsi="Times New Roman" w:cs="Times New Roman"/>
            <w:sz w:val="24"/>
            <w:szCs w:val="24"/>
          </w:rPr>
          <w:id w:val="-418720116"/>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 CITATION Vin02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(ARAÚJO, 2002)</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Já a governança pode ser entendida como a face adjetiva desse processo, a capacidade que um determinado governo tem para formular e implementar as suas políticas – </w:t>
      </w:r>
      <w:r w:rsidRPr="00F436E4">
        <w:rPr>
          <w:rFonts w:ascii="Times New Roman" w:eastAsia="Calibri" w:hAnsi="Times New Roman" w:cs="Times New Roman"/>
          <w:sz w:val="24"/>
          <w:szCs w:val="24"/>
        </w:rPr>
        <w:lastRenderedPageBreak/>
        <w:t xml:space="preserve">dependendo de condições mínimas de governabilidade. Para </w:t>
      </w:r>
      <w:proofErr w:type="spellStart"/>
      <w:r w:rsidRPr="00F436E4">
        <w:rPr>
          <w:rFonts w:ascii="Times New Roman" w:eastAsia="Calibri" w:hAnsi="Times New Roman" w:cs="Times New Roman"/>
          <w:sz w:val="24"/>
          <w:szCs w:val="24"/>
        </w:rPr>
        <w:t>Secchi</w:t>
      </w:r>
      <w:proofErr w:type="spellEnd"/>
      <w:r w:rsidRPr="00F436E4">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558934429"/>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Sec09 \n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(2009)</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ela se revela a partir de um paradigma relacional, </w:t>
      </w:r>
      <w:r>
        <w:rPr>
          <w:rFonts w:ascii="Times New Roman" w:eastAsia="Calibri" w:hAnsi="Times New Roman" w:cs="Times New Roman"/>
          <w:sz w:val="24"/>
          <w:szCs w:val="24"/>
        </w:rPr>
        <w:t>ao oferecer</w:t>
      </w:r>
      <w:r w:rsidRPr="00F436E4">
        <w:rPr>
          <w:rFonts w:ascii="Times New Roman" w:eastAsia="Calibri" w:hAnsi="Times New Roman" w:cs="Times New Roman"/>
          <w:sz w:val="24"/>
          <w:szCs w:val="24"/>
        </w:rPr>
        <w:t xml:space="preserve"> uma abordagem diferenciada de conexão entre o sistema governamental e o ambiente que circunda o governo</w:t>
      </w:r>
      <w:r>
        <w:rPr>
          <w:rFonts w:ascii="Times New Roman" w:eastAsia="Calibri" w:hAnsi="Times New Roman" w:cs="Times New Roman"/>
          <w:sz w:val="24"/>
          <w:szCs w:val="24"/>
        </w:rPr>
        <w:t>.</w:t>
      </w:r>
    </w:p>
    <w:p w14:paraId="0F4CE386" w14:textId="70EC6D6D" w:rsidR="0082061E" w:rsidRDefault="0082061E" w:rsidP="0082061E">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Dialogando com as definições acima, </w:t>
      </w:r>
      <w:r>
        <w:rPr>
          <w:rFonts w:ascii="Times New Roman" w:eastAsia="Calibri" w:hAnsi="Times New Roman" w:cs="Times New Roman"/>
          <w:sz w:val="24"/>
          <w:szCs w:val="24"/>
        </w:rPr>
        <w:t>a abordagem DPP</w:t>
      </w:r>
      <w:r w:rsidRPr="00F436E4">
        <w:rPr>
          <w:rFonts w:ascii="Times New Roman" w:eastAsia="Calibri" w:hAnsi="Times New Roman" w:cs="Times New Roman"/>
          <w:sz w:val="24"/>
          <w:szCs w:val="24"/>
        </w:rPr>
        <w:t xml:space="preserve"> entende a realização do direito como objetivo das políticas públicas e investiga qual o sentido do direito que é produzido institucionalmente a partir de uma leitura sistemática do conjunto de atos normativos, decisões executivas e medidas operacionais que o conformam</w:t>
      </w:r>
      <w:r>
        <w:rPr>
          <w:rFonts w:ascii="Times New Roman" w:eastAsia="Calibri" w:hAnsi="Times New Roman" w:cs="Times New Roman"/>
          <w:sz w:val="24"/>
          <w:szCs w:val="24"/>
        </w:rPr>
        <w:t xml:space="preserve"> (Bucci, 2015). </w:t>
      </w:r>
      <w:r w:rsidRPr="00F436E4">
        <w:rPr>
          <w:rFonts w:ascii="Times New Roman" w:eastAsia="Calibri" w:hAnsi="Times New Roman" w:cs="Times New Roman"/>
          <w:sz w:val="24"/>
          <w:szCs w:val="24"/>
        </w:rPr>
        <w:t xml:space="preserve">Nesse sentido, é preciso fazer duas ressalvas, sinalizadas pela própria Bucci (2021): primeiro, a de que com essa abordagem não se almeja resumir uma política pública ao seu aparato jurídico; segundo, a de que não é necessário apartar o direito dos demais elementos que constituem a ação governamental em estudo. Aqui, ao mesmo tempo em que se reconhece o direito enquanto definidor dos objetivos de uma política pública, agregando a ela contornos cogentes e revestindo-a de oficialidade, tem-se também que ele é o instrumento que viabiliza a sua execução e a concretização da decisão política a que ela corresponde. </w:t>
      </w:r>
    </w:p>
    <w:p w14:paraId="1A405125" w14:textId="77777777" w:rsidR="00597446" w:rsidRDefault="00597446" w:rsidP="00597446">
      <w:pPr>
        <w:suppressAutoHyphen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Pr="00F436E4">
        <w:rPr>
          <w:rFonts w:ascii="Times New Roman" w:eastAsia="Calibri" w:hAnsi="Times New Roman" w:cs="Times New Roman"/>
          <w:sz w:val="24"/>
          <w:szCs w:val="24"/>
        </w:rPr>
        <w:t xml:space="preserve">m função do desenvolvimento do capitalismo, as decisões políticas passaram a depender da conformação do poder em estruturas despersonalizadas, organizadas segundo as regras e procedimentos jurídicos e, </w:t>
      </w:r>
      <w:r>
        <w:rPr>
          <w:rFonts w:ascii="Times New Roman" w:eastAsia="Calibri" w:hAnsi="Times New Roman" w:cs="Times New Roman"/>
          <w:sz w:val="24"/>
          <w:szCs w:val="24"/>
        </w:rPr>
        <w:t>consequentemente</w:t>
      </w:r>
      <w:r w:rsidRPr="00F436E4">
        <w:rPr>
          <w:rFonts w:ascii="Times New Roman" w:eastAsia="Calibri" w:hAnsi="Times New Roman" w:cs="Times New Roman"/>
          <w:sz w:val="24"/>
          <w:szCs w:val="24"/>
        </w:rPr>
        <w:t xml:space="preserve">, a política foi “deixando de ser exclusivamente política, para ser, ao mesmo tempo e cada vez mais, também direito, organizado em instituições” (BUCCI, 2021, p. 59). Essa dependência do direito para a legitimação da ação governamental </w:t>
      </w:r>
      <w:r>
        <w:rPr>
          <w:rFonts w:ascii="Times New Roman" w:eastAsia="Calibri" w:hAnsi="Times New Roman" w:cs="Times New Roman"/>
          <w:sz w:val="24"/>
          <w:szCs w:val="24"/>
        </w:rPr>
        <w:t>evidencia a</w:t>
      </w:r>
      <w:r w:rsidRPr="00F436E4">
        <w:rPr>
          <w:rFonts w:ascii="Times New Roman" w:eastAsia="Calibri" w:hAnsi="Times New Roman" w:cs="Times New Roman"/>
          <w:sz w:val="24"/>
          <w:szCs w:val="24"/>
        </w:rPr>
        <w:t xml:space="preserve"> centralidade do arcabouço jurídico na estruturação institucional de uma política pública e compreendê-la pode auxiliar a análise dos resultados por ela produzidos, já que as normas, processos e instituições jurídicas acomodam os modos de articulação e interação de atores institucionais direta ou indiretamente ligados à ação governamental. </w:t>
      </w:r>
    </w:p>
    <w:p w14:paraId="392EE5CF" w14:textId="3075C6E5" w:rsidR="0082061E" w:rsidRPr="00F436E4" w:rsidRDefault="00597446" w:rsidP="00597446">
      <w:pPr>
        <w:suppressAutoHyphen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Na síntese das</w:t>
      </w:r>
      <w:r w:rsidRPr="00F436E4">
        <w:rPr>
          <w:rFonts w:ascii="Times New Roman" w:eastAsia="Calibri" w:hAnsi="Times New Roman" w:cs="Times New Roman"/>
          <w:sz w:val="24"/>
          <w:szCs w:val="24"/>
        </w:rPr>
        <w:t xml:space="preserve"> complexidades e pontos críticos inerentes ao processo de </w:t>
      </w:r>
      <w:proofErr w:type="spellStart"/>
      <w:r w:rsidRPr="00F436E4">
        <w:rPr>
          <w:rFonts w:ascii="Times New Roman" w:eastAsia="Calibri" w:hAnsi="Times New Roman" w:cs="Times New Roman"/>
          <w:i/>
          <w:iCs/>
          <w:sz w:val="24"/>
          <w:szCs w:val="24"/>
        </w:rPr>
        <w:t>policymaking</w:t>
      </w:r>
      <w:proofErr w:type="spellEnd"/>
      <w:r w:rsidRPr="00F436E4">
        <w:rPr>
          <w:rFonts w:ascii="Times New Roman" w:eastAsia="Calibri" w:hAnsi="Times New Roman" w:cs="Times New Roman"/>
          <w:sz w:val="24"/>
          <w:szCs w:val="24"/>
        </w:rPr>
        <w:t xml:space="preserve">, </w:t>
      </w:r>
      <w:r>
        <w:rPr>
          <w:rFonts w:ascii="Times New Roman" w:eastAsia="Calibri" w:hAnsi="Times New Roman" w:cs="Times New Roman"/>
          <w:sz w:val="24"/>
          <w:szCs w:val="24"/>
        </w:rPr>
        <w:t>outra i</w:t>
      </w:r>
      <w:r w:rsidRPr="00F436E4">
        <w:rPr>
          <w:rFonts w:ascii="Times New Roman" w:eastAsia="Calibri" w:hAnsi="Times New Roman" w:cs="Times New Roman"/>
          <w:sz w:val="24"/>
          <w:szCs w:val="24"/>
        </w:rPr>
        <w:t xml:space="preserve">mportante categoria acionada por Bucci para compreensão do tema é a de instituição, </w:t>
      </w:r>
      <w:r>
        <w:rPr>
          <w:rFonts w:ascii="Times New Roman" w:eastAsia="Calibri" w:hAnsi="Times New Roman" w:cs="Times New Roman"/>
          <w:sz w:val="24"/>
          <w:szCs w:val="24"/>
        </w:rPr>
        <w:t>a partir da qual é possível</w:t>
      </w:r>
      <w:r w:rsidRPr="00F436E4">
        <w:rPr>
          <w:rFonts w:ascii="Times New Roman" w:eastAsia="Calibri" w:hAnsi="Times New Roman" w:cs="Times New Roman"/>
          <w:sz w:val="24"/>
          <w:szCs w:val="24"/>
        </w:rPr>
        <w:t xml:space="preserve"> enxergar o processo de criação de uma política pública e como ela pode vir a se desagregar das forças políticas que propiciaram o seu surgimento, justamente em função da</w:t>
      </w:r>
      <w:r>
        <w:rPr>
          <w:rFonts w:ascii="Times New Roman" w:eastAsia="Calibri" w:hAnsi="Times New Roman" w:cs="Times New Roman"/>
          <w:sz w:val="24"/>
          <w:szCs w:val="24"/>
        </w:rPr>
        <w:t xml:space="preserve"> já mencionada</w:t>
      </w:r>
      <w:r w:rsidRPr="00F436E4">
        <w:rPr>
          <w:rFonts w:ascii="Times New Roman" w:eastAsia="Calibri" w:hAnsi="Times New Roman" w:cs="Times New Roman"/>
          <w:sz w:val="24"/>
          <w:szCs w:val="24"/>
        </w:rPr>
        <w:t xml:space="preserve"> </w:t>
      </w:r>
      <w:r w:rsidRPr="00DB583A">
        <w:rPr>
          <w:rFonts w:ascii="Times New Roman" w:hAnsi="Times New Roman"/>
          <w:sz w:val="24"/>
        </w:rPr>
        <w:t>conformação do poder em estruturas despersonalizadas, organizadas segundo as regras e procedimentos jurídicos</w:t>
      </w:r>
      <w:r w:rsidRPr="00F436E4">
        <w:rPr>
          <w:rFonts w:ascii="Times New Roman" w:eastAsia="Calibri" w:hAnsi="Times New Roman" w:cs="Times New Roman"/>
          <w:sz w:val="24"/>
          <w:szCs w:val="24"/>
        </w:rPr>
        <w:t>. A institucionalidade é o que confere estabilidade à ação governamental e isso ocorre à medida que o direito se infiltra na política para conferir a ela objetivação e organização, num movimento de tradução do exercício desse poder em uma linguagem normativa.</w:t>
      </w:r>
    </w:p>
    <w:p w14:paraId="3F531D04" w14:textId="37B43328" w:rsidR="00597446" w:rsidRPr="00F436E4" w:rsidRDefault="00597446" w:rsidP="00410379">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A institucionalização de uma política pública se revela como uma estratégia de disciplinar</w:t>
      </w:r>
      <w:r>
        <w:rPr>
          <w:rFonts w:ascii="Times New Roman" w:eastAsia="Calibri" w:hAnsi="Times New Roman" w:cs="Times New Roman"/>
          <w:sz w:val="24"/>
          <w:szCs w:val="24"/>
        </w:rPr>
        <w:t>,</w:t>
      </w:r>
      <w:r w:rsidRPr="00F436E4">
        <w:rPr>
          <w:rFonts w:ascii="Times New Roman" w:eastAsia="Calibri" w:hAnsi="Times New Roman" w:cs="Times New Roman"/>
          <w:sz w:val="24"/>
          <w:szCs w:val="24"/>
        </w:rPr>
        <w:t xml:space="preserve"> em bases jurídicas</w:t>
      </w:r>
      <w:r>
        <w:rPr>
          <w:rFonts w:ascii="Times New Roman" w:eastAsia="Calibri" w:hAnsi="Times New Roman" w:cs="Times New Roman"/>
          <w:sz w:val="24"/>
          <w:szCs w:val="24"/>
        </w:rPr>
        <w:t>,</w:t>
      </w:r>
      <w:r w:rsidRPr="00F436E4">
        <w:rPr>
          <w:rFonts w:ascii="Times New Roman" w:eastAsia="Calibri" w:hAnsi="Times New Roman" w:cs="Times New Roman"/>
          <w:sz w:val="24"/>
          <w:szCs w:val="24"/>
        </w:rPr>
        <w:t xml:space="preserve"> as regras de um jogo cada vez mais complexo, sobretudo em </w:t>
      </w:r>
      <w:r w:rsidRPr="00F436E4">
        <w:rPr>
          <w:rFonts w:ascii="Times New Roman" w:eastAsia="Calibri" w:hAnsi="Times New Roman" w:cs="Times New Roman"/>
          <w:sz w:val="24"/>
          <w:szCs w:val="24"/>
        </w:rPr>
        <w:lastRenderedPageBreak/>
        <w:t>contextos de desigualdade. A coordenação fornecida pelo direito</w:t>
      </w:r>
      <w:r>
        <w:rPr>
          <w:rFonts w:ascii="Times New Roman" w:eastAsia="Calibri" w:hAnsi="Times New Roman" w:cs="Times New Roman"/>
          <w:sz w:val="24"/>
          <w:szCs w:val="24"/>
        </w:rPr>
        <w:t xml:space="preserve"> </w:t>
      </w:r>
      <w:r w:rsidRPr="00F436E4">
        <w:rPr>
          <w:rFonts w:ascii="Times New Roman" w:eastAsia="Calibri" w:hAnsi="Times New Roman" w:cs="Times New Roman"/>
          <w:sz w:val="24"/>
          <w:szCs w:val="24"/>
        </w:rPr>
        <w:t>sistematiza o programa de ação governamental,</w:t>
      </w:r>
      <w:r>
        <w:rPr>
          <w:rFonts w:ascii="Times New Roman" w:eastAsia="Calibri" w:hAnsi="Times New Roman" w:cs="Times New Roman"/>
          <w:sz w:val="24"/>
          <w:szCs w:val="24"/>
        </w:rPr>
        <w:t xml:space="preserve"> notadamente</w:t>
      </w:r>
      <w:r w:rsidRPr="00F436E4">
        <w:rPr>
          <w:rFonts w:ascii="Times New Roman" w:eastAsia="Calibri" w:hAnsi="Times New Roman" w:cs="Times New Roman"/>
          <w:sz w:val="24"/>
          <w:szCs w:val="24"/>
        </w:rPr>
        <w:t xml:space="preserve"> ao definir os papéis dos atores que participam desse processo, dando a ele caráter permanente e </w:t>
      </w:r>
      <w:r>
        <w:rPr>
          <w:rFonts w:ascii="Times New Roman" w:eastAsia="Calibri" w:hAnsi="Times New Roman" w:cs="Times New Roman"/>
          <w:sz w:val="24"/>
          <w:szCs w:val="24"/>
        </w:rPr>
        <w:t>estável</w:t>
      </w:r>
      <w:r w:rsidRPr="00F436E4">
        <w:rPr>
          <w:rFonts w:ascii="Times New Roman" w:eastAsia="Calibri" w:hAnsi="Times New Roman" w:cs="Times New Roman"/>
          <w:sz w:val="24"/>
          <w:szCs w:val="24"/>
        </w:rPr>
        <w:t xml:space="preserve"> na organização jurídica estatal, isto é, consolida</w:t>
      </w:r>
      <w:r>
        <w:rPr>
          <w:rFonts w:ascii="Times New Roman" w:eastAsia="Calibri" w:hAnsi="Times New Roman" w:cs="Times New Roman"/>
          <w:sz w:val="24"/>
          <w:szCs w:val="24"/>
        </w:rPr>
        <w:t>n</w:t>
      </w:r>
      <w:r w:rsidRPr="00F436E4">
        <w:rPr>
          <w:rFonts w:ascii="Times New Roman" w:eastAsia="Calibri" w:hAnsi="Times New Roman" w:cs="Times New Roman"/>
          <w:sz w:val="24"/>
          <w:szCs w:val="24"/>
        </w:rPr>
        <w:t>do</w:t>
      </w:r>
      <w:r>
        <w:rPr>
          <w:rFonts w:ascii="Times New Roman" w:eastAsia="Calibri" w:hAnsi="Times New Roman" w:cs="Times New Roman"/>
          <w:sz w:val="24"/>
          <w:szCs w:val="24"/>
        </w:rPr>
        <w:t>-</w:t>
      </w:r>
      <w:r w:rsidRPr="00F436E4">
        <w:rPr>
          <w:rFonts w:ascii="Times New Roman" w:eastAsia="Calibri" w:hAnsi="Times New Roman" w:cs="Times New Roman"/>
          <w:sz w:val="24"/>
          <w:szCs w:val="24"/>
        </w:rPr>
        <w:t xml:space="preserve">o suficiente para suportar as transições de gestão, “visando a composição de distintos interesses, meios e temporalidades, em função da ideia-diretriz” </w:t>
      </w:r>
      <w:sdt>
        <w:sdtPr>
          <w:rPr>
            <w:rFonts w:ascii="Times New Roman" w:eastAsia="Calibri" w:hAnsi="Times New Roman" w:cs="Times New Roman"/>
            <w:sz w:val="20"/>
            <w:szCs w:val="20"/>
          </w:rPr>
          <w:id w:val="1024696639"/>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Mar21 \p 257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(BUCCI, 2021, p. 257)</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w:t>
      </w:r>
      <w:r>
        <w:rPr>
          <w:rFonts w:ascii="Times New Roman" w:eastAsia="Calibri" w:hAnsi="Times New Roman" w:cs="Times New Roman"/>
          <w:sz w:val="24"/>
          <w:szCs w:val="24"/>
        </w:rPr>
        <w:t>Bucci (2021)</w:t>
      </w:r>
      <w:r w:rsidRPr="00F436E4">
        <w:rPr>
          <w:rFonts w:ascii="Times New Roman" w:eastAsia="Calibri" w:hAnsi="Times New Roman" w:cs="Times New Roman"/>
          <w:sz w:val="24"/>
          <w:szCs w:val="24"/>
        </w:rPr>
        <w:t xml:space="preserve"> reforça que esse fenômeno é o que impede a dispersão dos elementos políticos e sociais, mantendo alinhadas as competências públicas e os interesses individuais e coletivos, em que pesem as suas distinções, bem como permite a caracterização destes como componentes de um arranjo funcional, denominado de arranjo institucional.</w:t>
      </w:r>
    </w:p>
    <w:p w14:paraId="74D3E51F" w14:textId="2E5D05BC" w:rsidR="00597446" w:rsidRDefault="00597446" w:rsidP="00597446">
      <w:pPr>
        <w:pStyle w:val="CorpodoTextoABNT0"/>
        <w:rPr>
          <w:rFonts w:eastAsia="Calibri"/>
        </w:rPr>
      </w:pPr>
      <w:r w:rsidRPr="00F436E4">
        <w:rPr>
          <w:rFonts w:eastAsia="Calibri"/>
        </w:rPr>
        <w:t xml:space="preserve">Esse arranjo é também um importante elemento de análise, ao passo que representa a exteriorização do programa governamental, que ganha materialidade a partir das normas, decisões e medidas editadas no curso de sua formulação e execução. Ele compreende tanto o marco geral de ação da política pública em seu aspecto objetivo (o conjunto organizado), como em seu aspecto subjetivo (os atores envolvidos na política) </w:t>
      </w:r>
      <w:sdt>
        <w:sdtPr>
          <w:rPr>
            <w:rFonts w:eastAsia="Calibri"/>
          </w:rPr>
          <w:id w:val="909838597"/>
          <w:citation/>
        </w:sdtPr>
        <w:sdtContent>
          <w:r w:rsidRPr="00F436E4">
            <w:rPr>
              <w:rFonts w:eastAsia="Calibri"/>
            </w:rPr>
            <w:fldChar w:fldCharType="begin"/>
          </w:r>
          <w:r w:rsidRPr="00F436E4">
            <w:rPr>
              <w:rFonts w:eastAsia="Calibri"/>
            </w:rPr>
            <w:instrText xml:space="preserve">CITATION All15 \p 48 \l 1046 </w:instrText>
          </w:r>
          <w:r w:rsidRPr="00F436E4">
            <w:rPr>
              <w:rFonts w:eastAsia="Calibri"/>
            </w:rPr>
            <w:fldChar w:fldCharType="separate"/>
          </w:r>
          <w:r w:rsidR="004438B9" w:rsidRPr="004438B9">
            <w:rPr>
              <w:rFonts w:eastAsia="Calibri"/>
              <w:noProof/>
            </w:rPr>
            <w:t>(SILVA, 2015, p. 48)</w:t>
          </w:r>
          <w:r w:rsidRPr="00F436E4">
            <w:rPr>
              <w:rFonts w:eastAsia="Calibri"/>
            </w:rPr>
            <w:fldChar w:fldCharType="end"/>
          </w:r>
        </w:sdtContent>
      </w:sdt>
      <w:r w:rsidRPr="00F436E4">
        <w:rPr>
          <w:rFonts w:eastAsia="Calibri"/>
        </w:rPr>
        <w:t>, que, ao combinar conceitos e diretrizes racionais, produzem determinados significados e comportamentos, revelando a decisão nuclear do governo.</w:t>
      </w:r>
      <w:r>
        <w:rPr>
          <w:rFonts w:eastAsia="Calibri"/>
        </w:rPr>
        <w:t xml:space="preserve"> </w:t>
      </w:r>
    </w:p>
    <w:p w14:paraId="253B1FBA" w14:textId="28A40BDF" w:rsidR="00202E27" w:rsidRDefault="00597446" w:rsidP="00597446">
      <w:pPr>
        <w:pStyle w:val="CorpodoTextoABNT0"/>
      </w:pPr>
      <w:r>
        <w:t>Nesse sentido, Bucci e Coutinho (2017) alertam que a escolha desses caminhos pelo Estado não ocorre de modo aleatório, mas resulta de um esforço intencional e consciente, no qual o aparato normativo, os processos por ele coordenados, os agentes envolvidos e as instituições jurídicas desempenham papel mais relevante do que à primeira vista pode parecer. Isso porque atributos do próprio desenho institucional das políticas públicas — como o grau de descentralização, os níveis de autonomia administrativa, as formas de coordenação federativa e intersetorial, os tipos de relações estabelecidas entre atores públicos e entre o setor público e o privado, bem como a articulação com outros programas — dependem, em grande medida, da consistência do arcabouço jurídico que as estrutura</w:t>
      </w:r>
      <w:r>
        <w:t>.</w:t>
      </w:r>
    </w:p>
    <w:p w14:paraId="386829A0" w14:textId="1CE7EE82" w:rsidR="00597446" w:rsidRDefault="00597446" w:rsidP="00597446">
      <w:pPr>
        <w:pStyle w:val="CorpodoTextoABNT0"/>
        <w:rPr>
          <w:rFonts w:eastAsia="Calibri"/>
        </w:rPr>
      </w:pPr>
      <w:r w:rsidRPr="00F436E4">
        <w:rPr>
          <w:rFonts w:eastAsia="Calibri"/>
        </w:rPr>
        <w:t xml:space="preserve">Além de determinar normativamente os objetivos almejados, como já mencionado, Coutinho </w:t>
      </w:r>
      <w:sdt>
        <w:sdtPr>
          <w:rPr>
            <w:rFonts w:eastAsia="Calibri"/>
            <w:sz w:val="20"/>
            <w:szCs w:val="20"/>
          </w:rPr>
          <w:id w:val="1723963362"/>
          <w:citation/>
        </w:sdtPr>
        <w:sdtContent>
          <w:r w:rsidRPr="00F436E4">
            <w:rPr>
              <w:rFonts w:eastAsia="Calibri"/>
            </w:rPr>
            <w:fldChar w:fldCharType="begin"/>
          </w:r>
          <w:r w:rsidRPr="00F436E4">
            <w:rPr>
              <w:rFonts w:eastAsia="Calibri"/>
            </w:rPr>
            <w:instrText xml:space="preserve">CITATION Dio13 \n  \t  \l 1046 </w:instrText>
          </w:r>
          <w:r w:rsidRPr="00F436E4">
            <w:rPr>
              <w:rFonts w:eastAsia="Calibri"/>
            </w:rPr>
            <w:fldChar w:fldCharType="separate"/>
          </w:r>
          <w:r w:rsidR="004438B9" w:rsidRPr="004438B9">
            <w:rPr>
              <w:rFonts w:eastAsia="Calibri"/>
              <w:noProof/>
            </w:rPr>
            <w:t>(2013)</w:t>
          </w:r>
          <w:r w:rsidRPr="00F436E4">
            <w:rPr>
              <w:rFonts w:eastAsia="Calibri"/>
            </w:rPr>
            <w:fldChar w:fldCharType="end"/>
          </w:r>
        </w:sdtContent>
      </w:sdt>
      <w:r w:rsidRPr="00F436E4">
        <w:rPr>
          <w:rFonts w:eastAsia="Calibri"/>
        </w:rPr>
        <w:t xml:space="preserve"> aduz que o direito também serve para apontar, ainda que de forma ampla, os instrumentos a serem utilizados para alcançá-los; criar canais de participação social e legitimação democrática; e estruturar os referidos arranjos institucionais voltados à coordenação de processos e à atribuição de responsabilidades aos agentes em tais políticas. Ao acionar esse instrumental analítico, portanto, o que se busca é uma compreensão integrada dos inúmeros aspectos e dimensões jurídicas e não-jurídicas que convergem para a ação governamental.</w:t>
      </w:r>
    </w:p>
    <w:p w14:paraId="1AF2C67A" w14:textId="6EB4EE24" w:rsidR="00597446" w:rsidRDefault="00597446" w:rsidP="00597446">
      <w:pPr>
        <w:pStyle w:val="CorpodoTextoABNT0"/>
        <w:rPr>
          <w:rFonts w:eastAsia="Calibri"/>
        </w:rPr>
      </w:pPr>
    </w:p>
    <w:p w14:paraId="2E20C148" w14:textId="1A1CE765" w:rsidR="00597446" w:rsidRDefault="00597446" w:rsidP="00597446">
      <w:pPr>
        <w:pStyle w:val="Ttulo1"/>
        <w:rPr>
          <w:rFonts w:eastAsia="Calibri"/>
        </w:rPr>
      </w:pPr>
      <w:r>
        <w:rPr>
          <w:rFonts w:eastAsia="Calibri"/>
        </w:rPr>
        <w:lastRenderedPageBreak/>
        <w:t>Desenvolvimento</w:t>
      </w:r>
    </w:p>
    <w:p w14:paraId="798846C7" w14:textId="280AEB0C" w:rsidR="00597446" w:rsidRDefault="00597446" w:rsidP="00597446"/>
    <w:p w14:paraId="0567692A" w14:textId="67043351" w:rsidR="00E02510" w:rsidRDefault="003153E2" w:rsidP="00A80277">
      <w:pPr>
        <w:pStyle w:val="CORPODOTEXTOABNT"/>
      </w:pPr>
      <w:r>
        <w:t>A</w:t>
      </w:r>
      <w:r w:rsidR="00E02510" w:rsidRPr="00F436E4">
        <w:t xml:space="preserve"> análise sobre os elementos em disputa quando da produção jurídico-institucional do Programa Minha Casa, Minha Vida </w:t>
      </w:r>
      <w:r w:rsidR="00E02510">
        <w:t>são permeados por questões</w:t>
      </w:r>
      <w:r w:rsidR="00E02510" w:rsidRPr="00F436E4">
        <w:t xml:space="preserve"> </w:t>
      </w:r>
      <w:r w:rsidR="00E02510">
        <w:t>eu visam</w:t>
      </w:r>
      <w:r w:rsidR="00E02510" w:rsidRPr="00004F31">
        <w:t xml:space="preserve"> </w:t>
      </w:r>
      <w:r w:rsidR="00E02510" w:rsidRPr="00F436E4">
        <w:t xml:space="preserve">situá-lo em uma realidade material e política específica, considerando que o Estado Social é o Estado das políticas públicas </w:t>
      </w:r>
      <w:sdt>
        <w:sdtPr>
          <w:id w:val="-434823441"/>
          <w:citation/>
        </w:sdtPr>
        <w:sdtContent>
          <w:r w:rsidR="00E02510" w:rsidRPr="00F436E4">
            <w:fldChar w:fldCharType="begin"/>
          </w:r>
          <w:r w:rsidR="00E02510" w:rsidRPr="00F436E4">
            <w:instrText xml:space="preserve">CITATION BUC22 \l 1046 </w:instrText>
          </w:r>
          <w:r w:rsidR="00E02510" w:rsidRPr="00F436E4">
            <w:fldChar w:fldCharType="separate"/>
          </w:r>
          <w:r w:rsidR="004438B9" w:rsidRPr="004438B9">
            <w:rPr>
              <w:noProof/>
            </w:rPr>
            <w:t>(BUCCI e SOUZA, 2022)</w:t>
          </w:r>
          <w:r w:rsidR="00E02510" w:rsidRPr="00F436E4">
            <w:fldChar w:fldCharType="end"/>
          </w:r>
        </w:sdtContent>
      </w:sdt>
      <w:r w:rsidR="00E02510">
        <w:t>:</w:t>
      </w:r>
      <w:r w:rsidR="00E02510" w:rsidRPr="00F436E4">
        <w:t xml:space="preserve"> </w:t>
      </w:r>
      <w:r w:rsidR="00E02510" w:rsidRPr="00004F31">
        <w:t>o que desafiou o governo a formulá-lo</w:t>
      </w:r>
      <w:r w:rsidR="00E02510">
        <w:t>?</w:t>
      </w:r>
      <w:r w:rsidR="00E02510" w:rsidRPr="00004F31">
        <w:t xml:space="preserve"> </w:t>
      </w:r>
      <w:r w:rsidR="00E02510">
        <w:t>Q</w:t>
      </w:r>
      <w:r w:rsidR="00E02510" w:rsidRPr="00004F31">
        <w:t>uais os conflitos presentes no processo de racionalização do poder</w:t>
      </w:r>
      <w:r w:rsidR="00E02510">
        <w:t>?</w:t>
      </w:r>
      <w:r w:rsidR="00E02510" w:rsidRPr="00004F31">
        <w:t xml:space="preserve"> </w:t>
      </w:r>
      <w:r w:rsidR="00E02510">
        <w:t>Q</w:t>
      </w:r>
      <w:r w:rsidR="00E02510" w:rsidRPr="00004F31">
        <w:t>uais as justificativas apresentadas acerca da sua contribuição para a democracia e inclusão social</w:t>
      </w:r>
      <w:r w:rsidR="00E02510">
        <w:t>?</w:t>
      </w:r>
      <w:r w:rsidR="00E02510" w:rsidRPr="00F436E4">
        <w:t xml:space="preserve"> </w:t>
      </w:r>
    </w:p>
    <w:p w14:paraId="6B3A1FC3" w14:textId="575F14EB" w:rsidR="00E02510" w:rsidRPr="00F436E4" w:rsidRDefault="00E02510" w:rsidP="00A80277">
      <w:pPr>
        <w:pStyle w:val="CORPODOTEXTOABNT"/>
      </w:pPr>
      <w:r>
        <w:t>De antemão, ressalta-se que o</w:t>
      </w:r>
      <w:r w:rsidRPr="00F436E4">
        <w:t xml:space="preserve"> PMCMV </w:t>
      </w:r>
      <w:r>
        <w:t xml:space="preserve">se tornou uma </w:t>
      </w:r>
      <w:r w:rsidRPr="00F436E4">
        <w:t xml:space="preserve">política suficientemente institucionalizada, ou seja, </w:t>
      </w:r>
      <w:r>
        <w:t>que esteve assentada</w:t>
      </w:r>
      <w:r w:rsidRPr="00F436E4">
        <w:t xml:space="preserve"> em uma base normativa que funcion</w:t>
      </w:r>
      <w:r>
        <w:t>ou</w:t>
      </w:r>
      <w:r w:rsidRPr="00F436E4">
        <w:t xml:space="preserve"> como elemento de organização sistemática e efetiva da ação governamental, </w:t>
      </w:r>
      <w:r>
        <w:t xml:space="preserve">capaz de </w:t>
      </w:r>
      <w:r w:rsidRPr="00F436E4">
        <w:t>orientar comportamentos de agentes públicos e privados no sentido da decisão política anunciada, independentemente da gestão que a operacionaliza</w:t>
      </w:r>
      <w:r>
        <w:t>sse</w:t>
      </w:r>
      <w:r w:rsidRPr="00F436E4">
        <w:rPr>
          <w:sz w:val="20"/>
          <w:szCs w:val="20"/>
          <w:vertAlign w:val="superscript"/>
        </w:rPr>
        <w:footnoteReference w:id="1"/>
      </w:r>
      <w:r w:rsidRPr="00F436E4">
        <w:t xml:space="preserve"> </w:t>
      </w:r>
      <w:sdt>
        <w:sdtPr>
          <w:rPr>
            <w:sz w:val="20"/>
            <w:szCs w:val="20"/>
          </w:rPr>
          <w:id w:val="1844146025"/>
          <w:citation/>
        </w:sdtPr>
        <w:sdtContent>
          <w:r w:rsidRPr="00F436E4">
            <w:fldChar w:fldCharType="begin"/>
          </w:r>
          <w:r w:rsidRPr="00F436E4">
            <w:instrText xml:space="preserve"> CITATION Buc19 \l 1046 </w:instrText>
          </w:r>
          <w:r w:rsidRPr="00F436E4">
            <w:fldChar w:fldCharType="separate"/>
          </w:r>
          <w:r w:rsidR="004438B9" w:rsidRPr="004438B9">
            <w:rPr>
              <w:noProof/>
            </w:rPr>
            <w:t>(BUCCI, 2019)</w:t>
          </w:r>
          <w:r w:rsidRPr="00F436E4">
            <w:fldChar w:fldCharType="end"/>
          </w:r>
        </w:sdtContent>
      </w:sdt>
      <w:r w:rsidRPr="00F436E4">
        <w:t xml:space="preserve">. Isso é importante de se salientar, tendo em vista que a abordagem </w:t>
      </w:r>
      <w:r>
        <w:t xml:space="preserve">DPP </w:t>
      </w:r>
      <w:r w:rsidRPr="00F436E4">
        <w:t xml:space="preserve">“supõe uma política pública completa ou pelo menos em processo de institucionalização, com seus contornos identificáveis” </w:t>
      </w:r>
      <w:sdt>
        <w:sdtPr>
          <w:rPr>
            <w:sz w:val="20"/>
            <w:szCs w:val="20"/>
          </w:rPr>
          <w:id w:val="1665647957"/>
          <w:citation/>
        </w:sdtPr>
        <w:sdtContent>
          <w:r w:rsidRPr="00F436E4">
            <w:fldChar w:fldCharType="begin"/>
          </w:r>
          <w:r w:rsidRPr="00F436E4">
            <w:instrText xml:space="preserve">CITATION Buc19 \p 817 \l 1046 </w:instrText>
          </w:r>
          <w:r w:rsidRPr="00F436E4">
            <w:fldChar w:fldCharType="separate"/>
          </w:r>
          <w:r w:rsidR="004438B9" w:rsidRPr="004438B9">
            <w:rPr>
              <w:noProof/>
            </w:rPr>
            <w:t>(BUCCI, 2019, p. 817)</w:t>
          </w:r>
          <w:r w:rsidRPr="00F436E4">
            <w:fldChar w:fldCharType="end"/>
          </w:r>
        </w:sdtContent>
      </w:sdt>
      <w:r w:rsidRPr="00F436E4">
        <w:t>, isto é, com soluções previamente estruturadas para os problemas em sua implementação.</w:t>
      </w:r>
    </w:p>
    <w:p w14:paraId="3F617C82" w14:textId="3D2461E4" w:rsidR="00B92F99" w:rsidRDefault="00E02510" w:rsidP="00A80277">
      <w:pPr>
        <w:pStyle w:val="CORPODOTEXTOABNT"/>
      </w:pPr>
      <w:r w:rsidRPr="00F436E4">
        <w:t>Nessa análise,</w:t>
      </w:r>
      <w:r w:rsidR="003153E2">
        <w:t xml:space="preserve"> como já salientado na seção que descreve os aspectos metodológicos do trabalho,</w:t>
      </w:r>
      <w:r w:rsidRPr="00F436E4">
        <w:t xml:space="preserve"> é preciso considerar duas perspectivas distintas que se desenvolvem e se influenciam no processo de racionalização do poder e conformação da decisão governamental: uma que parte do Estado e do modo como ele organiza o poder e se constitui enquanto canal de expressão e realização das demandas sociais</w:t>
      </w:r>
      <w:r>
        <w:t xml:space="preserve"> – intragovernamental –</w:t>
      </w:r>
      <w:r w:rsidRPr="00F436E4">
        <w:t xml:space="preserve"> e outra que parte da sociedade civil na condição de fomentadora dos movimentos políticos que estimulam a ação estatal</w:t>
      </w:r>
      <w:r>
        <w:t xml:space="preserve"> – extragovernamental</w:t>
      </w:r>
      <w:r w:rsidR="00B92F99">
        <w:t>, apresentadas a seguir.</w:t>
      </w:r>
    </w:p>
    <w:p w14:paraId="006BF2E8" w14:textId="2831A2BF" w:rsidR="00B92F99" w:rsidRDefault="00B92F99" w:rsidP="00B92F99">
      <w:pPr>
        <w:suppressAutoHyphens/>
        <w:spacing w:after="0" w:line="360" w:lineRule="auto"/>
        <w:jc w:val="both"/>
        <w:rPr>
          <w:rFonts w:ascii="Times New Roman" w:eastAsia="Calibri" w:hAnsi="Times New Roman" w:cs="Times New Roman"/>
          <w:sz w:val="24"/>
          <w:szCs w:val="24"/>
        </w:rPr>
      </w:pPr>
    </w:p>
    <w:p w14:paraId="133D3FF9" w14:textId="2FCBEAFB" w:rsidR="00171F6A" w:rsidRDefault="00171F6A" w:rsidP="00B92F99">
      <w:pPr>
        <w:suppressAutoHyphens/>
        <w:spacing w:after="0" w:line="360" w:lineRule="auto"/>
        <w:jc w:val="both"/>
        <w:rPr>
          <w:rFonts w:ascii="Times New Roman" w:eastAsia="Calibri" w:hAnsi="Times New Roman" w:cs="Times New Roman"/>
          <w:sz w:val="24"/>
          <w:szCs w:val="24"/>
        </w:rPr>
      </w:pPr>
    </w:p>
    <w:p w14:paraId="3D026983" w14:textId="2096A7A0" w:rsidR="00171F6A" w:rsidRDefault="00171F6A" w:rsidP="00B92F99">
      <w:pPr>
        <w:suppressAutoHyphens/>
        <w:spacing w:after="0" w:line="360" w:lineRule="auto"/>
        <w:jc w:val="both"/>
        <w:rPr>
          <w:rFonts w:ascii="Times New Roman" w:eastAsia="Calibri" w:hAnsi="Times New Roman" w:cs="Times New Roman"/>
          <w:sz w:val="24"/>
          <w:szCs w:val="24"/>
        </w:rPr>
      </w:pPr>
    </w:p>
    <w:p w14:paraId="4EA96138" w14:textId="77777777" w:rsidR="00171F6A" w:rsidRDefault="00171F6A" w:rsidP="00B92F99">
      <w:pPr>
        <w:suppressAutoHyphens/>
        <w:spacing w:after="0" w:line="360" w:lineRule="auto"/>
        <w:jc w:val="both"/>
        <w:rPr>
          <w:rFonts w:ascii="Times New Roman" w:eastAsia="Calibri" w:hAnsi="Times New Roman" w:cs="Times New Roman"/>
          <w:sz w:val="24"/>
          <w:szCs w:val="24"/>
        </w:rPr>
      </w:pPr>
    </w:p>
    <w:p w14:paraId="7CDE2AEE" w14:textId="5082D6F7" w:rsidR="0006493C" w:rsidRPr="00171F6A" w:rsidRDefault="00A80277" w:rsidP="00A80277">
      <w:pPr>
        <w:pStyle w:val="corpodotexto"/>
        <w:rPr>
          <w:rFonts w:eastAsia="Calibri"/>
          <w:b/>
          <w:bCs/>
        </w:rPr>
      </w:pPr>
      <w:r w:rsidRPr="00171F6A">
        <w:rPr>
          <w:b/>
          <w:bCs/>
        </w:rPr>
        <w:lastRenderedPageBreak/>
        <w:t>Do Banco Nacional de Habitação ao Programa Minha Casa, Minha Vida: notas de uma memória institucional</w:t>
      </w:r>
    </w:p>
    <w:p w14:paraId="3A301063" w14:textId="77777777" w:rsidR="0006493C" w:rsidRPr="003153E2" w:rsidRDefault="0006493C" w:rsidP="00A80277">
      <w:pPr>
        <w:pStyle w:val="CORPODOTEXTOABNT"/>
      </w:pPr>
    </w:p>
    <w:p w14:paraId="6A673A34" w14:textId="5C9D8CB7" w:rsidR="003153E2" w:rsidRDefault="003153E2" w:rsidP="00A80277">
      <w:pPr>
        <w:pStyle w:val="CORPODOTEXTOABNT"/>
      </w:pPr>
      <w:r>
        <w:t>Ao resgatar a memória institucional em torno das políticas habitacionais no Brasil, opt</w:t>
      </w:r>
      <w:r w:rsidR="00A36215">
        <w:t>a</w:t>
      </w:r>
      <w:r>
        <w:t>-se por partir do B</w:t>
      </w:r>
      <w:r>
        <w:t>anco Nacional de Habitação (BNH)</w:t>
      </w:r>
      <w:r>
        <w:t>,</w:t>
      </w:r>
      <w:r w:rsidR="00A36215">
        <w:t xml:space="preserve"> </w:t>
      </w:r>
      <w:r w:rsidR="00A36215">
        <w:rPr>
          <w:rFonts w:eastAsia="Calibri"/>
        </w:rPr>
        <w:t>i</w:t>
      </w:r>
      <w:r w:rsidR="00A36215" w:rsidRPr="00F436E4">
        <w:rPr>
          <w:rFonts w:eastAsia="Calibri"/>
        </w:rPr>
        <w:t>nstituído pela Lei nº 4.380, de 21 de agosto de 1964</w:t>
      </w:r>
      <w:r w:rsidR="00A36215">
        <w:rPr>
          <w:rFonts w:eastAsia="Calibri"/>
        </w:rPr>
        <w:t xml:space="preserve"> e</w:t>
      </w:r>
      <w:r>
        <w:t xml:space="preserve"> reconhecido como </w:t>
      </w:r>
      <w:r w:rsidRPr="00F436E4">
        <w:rPr>
          <w:rFonts w:eastAsia="Calibri"/>
        </w:rPr>
        <w:t>o primeiro órgão a instituir um programa de financiamento para a aquisição da casa própria para as populações de baixa renda em âmbito nacional</w:t>
      </w:r>
      <w:r>
        <w:t xml:space="preserve">. </w:t>
      </w:r>
      <w:r>
        <w:t>No entanto, apesar do pioneirismo, tem-se que o</w:t>
      </w:r>
      <w:r>
        <w:t xml:space="preserve"> BNH foi instituído em um contexto político autoritário, caracterizado pela centralização das arenas decisórias e pela ausência de participação popular na formulação das políticas públicas. Integrado ao Sistema Financeiro de Habitação (SFH), o banco operava com recursos provenientes principalmente do Fundo de Garantia do Tempo de Serviço (FGTS) e do Sistema Brasileiro de Poupança e Empréstimo (SBPE). Enquanto o FGTS era destinado a subsidiar moradias voltadas à população de baixa renda, o SBPE financiava a produção habitacional destinada às classes média e alta (</w:t>
      </w:r>
      <w:proofErr w:type="spellStart"/>
      <w:r>
        <w:t>Arretche</w:t>
      </w:r>
      <w:proofErr w:type="spellEnd"/>
      <w:r>
        <w:t>, 1990).</w:t>
      </w:r>
    </w:p>
    <w:p w14:paraId="6689EC9C" w14:textId="77777777" w:rsidR="00B92F99" w:rsidRDefault="003153E2" w:rsidP="00A80277">
      <w:pPr>
        <w:pStyle w:val="CORPODOTEXTOABNT"/>
      </w:pPr>
      <w:r>
        <w:t xml:space="preserve">Esse arranjo institucional, profundamente marcado pela lógica de mercado, </w:t>
      </w:r>
      <w:r w:rsidR="00A36215">
        <w:t xml:space="preserve">muito rapidamente deslocou os </w:t>
      </w:r>
      <w:r w:rsidR="00A36215" w:rsidRPr="00F436E4">
        <w:rPr>
          <w:rFonts w:eastAsia="Calibri"/>
        </w:rPr>
        <w:t xml:space="preserve">objetivos sociais </w:t>
      </w:r>
      <w:r w:rsidR="00A36215">
        <w:rPr>
          <w:rFonts w:eastAsia="Calibri"/>
        </w:rPr>
        <w:t>para o</w:t>
      </w:r>
      <w:r w:rsidR="00A36215" w:rsidRPr="00F436E4">
        <w:rPr>
          <w:rFonts w:eastAsia="Calibri"/>
        </w:rPr>
        <w:t xml:space="preserve"> escanteio, sobretudo porque o grupo hegemônico que controlava o BNH entendeu como pouco vantajoso o regime de contratação das construtoras pelas Companhias Habitacionais (</w:t>
      </w:r>
      <w:proofErr w:type="spellStart"/>
      <w:r w:rsidR="00A36215" w:rsidRPr="00F436E4">
        <w:rPr>
          <w:rFonts w:eastAsia="Calibri"/>
        </w:rPr>
        <w:t>COHABs</w:t>
      </w:r>
      <w:proofErr w:type="spellEnd"/>
      <w:r w:rsidR="00A36215" w:rsidRPr="00F436E4">
        <w:rPr>
          <w:rFonts w:eastAsia="Calibri"/>
        </w:rPr>
        <w:t>), entidades destinadas à produção de moradia para os estratos de baixa renda, de zero a três salários mínimos, que eram financiadas pelo órgão e pelo SFH.</w:t>
      </w:r>
      <w:r w:rsidR="00A36215">
        <w:t xml:space="preserve"> </w:t>
      </w:r>
    </w:p>
    <w:p w14:paraId="2539045F" w14:textId="3BFC9150" w:rsidR="00A36215" w:rsidRPr="00A36215" w:rsidRDefault="00A36215" w:rsidP="00A80277">
      <w:pPr>
        <w:pStyle w:val="CORPODOTEXTOABNT"/>
        <w:rPr>
          <w:rFonts w:asciiTheme="minorHAnsi" w:hAnsiTheme="minorHAnsi" w:cstheme="minorBidi"/>
          <w:sz w:val="22"/>
          <w:szCs w:val="22"/>
        </w:rPr>
      </w:pPr>
      <w:r w:rsidRPr="00F436E4">
        <w:rPr>
          <w:rFonts w:eastAsia="Calibri"/>
        </w:rPr>
        <w:t xml:space="preserve">Em números, até dezembro de 1980, apenas 35% das unidades financiadas destinaram-se formalmente às famílias com rendimentos mensais abaixo de cinco salários mínimos, faixa de abrangência legal das </w:t>
      </w:r>
      <w:proofErr w:type="spellStart"/>
      <w:r w:rsidRPr="00F436E4">
        <w:rPr>
          <w:rFonts w:eastAsia="Calibri"/>
        </w:rPr>
        <w:t>COHABs</w:t>
      </w:r>
      <w:proofErr w:type="spellEnd"/>
      <w:r w:rsidRPr="00F436E4">
        <w:rPr>
          <w:rFonts w:eastAsia="Calibri"/>
        </w:rPr>
        <w:t xml:space="preserve"> e demais habitações construídas diretamente pelo BNH para esse público, enquanto que 65% destinaram-se às camadas média e alta da população </w:t>
      </w:r>
      <w:sdt>
        <w:sdtPr>
          <w:rPr>
            <w:rFonts w:eastAsia="Calibri"/>
          </w:rPr>
          <w:id w:val="1487006135"/>
          <w:citation/>
        </w:sdtPr>
        <w:sdtContent>
          <w:r w:rsidRPr="00F436E4">
            <w:rPr>
              <w:rFonts w:eastAsia="Calibri"/>
            </w:rPr>
            <w:fldChar w:fldCharType="begin"/>
          </w:r>
          <w:r w:rsidRPr="00F436E4">
            <w:rPr>
              <w:rFonts w:eastAsia="Calibri"/>
            </w:rPr>
            <w:instrText xml:space="preserve"> CITATION Sér11 \l 1046 </w:instrText>
          </w:r>
          <w:r w:rsidRPr="00F436E4">
            <w:rPr>
              <w:rFonts w:eastAsia="Calibri"/>
            </w:rPr>
            <w:fldChar w:fldCharType="separate"/>
          </w:r>
          <w:r w:rsidR="004438B9" w:rsidRPr="004438B9">
            <w:rPr>
              <w:rFonts w:eastAsia="Calibri"/>
              <w:noProof/>
            </w:rPr>
            <w:t>(AZEVEDO e ANDRADE, 2011)</w:t>
          </w:r>
          <w:r w:rsidRPr="00F436E4">
            <w:rPr>
              <w:rFonts w:eastAsia="Calibri"/>
            </w:rPr>
            <w:fldChar w:fldCharType="end"/>
          </w:r>
        </w:sdtContent>
      </w:sdt>
      <w:r w:rsidRPr="00F436E4">
        <w:rPr>
          <w:rFonts w:eastAsia="Calibri"/>
        </w:rPr>
        <w:t xml:space="preserve">, denominadas no âmbito do programa, respectivamente, de segmento econômico (atendido por cooperativas habitacionais, que agiam como intermediárias entre os mutuários e o BNH) e segmento médio (em que atuavam principalmente os agentes privados, como as Sociedades de Crédito Imobiliário, Associações de Poupança e Empréstimo), que também incluía o chamado segmento superior, que investia em construções de luxo </w:t>
      </w:r>
      <w:sdt>
        <w:sdtPr>
          <w:rPr>
            <w:rFonts w:eastAsia="Calibri"/>
          </w:rPr>
          <w:id w:val="340803967"/>
          <w:citation/>
        </w:sdtPr>
        <w:sdtContent>
          <w:r w:rsidRPr="00F436E4">
            <w:rPr>
              <w:rFonts w:eastAsia="Calibri"/>
            </w:rPr>
            <w:fldChar w:fldCharType="begin"/>
          </w:r>
          <w:r w:rsidRPr="00F436E4">
            <w:rPr>
              <w:rFonts w:eastAsia="Calibri"/>
            </w:rPr>
            <w:instrText xml:space="preserve"> CITATION Mau86 \l 1046 </w:instrText>
          </w:r>
          <w:r w:rsidRPr="00F436E4">
            <w:rPr>
              <w:rFonts w:eastAsia="Calibri"/>
            </w:rPr>
            <w:fldChar w:fldCharType="separate"/>
          </w:r>
          <w:r w:rsidR="004438B9" w:rsidRPr="004438B9">
            <w:rPr>
              <w:rFonts w:eastAsia="Calibri"/>
              <w:noProof/>
            </w:rPr>
            <w:t>(VERAS e BONDUKI, 1986)</w:t>
          </w:r>
          <w:r w:rsidRPr="00F436E4">
            <w:rPr>
              <w:rFonts w:eastAsia="Calibri"/>
            </w:rPr>
            <w:fldChar w:fldCharType="end"/>
          </w:r>
        </w:sdtContent>
      </w:sdt>
      <w:r w:rsidRPr="00F436E4">
        <w:rPr>
          <w:rFonts w:eastAsia="Calibri"/>
        </w:rPr>
        <w:t>. A desproporção entre as faixas era ainda maior, se levado em consideração que o investimento por unidade habitacional na faixa popular era menor do que nos demais estratos</w:t>
      </w:r>
      <w:sdt>
        <w:sdtPr>
          <w:rPr>
            <w:rFonts w:eastAsia="Calibri"/>
          </w:rPr>
          <w:id w:val="1363043256"/>
          <w:citation/>
        </w:sdtPr>
        <w:sdtContent>
          <w:r w:rsidRPr="00F436E4">
            <w:rPr>
              <w:rFonts w:eastAsia="Calibri"/>
            </w:rPr>
            <w:fldChar w:fldCharType="begin"/>
          </w:r>
          <w:r w:rsidRPr="00F436E4">
            <w:rPr>
              <w:rFonts w:eastAsia="Calibri"/>
            </w:rPr>
            <w:instrText xml:space="preserve"> CITATION Sér11 \l 1046 </w:instrText>
          </w:r>
          <w:r w:rsidRPr="00F436E4">
            <w:rPr>
              <w:rFonts w:eastAsia="Calibri"/>
            </w:rPr>
            <w:fldChar w:fldCharType="separate"/>
          </w:r>
          <w:r w:rsidR="004438B9">
            <w:rPr>
              <w:rFonts w:eastAsia="Calibri"/>
              <w:noProof/>
            </w:rPr>
            <w:t xml:space="preserve"> </w:t>
          </w:r>
          <w:r w:rsidR="004438B9" w:rsidRPr="004438B9">
            <w:rPr>
              <w:rFonts w:eastAsia="Calibri"/>
              <w:noProof/>
            </w:rPr>
            <w:t>(AZEVEDO e ANDRADE, 2011)</w:t>
          </w:r>
          <w:r w:rsidRPr="00F436E4">
            <w:rPr>
              <w:rFonts w:eastAsia="Calibri"/>
            </w:rPr>
            <w:fldChar w:fldCharType="end"/>
          </w:r>
        </w:sdtContent>
      </w:sdt>
      <w:r w:rsidRPr="00F436E4">
        <w:rPr>
          <w:rFonts w:eastAsia="Calibri"/>
        </w:rPr>
        <w:t xml:space="preserve">. </w:t>
      </w:r>
    </w:p>
    <w:p w14:paraId="0B06399B" w14:textId="369A43C3" w:rsidR="003153E2" w:rsidRDefault="00A36215" w:rsidP="00A80277">
      <w:pPr>
        <w:pStyle w:val="CORPODOTEXTOABNT"/>
        <w:rPr>
          <w:rFonts w:eastAsia="Calibri"/>
        </w:rPr>
      </w:pPr>
      <w:r w:rsidRPr="00F436E4">
        <w:rPr>
          <w:rFonts w:eastAsia="Calibri"/>
        </w:rPr>
        <w:lastRenderedPageBreak/>
        <w:t>Após 22 anos de funcionamento e em função de uma desarticulação institucional, o BNH foi extinto em 1986</w:t>
      </w:r>
      <w:r>
        <w:rPr>
          <w:rFonts w:eastAsia="Calibri"/>
        </w:rPr>
        <w:t xml:space="preserve">, </w:t>
      </w:r>
      <w:r w:rsidRPr="00F436E4">
        <w:rPr>
          <w:rFonts w:eastAsia="Calibri"/>
        </w:rPr>
        <w:t>no então Governo Sarney (1985-1990), num contexto de reabertura democrática e</w:t>
      </w:r>
      <w:r>
        <w:rPr>
          <w:rFonts w:eastAsia="Calibri"/>
        </w:rPr>
        <w:t xml:space="preserve"> de</w:t>
      </w:r>
      <w:r w:rsidRPr="00F436E4">
        <w:rPr>
          <w:rFonts w:eastAsia="Calibri"/>
        </w:rPr>
        <w:t xml:space="preserve"> grande crise econômica herdada da ditadura, sendo as suas competências transferidas para a Caixa Econômica Federal (CEF), que se tornou agente financeira do SFH.</w:t>
      </w:r>
      <w:r>
        <w:rPr>
          <w:rFonts w:eastAsia="Calibri"/>
        </w:rPr>
        <w:t xml:space="preserve"> </w:t>
      </w:r>
      <w:r w:rsidRPr="00F436E4">
        <w:rPr>
          <w:rFonts w:eastAsia="Calibri"/>
        </w:rPr>
        <w:t xml:space="preserve">Ao tecer uma série de críticas às estratégias adotadas pelo sistema, </w:t>
      </w:r>
      <w:r>
        <w:rPr>
          <w:rFonts w:eastAsia="Calibri"/>
        </w:rPr>
        <w:t xml:space="preserve">Bonduki </w:t>
      </w:r>
      <w:r w:rsidRPr="00F436E4">
        <w:rPr>
          <w:rFonts w:eastAsia="Calibri"/>
        </w:rPr>
        <w:t xml:space="preserve">aponta que ele “beneficiou a construção civil que pôde contar com uma fonte de financiamento estável para a produção de unidades prontas, mas contribuiu pouco para enfrentar o problema que o órgão se propunha a resolver” </w:t>
      </w:r>
      <w:sdt>
        <w:sdtPr>
          <w:rPr>
            <w:rFonts w:eastAsia="Calibri"/>
          </w:rPr>
          <w:id w:val="820505794"/>
          <w:citation/>
        </w:sdtPr>
        <w:sdtContent>
          <w:r w:rsidRPr="00F436E4">
            <w:rPr>
              <w:rFonts w:eastAsia="Calibri"/>
            </w:rPr>
            <w:fldChar w:fldCharType="begin"/>
          </w:r>
          <w:r w:rsidRPr="00F436E4">
            <w:rPr>
              <w:rFonts w:eastAsia="Calibri"/>
            </w:rPr>
            <w:instrText xml:space="preserve">CITATION Nab08 \p 74 \l 1046 </w:instrText>
          </w:r>
          <w:r w:rsidRPr="00F436E4">
            <w:rPr>
              <w:rFonts w:eastAsia="Calibri"/>
            </w:rPr>
            <w:fldChar w:fldCharType="separate"/>
          </w:r>
          <w:r w:rsidR="004438B9" w:rsidRPr="004438B9">
            <w:rPr>
              <w:rFonts w:eastAsia="Calibri"/>
              <w:noProof/>
            </w:rPr>
            <w:t>(BONDUKI, 2008, p. 74)</w:t>
          </w:r>
          <w:r w:rsidRPr="00F436E4">
            <w:rPr>
              <w:rFonts w:eastAsia="Calibri"/>
            </w:rPr>
            <w:fldChar w:fldCharType="end"/>
          </w:r>
        </w:sdtContent>
      </w:sdt>
      <w:r w:rsidRPr="00F436E4">
        <w:rPr>
          <w:rFonts w:eastAsia="Calibri"/>
        </w:rPr>
        <w:t>, além de padecer de uma gestão centralizada típica do regime militar em que fora idealizado, o que se constata principalmente na administração autoritária adotada e na inexistência de participação na concepção dos programas e projetos. Ao utilizar apenas recursos retornáveis, sem contar com qualquer fonte de subsídios e elegendo critérios de financiamento bancários, o sistema excluiu parcelas significativas da população de mais baixa renda do atendimento da política habitacional.</w:t>
      </w:r>
    </w:p>
    <w:p w14:paraId="63B54F6F" w14:textId="1DECEBDB" w:rsidR="00A36215" w:rsidRPr="00A36215" w:rsidRDefault="00A36215" w:rsidP="00A80277">
      <w:pPr>
        <w:pStyle w:val="CORPODOTEXTOABNT"/>
        <w:rPr>
          <w:rFonts w:eastAsia="Calibri"/>
        </w:rPr>
      </w:pPr>
      <w:r w:rsidRPr="00F436E4">
        <w:rPr>
          <w:rFonts w:eastAsia="Calibri"/>
        </w:rPr>
        <w:t xml:space="preserve">Apesar disso, Bonduki </w:t>
      </w:r>
      <w:sdt>
        <w:sdtPr>
          <w:rPr>
            <w:rFonts w:eastAsia="Calibri"/>
          </w:rPr>
          <w:id w:val="1558661313"/>
          <w:citation/>
        </w:sdtPr>
        <w:sdtContent>
          <w:r w:rsidRPr="00F436E4">
            <w:rPr>
              <w:rFonts w:eastAsia="Calibri"/>
            </w:rPr>
            <w:fldChar w:fldCharType="begin"/>
          </w:r>
          <w:r w:rsidRPr="00F436E4">
            <w:rPr>
              <w:rFonts w:eastAsia="Calibri"/>
            </w:rPr>
            <w:instrText xml:space="preserve">CITATION Nab08 \n  \t  \l 1046 </w:instrText>
          </w:r>
          <w:r w:rsidRPr="00F436E4">
            <w:rPr>
              <w:rFonts w:eastAsia="Calibri"/>
            </w:rPr>
            <w:fldChar w:fldCharType="separate"/>
          </w:r>
          <w:r w:rsidR="004438B9" w:rsidRPr="004438B9">
            <w:rPr>
              <w:rFonts w:eastAsia="Calibri"/>
              <w:noProof/>
            </w:rPr>
            <w:t>(2008)</w:t>
          </w:r>
          <w:r w:rsidRPr="00F436E4">
            <w:rPr>
              <w:rFonts w:eastAsia="Calibri"/>
            </w:rPr>
            <w:fldChar w:fldCharType="end"/>
          </w:r>
        </w:sdtContent>
      </w:sdt>
      <w:r w:rsidRPr="00F436E4">
        <w:rPr>
          <w:rFonts w:eastAsia="Calibri"/>
        </w:rPr>
        <w:t xml:space="preserve"> ressalva que a importância do BNH deve ser reconhecida, uma vez que, até o momento do seu encerramento, aquela tinha sido a única vez que o Brasil havia verdadeiramente tido uma política nacional de habitação. Depois dessa experiência, longo foi o caminho até a construção de um outro programa de ação de envergadura semelhante, o que só veio a acontecer com o </w:t>
      </w:r>
      <w:r>
        <w:rPr>
          <w:rFonts w:eastAsia="Calibri"/>
        </w:rPr>
        <w:t>PMCMV</w:t>
      </w:r>
      <w:r w:rsidRPr="00F436E4">
        <w:rPr>
          <w:rFonts w:eastAsia="Calibri"/>
        </w:rPr>
        <w:t xml:space="preserve">. Nesse intervalo, o setor da habitação passou por um período de crise, potencializado </w:t>
      </w:r>
      <w:r>
        <w:rPr>
          <w:rFonts w:eastAsia="Calibri"/>
        </w:rPr>
        <w:t>pelas políticas de matriz neoliberal e pelo</w:t>
      </w:r>
      <w:r w:rsidRPr="00F436E4">
        <w:rPr>
          <w:rFonts w:eastAsia="Calibri"/>
        </w:rPr>
        <w:t xml:space="preserve"> empobrecimento que marcou as décadas de 1980 e 1990.</w:t>
      </w:r>
    </w:p>
    <w:p w14:paraId="15ED2D35" w14:textId="1032AD15" w:rsidR="003153E2" w:rsidRDefault="003153E2" w:rsidP="00A80277">
      <w:pPr>
        <w:pStyle w:val="CORPODOTEXTOABNT"/>
      </w:pPr>
      <w:r>
        <w:t>A redemocratização brasileira abriu espaço para a construção de novos arranjos institucionais voltados à política urbana. A Constituição Federal de 1988 representou um marco importante nesse processo. Embora tenha incorporado apenas parte das propostas apresentadas por movimentos sociais e organizações da sociedade civil, os artigos 182 e 183 introduziram princípios fundamentais para a reorganização da política urbana, ao reconhecer a função social da propriedade e estabelecer a necessidade de planejamento urbano orientado pelo interesse coletivo.</w:t>
      </w:r>
    </w:p>
    <w:p w14:paraId="4D8B24EE" w14:textId="7D4ADA7E" w:rsidR="0006493C" w:rsidRDefault="003153E2" w:rsidP="00A80277">
      <w:pPr>
        <w:pStyle w:val="CORPODOTEXTOABNT"/>
      </w:pPr>
      <w:r>
        <w:t xml:space="preserve">A regulamentação desses dispositivos constitucionais constituiu um processo longo e politicamente disputado. O projeto que resultaria no Estatuto da Cidade foi apresentado ao Congresso Nacional em 1990, mas sua aprovação ocorreu apenas em 2001, após mais de uma década de debates e negociações. Apesar da demora, o Estatuto da Cidade consolidou um marco jurídico inovador, estabelecendo instrumentos urbanísticos destinados a garantir o uso socialmente justo do espaço urbano e a promover cidades mais democráticas e sustentáveis </w:t>
      </w:r>
      <w:sdt>
        <w:sdtPr>
          <w:rPr>
            <w:rFonts w:eastAsia="Calibri"/>
          </w:rPr>
          <w:id w:val="457364275"/>
          <w:citation/>
        </w:sdtPr>
        <w:sdtContent>
          <w:r w:rsidR="00A36215" w:rsidRPr="00F436E4">
            <w:rPr>
              <w:rFonts w:eastAsia="Calibri"/>
            </w:rPr>
            <w:fldChar w:fldCharType="begin"/>
          </w:r>
          <w:r w:rsidR="00A36215" w:rsidRPr="00F436E4">
            <w:rPr>
              <w:rFonts w:eastAsia="Calibri"/>
            </w:rPr>
            <w:instrText xml:space="preserve"> CITATION Bas02 \l 1046 </w:instrText>
          </w:r>
          <w:r w:rsidR="00A36215" w:rsidRPr="00F436E4">
            <w:rPr>
              <w:rFonts w:eastAsia="Calibri"/>
            </w:rPr>
            <w:fldChar w:fldCharType="separate"/>
          </w:r>
          <w:r w:rsidR="004438B9" w:rsidRPr="004438B9">
            <w:rPr>
              <w:rFonts w:eastAsia="Calibri"/>
              <w:noProof/>
            </w:rPr>
            <w:t>(BASSUL, 2002)</w:t>
          </w:r>
          <w:r w:rsidR="00A36215" w:rsidRPr="00F436E4">
            <w:rPr>
              <w:rFonts w:eastAsia="Calibri"/>
            </w:rPr>
            <w:fldChar w:fldCharType="end"/>
          </w:r>
        </w:sdtContent>
      </w:sdt>
      <w:r w:rsidR="00A36215">
        <w:rPr>
          <w:rFonts w:eastAsia="Calibri"/>
        </w:rPr>
        <w:t>.</w:t>
      </w:r>
      <w:r w:rsidR="0006493C">
        <w:t xml:space="preserve"> </w:t>
      </w:r>
      <w:r>
        <w:t xml:space="preserve">Outro avanço importante </w:t>
      </w:r>
      <w:r w:rsidR="0006493C">
        <w:t xml:space="preserve">foi </w:t>
      </w:r>
      <w:r>
        <w:t xml:space="preserve">a inclusão do direito à moradia no rol dos </w:t>
      </w:r>
      <w:r>
        <w:lastRenderedPageBreak/>
        <w:t>direitos fundamentais da Constituição, por meio da Emenda Constitucional nº 26, promulgada em 2000. Essa mudança representou o reconhecimento formal da habitação como direito social, reforçando a responsabilidade do Estado na formulação de políticas destinadas a enfrentar o déficit habitacional brasileiro.</w:t>
      </w:r>
    </w:p>
    <w:p w14:paraId="0F5B84EB" w14:textId="4B0A6968" w:rsidR="0006493C" w:rsidRPr="00F436E4" w:rsidRDefault="0006493C" w:rsidP="00A80277">
      <w:pPr>
        <w:pStyle w:val="CORPODOTEXTOABNT"/>
        <w:rPr>
          <w:rFonts w:eastAsia="Calibri"/>
        </w:rPr>
      </w:pPr>
      <w:r w:rsidRPr="00F436E4">
        <w:rPr>
          <w:rFonts w:eastAsia="Calibri"/>
        </w:rPr>
        <w:t xml:space="preserve">Orientado </w:t>
      </w:r>
      <w:r>
        <w:rPr>
          <w:rFonts w:eastAsia="Calibri"/>
        </w:rPr>
        <w:t>pelo Estatuto das Cidades</w:t>
      </w:r>
      <w:r w:rsidR="00B92F99">
        <w:rPr>
          <w:rFonts w:eastAsia="Calibri"/>
        </w:rPr>
        <w:t xml:space="preserve"> </w:t>
      </w:r>
      <w:r w:rsidRPr="00F436E4">
        <w:rPr>
          <w:rFonts w:eastAsia="Calibri"/>
        </w:rPr>
        <w:t>e num cenário de efervescente participação de movimentos que desde os anos 1970 reivindicavam espaço na cena política, que o M</w:t>
      </w:r>
      <w:r>
        <w:rPr>
          <w:rFonts w:eastAsia="Calibri"/>
        </w:rPr>
        <w:t xml:space="preserve">inistério das </w:t>
      </w:r>
      <w:r w:rsidRPr="00F436E4">
        <w:rPr>
          <w:rFonts w:eastAsia="Calibri"/>
        </w:rPr>
        <w:t>Cidades</w:t>
      </w:r>
      <w:r>
        <w:rPr>
          <w:rFonts w:eastAsia="Calibri"/>
        </w:rPr>
        <w:t xml:space="preserve"> (MCidades)</w:t>
      </w:r>
      <w:r w:rsidRPr="00F436E4">
        <w:rPr>
          <w:rFonts w:eastAsia="Calibri"/>
        </w:rPr>
        <w:t xml:space="preserve"> </w:t>
      </w:r>
      <w:r>
        <w:rPr>
          <w:rFonts w:eastAsia="Calibri"/>
        </w:rPr>
        <w:t>foi</w:t>
      </w:r>
      <w:r w:rsidRPr="00F436E4">
        <w:rPr>
          <w:rFonts w:eastAsia="Calibri"/>
        </w:rPr>
        <w:t xml:space="preserve"> instituído, em 2003, pela Lei nº 10.683, com a intenção de resgatar institucionalmente um debate que há muito já se achava nas ruas. Com a bagagem das experiências locais em municípios pelos quais o Partido dos Trabalhadores (PT) havia passado e de um arcabouço legal progressista praticamente inédito, o novo ministério era desafiado por um déficit habitacional quantitativo que atingia 6,6 milhões de unidades, concentrado na população com renda familiar </w:t>
      </w:r>
      <w:r w:rsidRPr="00F436E4">
        <w:rPr>
          <w:rFonts w:eastAsia="Calibri"/>
          <w:i/>
          <w:iCs/>
        </w:rPr>
        <w:t>per capita</w:t>
      </w:r>
      <w:r w:rsidRPr="00F436E4">
        <w:rPr>
          <w:rFonts w:eastAsia="Calibri"/>
        </w:rPr>
        <w:t xml:space="preserve"> de até cinco salários mínimos, que respondia por 92% da estatística </w:t>
      </w:r>
      <w:sdt>
        <w:sdtPr>
          <w:rPr>
            <w:rFonts w:eastAsia="Calibri"/>
          </w:rPr>
          <w:id w:val="1480313554"/>
          <w:citation/>
        </w:sdtPr>
        <w:sdtContent>
          <w:r w:rsidRPr="00F436E4">
            <w:rPr>
              <w:rFonts w:eastAsia="Calibri"/>
            </w:rPr>
            <w:fldChar w:fldCharType="begin"/>
          </w:r>
          <w:r w:rsidRPr="00F436E4">
            <w:rPr>
              <w:rFonts w:eastAsia="Calibri"/>
            </w:rPr>
            <w:instrText xml:space="preserve">CITATION BRA \l 1046 </w:instrText>
          </w:r>
          <w:r w:rsidRPr="00F436E4">
            <w:rPr>
              <w:rFonts w:eastAsia="Calibri"/>
            </w:rPr>
            <w:fldChar w:fldCharType="separate"/>
          </w:r>
          <w:r w:rsidR="004438B9" w:rsidRPr="004438B9">
            <w:rPr>
              <w:rFonts w:eastAsia="Calibri"/>
              <w:noProof/>
            </w:rPr>
            <w:t>(BRASIL, 2004)</w:t>
          </w:r>
          <w:r w:rsidRPr="00F436E4">
            <w:rPr>
              <w:rFonts w:eastAsia="Calibri"/>
            </w:rPr>
            <w:fldChar w:fldCharType="end"/>
          </w:r>
        </w:sdtContent>
      </w:sdt>
      <w:r w:rsidRPr="00F436E4">
        <w:rPr>
          <w:rFonts w:eastAsia="Calibri"/>
        </w:rPr>
        <w:t xml:space="preserve">. </w:t>
      </w:r>
    </w:p>
    <w:p w14:paraId="5459B09D" w14:textId="13894FB6" w:rsidR="0006493C" w:rsidRPr="00F436E4" w:rsidRDefault="0006493C" w:rsidP="00A80277">
      <w:pPr>
        <w:pStyle w:val="CORPODOTEXTOABNT"/>
        <w:rPr>
          <w:rFonts w:eastAsia="Calibri"/>
        </w:rPr>
      </w:pPr>
      <w:r w:rsidRPr="00F436E4">
        <w:rPr>
          <w:rFonts w:eastAsia="Calibri"/>
        </w:rPr>
        <w:t xml:space="preserve">A proposta para dar conta de tantos impasses não era a de construir um órgão operador (a CEF cumpriria esse papel), mas sim planejador, definidor das políticas e regulador do setor </w:t>
      </w:r>
      <w:sdt>
        <w:sdtPr>
          <w:rPr>
            <w:rFonts w:eastAsia="Calibri"/>
          </w:rPr>
          <w:id w:val="1926706355"/>
          <w:citation/>
        </w:sdtPr>
        <w:sdtContent>
          <w:r w:rsidRPr="00F436E4">
            <w:rPr>
              <w:rFonts w:eastAsia="Calibri"/>
            </w:rPr>
            <w:fldChar w:fldCharType="begin"/>
          </w:r>
          <w:r w:rsidRPr="00F436E4">
            <w:rPr>
              <w:rFonts w:eastAsia="Calibri"/>
            </w:rPr>
            <w:instrText xml:space="preserve"> CITATION Mar03 \l 1046 </w:instrText>
          </w:r>
          <w:r w:rsidRPr="00F436E4">
            <w:rPr>
              <w:rFonts w:eastAsia="Calibri"/>
            </w:rPr>
            <w:fldChar w:fldCharType="separate"/>
          </w:r>
          <w:r w:rsidR="004438B9" w:rsidRPr="004438B9">
            <w:rPr>
              <w:rFonts w:eastAsia="Calibri"/>
              <w:noProof/>
            </w:rPr>
            <w:t>(MARICATO, 2003)</w:t>
          </w:r>
          <w:r w:rsidRPr="00F436E4">
            <w:rPr>
              <w:rFonts w:eastAsia="Calibri"/>
            </w:rPr>
            <w:fldChar w:fldCharType="end"/>
          </w:r>
        </w:sdtContent>
      </w:sdt>
      <w:r w:rsidRPr="00F436E4">
        <w:rPr>
          <w:rFonts w:eastAsia="Calibri"/>
        </w:rPr>
        <w:t xml:space="preserve">. </w:t>
      </w:r>
      <w:r>
        <w:rPr>
          <w:rFonts w:eastAsia="Calibri"/>
          <w:sz w:val="20"/>
          <w:szCs w:val="20"/>
        </w:rPr>
        <w:t xml:space="preserve"> </w:t>
      </w:r>
      <w:r w:rsidRPr="00F436E4">
        <w:rPr>
          <w:rFonts w:eastAsia="Calibri"/>
        </w:rPr>
        <w:t>No mesmo período, foram inaugurad</w:t>
      </w:r>
      <w:r>
        <w:rPr>
          <w:rFonts w:eastAsia="Calibri"/>
        </w:rPr>
        <w:t>a</w:t>
      </w:r>
      <w:r w:rsidRPr="00F436E4">
        <w:rPr>
          <w:rFonts w:eastAsia="Calibri"/>
        </w:rPr>
        <w:t xml:space="preserve">s importantes instâncias de diálogo com a sociedade, como o Conselho Nacional das Cidades (ConCidades) – que originou posteriormente o Conselho Nacional de Habitação, as Conferências Nacionais das Cidades e a Campanha Nacional Plano Diretor Participativo. Apesar do arrojado pano de fundo descrito, é preciso ressalvar que também se estava diante de uma conjuntura “dominada pelo declínio do Estado provedor e até mesmo das políticas setoriais de habitação, saneamento e transporte” </w:t>
      </w:r>
      <w:sdt>
        <w:sdtPr>
          <w:rPr>
            <w:rFonts w:eastAsia="Calibri"/>
          </w:rPr>
          <w:id w:val="1931995986"/>
          <w:citation/>
        </w:sdtPr>
        <w:sdtContent>
          <w:r w:rsidRPr="00F436E4">
            <w:rPr>
              <w:rFonts w:eastAsia="Calibri"/>
            </w:rPr>
            <w:fldChar w:fldCharType="begin"/>
          </w:r>
          <w:r w:rsidRPr="00F436E4">
            <w:rPr>
              <w:rFonts w:eastAsia="Calibri"/>
            </w:rPr>
            <w:instrText xml:space="preserve"> CITATION Mar171 \l 1046 </w:instrText>
          </w:r>
          <w:r w:rsidRPr="00F436E4">
            <w:rPr>
              <w:rFonts w:eastAsia="Calibri"/>
            </w:rPr>
            <w:fldChar w:fldCharType="separate"/>
          </w:r>
          <w:r w:rsidR="004438B9" w:rsidRPr="004438B9">
            <w:rPr>
              <w:rFonts w:eastAsia="Calibri"/>
              <w:noProof/>
            </w:rPr>
            <w:t>(MARICATO, 2017)</w:t>
          </w:r>
          <w:r w:rsidRPr="00F436E4">
            <w:rPr>
              <w:rFonts w:eastAsia="Calibri"/>
            </w:rPr>
            <w:fldChar w:fldCharType="end"/>
          </w:r>
        </w:sdtContent>
      </w:sdt>
      <w:r w:rsidRPr="00F436E4">
        <w:rPr>
          <w:rFonts w:eastAsia="Calibri"/>
        </w:rPr>
        <w:t xml:space="preserve">. </w:t>
      </w:r>
    </w:p>
    <w:p w14:paraId="0FD95094" w14:textId="77777777" w:rsidR="0006493C" w:rsidRPr="00F436E4" w:rsidRDefault="0006493C" w:rsidP="00A80277">
      <w:pPr>
        <w:pStyle w:val="CORPODOTEXTOABNT"/>
        <w:rPr>
          <w:rFonts w:eastAsia="Calibri"/>
        </w:rPr>
      </w:pPr>
      <w:r w:rsidRPr="00F436E4">
        <w:rPr>
          <w:rFonts w:eastAsia="Calibri"/>
        </w:rPr>
        <w:t>A primeira equipe formada para liderar o MCidades, sob o comando de Olívio Dutra – que trazia na bagagem experiências inovadoras e bem sucedidas do seu governo em Porto Alegre</w:t>
      </w:r>
      <w:r>
        <w:rPr>
          <w:rFonts w:eastAsia="Calibri"/>
        </w:rPr>
        <w:t xml:space="preserve"> –</w:t>
      </w:r>
      <w:r w:rsidRPr="00F436E4">
        <w:rPr>
          <w:rFonts w:eastAsia="Calibri"/>
        </w:rPr>
        <w:t xml:space="preserve"> resultou numa convergência de representantes dos movimentos sociais urbanos e militantes sindicalistas, profissionais e intelectuais com vivências prévias na administração pública e trajetórias respeitadas no meio técnico e acadêmico, que sinalizavam o interesse em construir uma nova cultura para ocupar um vazio de propostas práticas abrangentes desde o malfadado fim do BNH. Esse time refletia o significado simbólico da vitória do PT nas eleições, que inegavelmente representou a conquista da classe trabalhadora e de diversos setores marginalizados da sociedade, mas acabou por suportar também o ônus de uma outra face da campanha que tornou o êxito de Lula possível, a necessidade de acomodação de interesses conflitantes numa aliança ampla o suficiente para abarcar segmentos conservadores e antigos </w:t>
      </w:r>
      <w:r w:rsidRPr="00F436E4">
        <w:rPr>
          <w:rFonts w:eastAsia="Calibri"/>
        </w:rPr>
        <w:lastRenderedPageBreak/>
        <w:t xml:space="preserve">rivais, à exemplo do Partido Progressista (PP) e do Partido Liberal (PL), bem como representantes do setor empresarial que haviam contaminado políticas urbanas anteriores. </w:t>
      </w:r>
    </w:p>
    <w:p w14:paraId="1EF4F391" w14:textId="0DFB2E0B" w:rsidR="0006493C" w:rsidRPr="00F436E4" w:rsidRDefault="0006493C" w:rsidP="00A80277">
      <w:pPr>
        <w:pStyle w:val="CORPODOTEXTOABNT"/>
        <w:rPr>
          <w:rFonts w:eastAsia="Calibri"/>
        </w:rPr>
      </w:pPr>
      <w:r w:rsidRPr="00F436E4">
        <w:rPr>
          <w:rFonts w:eastAsia="Calibri"/>
        </w:rPr>
        <w:t xml:space="preserve">Esse jogo político exigiu do governo a formulação de um programa de reformas gradual e cauteloso, pautado em soluções intermediárias para atender a públicos contraditórios, comprometido com as expectativas das instituições de mercado e com a manutenção da estabilidade macroeconômica </w:t>
      </w:r>
      <w:sdt>
        <w:sdtPr>
          <w:rPr>
            <w:rFonts w:eastAsia="Calibri"/>
          </w:rPr>
          <w:id w:val="437296117"/>
          <w:citation/>
        </w:sdtPr>
        <w:sdtContent>
          <w:r w:rsidRPr="00F436E4">
            <w:rPr>
              <w:rFonts w:eastAsia="Calibri"/>
            </w:rPr>
            <w:fldChar w:fldCharType="begin"/>
          </w:r>
          <w:r w:rsidRPr="00F436E4">
            <w:rPr>
              <w:rFonts w:eastAsia="Calibri"/>
            </w:rPr>
            <w:instrText xml:space="preserve"> CITATION And12 \l 1046 </w:instrText>
          </w:r>
          <w:r w:rsidRPr="00F436E4">
            <w:rPr>
              <w:rFonts w:eastAsia="Calibri"/>
            </w:rPr>
            <w:fldChar w:fldCharType="separate"/>
          </w:r>
          <w:r w:rsidR="004438B9" w:rsidRPr="004438B9">
            <w:rPr>
              <w:rFonts w:eastAsia="Calibri"/>
              <w:noProof/>
            </w:rPr>
            <w:t>(SINGER, 2012)</w:t>
          </w:r>
          <w:r w:rsidRPr="00F436E4">
            <w:rPr>
              <w:rFonts w:eastAsia="Calibri"/>
            </w:rPr>
            <w:fldChar w:fldCharType="end"/>
          </w:r>
        </w:sdtContent>
      </w:sdt>
      <w:r w:rsidRPr="00F436E4">
        <w:rPr>
          <w:rFonts w:eastAsia="Calibri"/>
        </w:rPr>
        <w:t xml:space="preserve">. Considerando esse contexto, </w:t>
      </w:r>
      <w:proofErr w:type="spellStart"/>
      <w:r w:rsidRPr="00F436E4">
        <w:rPr>
          <w:rFonts w:eastAsia="Calibri"/>
        </w:rPr>
        <w:t>Rolnik</w:t>
      </w:r>
      <w:proofErr w:type="spellEnd"/>
      <w:r w:rsidRPr="00F436E4">
        <w:rPr>
          <w:rFonts w:eastAsia="Calibri"/>
        </w:rPr>
        <w:t xml:space="preserve"> </w:t>
      </w:r>
      <w:sdt>
        <w:sdtPr>
          <w:rPr>
            <w:rFonts w:eastAsia="Calibri"/>
          </w:rPr>
          <w:id w:val="2066182777"/>
          <w:citation/>
        </w:sdtPr>
        <w:sdtContent>
          <w:r w:rsidRPr="00F436E4">
            <w:rPr>
              <w:rFonts w:eastAsia="Calibri"/>
            </w:rPr>
            <w:fldChar w:fldCharType="begin"/>
          </w:r>
          <w:r w:rsidRPr="00F436E4">
            <w:rPr>
              <w:rFonts w:eastAsia="Calibri"/>
            </w:rPr>
            <w:instrText xml:space="preserve">CITATION Rol19 \n  \t  \l 1046 </w:instrText>
          </w:r>
          <w:r w:rsidRPr="00F436E4">
            <w:rPr>
              <w:rFonts w:eastAsia="Calibri"/>
            </w:rPr>
            <w:fldChar w:fldCharType="separate"/>
          </w:r>
          <w:r w:rsidR="004438B9" w:rsidRPr="004438B9">
            <w:rPr>
              <w:rFonts w:eastAsia="Calibri"/>
              <w:noProof/>
            </w:rPr>
            <w:t>(2019)</w:t>
          </w:r>
          <w:r w:rsidRPr="00F436E4">
            <w:rPr>
              <w:rFonts w:eastAsia="Calibri"/>
            </w:rPr>
            <w:fldChar w:fldCharType="end"/>
          </w:r>
        </w:sdtContent>
      </w:sdt>
      <w:r w:rsidRPr="00F436E4">
        <w:rPr>
          <w:rFonts w:eastAsia="Calibri"/>
        </w:rPr>
        <w:t xml:space="preserve"> aponta que a governabilidade dependeu de pactos com partidos que haviam aderido ao acordo por conveniência e não por afinidades programáticas, resultando um equilíbrio político frágil, que exigiu sucessivas concessões para ser mantido e reduziu substancialmente as margens para mudança.</w:t>
      </w:r>
    </w:p>
    <w:p w14:paraId="3630C530" w14:textId="2C320780" w:rsidR="0006493C" w:rsidRPr="00F436E4" w:rsidRDefault="0006493C" w:rsidP="0006493C">
      <w:pPr>
        <w:suppressAutoHyphens/>
        <w:spacing w:after="0" w:line="360" w:lineRule="auto"/>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ab/>
        <w:t xml:space="preserve">Na leitura do plano macroinstitucional de uma política pública, Bucci </w:t>
      </w:r>
      <w:sdt>
        <w:sdtPr>
          <w:rPr>
            <w:rFonts w:ascii="Times New Roman" w:eastAsia="Calibri" w:hAnsi="Times New Roman" w:cs="Times New Roman"/>
            <w:sz w:val="24"/>
            <w:szCs w:val="24"/>
          </w:rPr>
          <w:id w:val="1527990873"/>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Mar21 \n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(2021)</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ressalva a importância de se compreender o sistema de governo adotado, isto é, como se distribuem as funções entre as esferas de poder e como estas são controladas. No caso do Brasil, Abranches </w:t>
      </w:r>
      <w:sdt>
        <w:sdtPr>
          <w:rPr>
            <w:rFonts w:ascii="Times New Roman" w:eastAsia="Calibri" w:hAnsi="Times New Roman" w:cs="Times New Roman"/>
            <w:sz w:val="24"/>
            <w:szCs w:val="24"/>
          </w:rPr>
          <w:id w:val="1628755128"/>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Sér98 \n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(1988)</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já alertava, desde o início da Nova República, que a macropolítica historicamente se caracterizava pela “pela coexistência, nem sempre pacífica, de elementos institucionais que, em conjunto, produzem certos efeitos recorrentes e, não raro, desestabilizadores” </w:t>
      </w:r>
      <w:sdt>
        <w:sdtPr>
          <w:rPr>
            <w:rFonts w:ascii="Times New Roman" w:eastAsia="Calibri" w:hAnsi="Times New Roman" w:cs="Times New Roman"/>
            <w:sz w:val="24"/>
            <w:szCs w:val="24"/>
          </w:rPr>
          <w:id w:val="1116961955"/>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Sér98 \p 10 \n  \y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(p. 10)</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 O autor explica que a experiência brasileira, embora guarde semelhanças com as demais democracias representativas multipartidárias estáveis do planeta, possui algumas particularidades, sobremaneira por conta da configuração do eleitorado presidencial, que se distancia significativamente da conformação do voto para o Legislativo, dificulta</w:t>
      </w:r>
      <w:r>
        <w:rPr>
          <w:rFonts w:ascii="Times New Roman" w:eastAsia="Calibri" w:hAnsi="Times New Roman" w:cs="Times New Roman"/>
          <w:sz w:val="24"/>
          <w:szCs w:val="24"/>
        </w:rPr>
        <w:t>n</w:t>
      </w:r>
      <w:r w:rsidRPr="00F436E4">
        <w:rPr>
          <w:rFonts w:ascii="Times New Roman" w:eastAsia="Calibri" w:hAnsi="Times New Roman" w:cs="Times New Roman"/>
          <w:sz w:val="24"/>
          <w:szCs w:val="24"/>
        </w:rPr>
        <w:t>do que a bandeira do</w:t>
      </w:r>
      <w:r>
        <w:rPr>
          <w:rFonts w:ascii="Times New Roman" w:eastAsia="Calibri" w:hAnsi="Times New Roman" w:cs="Times New Roman"/>
          <w:sz w:val="24"/>
          <w:szCs w:val="24"/>
        </w:rPr>
        <w:t>/a</w:t>
      </w:r>
      <w:r w:rsidRPr="00F436E4">
        <w:rPr>
          <w:rFonts w:ascii="Times New Roman" w:eastAsia="Calibri" w:hAnsi="Times New Roman" w:cs="Times New Roman"/>
          <w:sz w:val="24"/>
          <w:szCs w:val="24"/>
        </w:rPr>
        <w:t xml:space="preserve"> presidente</w:t>
      </w:r>
      <w:r>
        <w:rPr>
          <w:rFonts w:ascii="Times New Roman" w:eastAsia="Calibri" w:hAnsi="Times New Roman" w:cs="Times New Roman"/>
          <w:sz w:val="24"/>
          <w:szCs w:val="24"/>
        </w:rPr>
        <w:t>/a</w:t>
      </w:r>
      <w:r w:rsidRPr="00F436E4">
        <w:rPr>
          <w:rFonts w:ascii="Times New Roman" w:eastAsia="Calibri" w:hAnsi="Times New Roman" w:cs="Times New Roman"/>
          <w:sz w:val="24"/>
          <w:szCs w:val="24"/>
        </w:rPr>
        <w:t xml:space="preserve"> consiga maioria no Congresso. </w:t>
      </w:r>
    </w:p>
    <w:p w14:paraId="5A7FFBD4" w14:textId="480FBCB3" w:rsidR="0006493C" w:rsidRPr="004A522B" w:rsidRDefault="0006493C" w:rsidP="004A522B">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Diante disso, tanto a governabilidade, quanto a governança, passam a depender da formação de uma coalizão majoritária com os</w:t>
      </w:r>
      <w:r>
        <w:rPr>
          <w:rFonts w:ascii="Times New Roman" w:eastAsia="Calibri" w:hAnsi="Times New Roman" w:cs="Times New Roman"/>
          <w:sz w:val="24"/>
          <w:szCs w:val="24"/>
        </w:rPr>
        <w:t>/as</w:t>
      </w:r>
      <w:r w:rsidRPr="00F436E4">
        <w:rPr>
          <w:rFonts w:ascii="Times New Roman" w:eastAsia="Calibri" w:hAnsi="Times New Roman" w:cs="Times New Roman"/>
          <w:sz w:val="24"/>
          <w:szCs w:val="24"/>
        </w:rPr>
        <w:t xml:space="preserve"> parlamentares</w:t>
      </w:r>
      <w:r w:rsidR="004A522B">
        <w:rPr>
          <w:rFonts w:ascii="Times New Roman" w:eastAsia="Calibri" w:hAnsi="Times New Roman" w:cs="Times New Roman"/>
          <w:sz w:val="24"/>
          <w:szCs w:val="24"/>
        </w:rPr>
        <w:t xml:space="preserve"> marcadas pelo compartilhamento d</w:t>
      </w:r>
      <w:r w:rsidRPr="00F436E4">
        <w:rPr>
          <w:rFonts w:ascii="Times New Roman" w:eastAsia="Calibri" w:hAnsi="Times New Roman" w:cs="Times New Roman"/>
          <w:sz w:val="24"/>
          <w:szCs w:val="24"/>
        </w:rPr>
        <w:t>o controle de ministérios, negocia</w:t>
      </w:r>
      <w:r w:rsidR="004A522B">
        <w:rPr>
          <w:rFonts w:ascii="Times New Roman" w:eastAsia="Calibri" w:hAnsi="Times New Roman" w:cs="Times New Roman"/>
          <w:sz w:val="24"/>
          <w:szCs w:val="24"/>
        </w:rPr>
        <w:t>ção</w:t>
      </w:r>
      <w:r w:rsidRPr="00F436E4">
        <w:rPr>
          <w:rFonts w:ascii="Times New Roman" w:eastAsia="Calibri" w:hAnsi="Times New Roman" w:cs="Times New Roman"/>
          <w:sz w:val="24"/>
          <w:szCs w:val="24"/>
        </w:rPr>
        <w:t xml:space="preserve"> cargos e aprova</w:t>
      </w:r>
      <w:r w:rsidR="004A522B">
        <w:rPr>
          <w:rFonts w:ascii="Times New Roman" w:eastAsia="Calibri" w:hAnsi="Times New Roman" w:cs="Times New Roman"/>
          <w:sz w:val="24"/>
          <w:szCs w:val="24"/>
        </w:rPr>
        <w:t>ção</w:t>
      </w:r>
      <w:r w:rsidRPr="00F436E4">
        <w:rPr>
          <w:rFonts w:ascii="Times New Roman" w:eastAsia="Calibri" w:hAnsi="Times New Roman" w:cs="Times New Roman"/>
          <w:sz w:val="24"/>
          <w:szCs w:val="24"/>
        </w:rPr>
        <w:t xml:space="preserve"> </w:t>
      </w:r>
      <w:r w:rsidR="004A522B">
        <w:rPr>
          <w:rFonts w:ascii="Times New Roman" w:eastAsia="Calibri" w:hAnsi="Times New Roman" w:cs="Times New Roman"/>
          <w:sz w:val="24"/>
          <w:szCs w:val="24"/>
        </w:rPr>
        <w:t>de</w:t>
      </w:r>
      <w:r w:rsidRPr="00F436E4">
        <w:rPr>
          <w:rFonts w:ascii="Times New Roman" w:eastAsia="Calibri" w:hAnsi="Times New Roman" w:cs="Times New Roman"/>
          <w:sz w:val="24"/>
          <w:szCs w:val="24"/>
        </w:rPr>
        <w:t xml:space="preserve"> pautas </w:t>
      </w:r>
      <w:r w:rsidR="004A522B">
        <w:rPr>
          <w:rFonts w:ascii="Times New Roman" w:eastAsia="Calibri" w:hAnsi="Times New Roman" w:cs="Times New Roman"/>
          <w:sz w:val="24"/>
          <w:szCs w:val="24"/>
        </w:rPr>
        <w:t>conflitantes</w:t>
      </w:r>
      <w:r w:rsidRPr="00F436E4">
        <w:rPr>
          <w:rFonts w:ascii="Times New Roman" w:eastAsia="Calibri" w:hAnsi="Times New Roman" w:cs="Times New Roman"/>
          <w:sz w:val="24"/>
          <w:szCs w:val="24"/>
        </w:rPr>
        <w:t xml:space="preserve"> com as linhas ideológicas e com as expectativas do eleitorado de base, por exemplo, a fim de alcançar outros apoios. Nesse cenário institucional de tantas disputas, o MCidades passou a trabalhar na sua proposta de política habitacional, cujo desenho já vinha sendo traçado desde a corrida eleitoral no âmbito do “Projeto Moradia”, grande incubadora das políticas de desenvolvimento urbano da campanha e, posteriormente, do governo. Em 2004, foi aprovada a nova P</w:t>
      </w:r>
      <w:r w:rsidR="004A522B">
        <w:rPr>
          <w:rFonts w:ascii="Times New Roman" w:eastAsia="Calibri" w:hAnsi="Times New Roman" w:cs="Times New Roman"/>
          <w:sz w:val="24"/>
          <w:szCs w:val="24"/>
        </w:rPr>
        <w:t xml:space="preserve">olítica </w:t>
      </w:r>
      <w:r w:rsidRPr="00F436E4">
        <w:rPr>
          <w:rFonts w:ascii="Times New Roman" w:eastAsia="Calibri" w:hAnsi="Times New Roman" w:cs="Times New Roman"/>
          <w:sz w:val="24"/>
          <w:szCs w:val="24"/>
        </w:rPr>
        <w:t>N</w:t>
      </w:r>
      <w:r w:rsidR="004A522B">
        <w:rPr>
          <w:rFonts w:ascii="Times New Roman" w:eastAsia="Calibri" w:hAnsi="Times New Roman" w:cs="Times New Roman"/>
          <w:sz w:val="24"/>
          <w:szCs w:val="24"/>
        </w:rPr>
        <w:t xml:space="preserve">acional de </w:t>
      </w:r>
      <w:r w:rsidRPr="00F436E4">
        <w:rPr>
          <w:rFonts w:ascii="Times New Roman" w:eastAsia="Calibri" w:hAnsi="Times New Roman" w:cs="Times New Roman"/>
          <w:sz w:val="24"/>
          <w:szCs w:val="24"/>
        </w:rPr>
        <w:t>H</w:t>
      </w:r>
      <w:r w:rsidR="004A522B">
        <w:rPr>
          <w:rFonts w:ascii="Times New Roman" w:eastAsia="Calibri" w:hAnsi="Times New Roman" w:cs="Times New Roman"/>
          <w:sz w:val="24"/>
          <w:szCs w:val="24"/>
        </w:rPr>
        <w:t>abitação (PNH)</w:t>
      </w:r>
      <w:r w:rsidRPr="00F436E4">
        <w:rPr>
          <w:rFonts w:ascii="Times New Roman" w:eastAsia="Calibri" w:hAnsi="Times New Roman" w:cs="Times New Roman"/>
          <w:sz w:val="24"/>
          <w:szCs w:val="24"/>
        </w:rPr>
        <w:t xml:space="preserve"> pelo Ministério, após ampla </w:t>
      </w:r>
      <w:r w:rsidRPr="00DB583A">
        <w:rPr>
          <w:rStyle w:val="corpodotextoChar"/>
        </w:rPr>
        <w:t xml:space="preserve">discussão com a sociedade nos espaços dos Conselhos e das </w:t>
      </w:r>
      <w:r w:rsidRPr="00B36DC5">
        <w:rPr>
          <w:rStyle w:val="corpodotextoChar"/>
        </w:rPr>
        <w:t>Conferência</w:t>
      </w:r>
      <w:r w:rsidR="004A522B">
        <w:rPr>
          <w:rStyle w:val="corpodotextoChar"/>
        </w:rPr>
        <w:t>s</w:t>
      </w:r>
      <w:r w:rsidRPr="00B36DC5">
        <w:rPr>
          <w:rStyle w:val="corpodotextoChar"/>
        </w:rPr>
        <w:t>, reconhecendo</w:t>
      </w:r>
      <w:r w:rsidRPr="00DB583A">
        <w:rPr>
          <w:rStyle w:val="corpodotextoChar"/>
        </w:rPr>
        <w:t xml:space="preserve"> a função social da propriedade e a habitação como questão do Estado e direito básico do cidadão, determinando-a como atribuição concorrente dos três níveis de governo e preconizando a inclusão social e a gestão participativa e democrática. </w:t>
      </w:r>
    </w:p>
    <w:p w14:paraId="7AECDDE3" w14:textId="2FFAD169" w:rsidR="0006493C" w:rsidRPr="00F436E4" w:rsidRDefault="0006493C" w:rsidP="0006493C">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lastRenderedPageBreak/>
        <w:t xml:space="preserve">No entanto, percebeu-se que as propostas de gestão da pasta não estavam sincronizadas com as rígidas políticas monetárias entabuladas pelo Ministério da Fazenda, que buscava garantir o alcance da meta do </w:t>
      </w:r>
      <w:r w:rsidRPr="00F436E4">
        <w:rPr>
          <w:rFonts w:ascii="Times New Roman" w:eastAsia="Calibri" w:hAnsi="Times New Roman" w:cs="Times New Roman"/>
          <w:i/>
          <w:iCs/>
          <w:sz w:val="24"/>
          <w:szCs w:val="24"/>
        </w:rPr>
        <w:t>superavit</w:t>
      </w:r>
      <w:r w:rsidRPr="00F436E4">
        <w:rPr>
          <w:rFonts w:ascii="Times New Roman" w:eastAsia="Calibri" w:hAnsi="Times New Roman" w:cs="Times New Roman"/>
          <w:sz w:val="24"/>
          <w:szCs w:val="24"/>
        </w:rPr>
        <w:t xml:space="preserve"> primário e precisava, consequentemente, diminuir os investimentos governamentais. O componente financeiro das políticas habitacionais continuava a ser o SFH e a principal fonte de recursos o FGTS, nos mesmos moldes da era FHC, a despeito dos esforços do MCidades em priorizar a população de baixa renda, onde estava concentrado o déficit. Enrijecido o orçamento por uma política de orientação neoliberal e à mercê da visão bancária da CEF, pontos importantes da PNH não puderam ser implantados de imediato. Sobre a austeridade que afetava o setor no período, Maricato </w:t>
      </w:r>
      <w:sdt>
        <w:sdtPr>
          <w:rPr>
            <w:rFonts w:ascii="Times New Roman" w:eastAsia="Calibri" w:hAnsi="Times New Roman" w:cs="Times New Roman"/>
            <w:sz w:val="24"/>
            <w:szCs w:val="24"/>
          </w:rPr>
          <w:id w:val="1455319339"/>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Mar171 \n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(2017)</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aponta que, em 2004, não houve abertura de orçamento entre os meses de janeiro e abril e, até o final do ano, o contingenciamento dos investimentos previstos na Lei Orçamentária Anual atingiu a marca de 60%. </w:t>
      </w:r>
    </w:p>
    <w:p w14:paraId="6C09408D" w14:textId="25A2F746" w:rsidR="0006493C" w:rsidRPr="00F436E4" w:rsidRDefault="0006493C" w:rsidP="0006493C">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Naquele momento, como se nota, ao contrário das políticas públicas de transferência condicionada de renda e de segurança alimentar, os amplamente festejados Bolsa Família e Fome Zero, a habitação não foi uma prioridade. Silva </w:t>
      </w:r>
      <w:sdt>
        <w:sdtPr>
          <w:rPr>
            <w:rFonts w:ascii="Times New Roman" w:eastAsia="Calibri" w:hAnsi="Times New Roman" w:cs="Times New Roman"/>
            <w:sz w:val="24"/>
            <w:szCs w:val="24"/>
          </w:rPr>
          <w:id w:val="768132744"/>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Fer14 \n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(2014)</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conclui que, no período, o MCidades foi regido por um tipo de coordenação de baixo controle do governo, isto é, não houve a centralização do processo decisório, nem estruturação de um sistema intensivo de monitoramento das políticas urbanas por parte da Presidência. O Ministério dispunha de autonomia em relação às políticas que estavam sob sua responsabilidade, mas essas não contavam com os instrumentos ou recursos necessários para sua adequada viabilização.</w:t>
      </w:r>
    </w:p>
    <w:p w14:paraId="39FE616D" w14:textId="77777777" w:rsidR="0006493C" w:rsidRPr="00F436E4" w:rsidRDefault="0006493C" w:rsidP="0006493C">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No ano seguinte, após grande mobilização dos movimentos sociais frente à oposição da equipe econômica, foi criado o Fundo Nacional de Habitação de Interesse Social (FNHIS), articulado ao Sistema Nacional de Habitação de Interesse Social (SNHIS), ambos instituídos pela Lei nº 11.124/05, fruto de um projeto legal de iniciativa popular elaborado com o auxílio do FNRU, da década de 1990. Foi pensado um complexo integrado de política pública, com a inter-relação entre os planos nacional, estadual e municipal de habitação, visando ampliar a cooperação entre os entes federados e reduzir as sobreposições e os vazios institucionais.</w:t>
      </w:r>
    </w:p>
    <w:p w14:paraId="71A6C3B4" w14:textId="47737C10" w:rsidR="0006493C" w:rsidRPr="00F436E4" w:rsidRDefault="0006493C" w:rsidP="004A522B">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Contudo, a ideia inicial acabou descaracterizada e novos obstáculos se impuseram para a instrumentalização dos recursos</w:t>
      </w:r>
      <w:r>
        <w:rPr>
          <w:rFonts w:ascii="Times New Roman" w:eastAsia="Calibri" w:hAnsi="Times New Roman" w:cs="Times New Roman"/>
          <w:sz w:val="24"/>
          <w:szCs w:val="24"/>
        </w:rPr>
        <w:t xml:space="preserve"> </w:t>
      </w:r>
      <w:r w:rsidRPr="00F436E4">
        <w:rPr>
          <w:rFonts w:ascii="Times New Roman" w:eastAsia="Calibri" w:hAnsi="Times New Roman" w:cs="Times New Roman"/>
          <w:sz w:val="24"/>
          <w:szCs w:val="24"/>
        </w:rPr>
        <w:t xml:space="preserve">que seriam utilizados para a produção de unidades habitacionais e de lotes urbanizados, regularização fundiária e reforma e conversão de imóveis para habitação, por exemplo, visando o atendimento prioritário às famílias da menor faixa de renda. O primeiro deles foi a concepção do FNHIS como um fundo orçamentário, não como um fundo financeiro, o que implicou na sujeição a eventuais contingenciamentos e às regras de licitação, tornando-o pouco mais do que uma dotação orçamentária gerida por um conselho com </w:t>
      </w:r>
      <w:r w:rsidRPr="00F436E4">
        <w:rPr>
          <w:rFonts w:ascii="Times New Roman" w:eastAsia="Calibri" w:hAnsi="Times New Roman" w:cs="Times New Roman"/>
          <w:sz w:val="24"/>
          <w:szCs w:val="24"/>
        </w:rPr>
        <w:lastRenderedPageBreak/>
        <w:t xml:space="preserve">participação da sociedade e reduzindo enormemente o seu potencial de financiamento </w:t>
      </w:r>
      <w:sdt>
        <w:sdtPr>
          <w:rPr>
            <w:rFonts w:ascii="Times New Roman" w:eastAsia="Calibri" w:hAnsi="Times New Roman" w:cs="Times New Roman"/>
            <w:sz w:val="24"/>
            <w:szCs w:val="24"/>
          </w:rPr>
          <w:id w:val="685748752"/>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 CITATION Nab13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(BONDUKI, 2013)</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Noutra expectativa frustrada do MCidades e dos movimentos sociais que compunham o ConCidades, foi permitido que os ativos do FNHIS fossem utilizados pelos estados e municípios que aderissem integralmente ou, diferente do esperado, apenas parcialmente, aos critérios do SNHIS, quais sejam, a criação seus próprios fundos e conselhos e elaboração dos seus próprios planos de habitação. </w:t>
      </w:r>
    </w:p>
    <w:p w14:paraId="25AEBDF0" w14:textId="77777777" w:rsidR="0006493C" w:rsidRPr="00F436E4" w:rsidRDefault="0006493C" w:rsidP="0006493C">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O governo justificou a medida com o argumento de que apenas os municípios com estrutura administrativa mais organizada, que coincidem com os locais de concentração do déficit habitacional, conseguiriam aderir integralmente ao SNHIS. Diante da flexibilização</w:t>
      </w:r>
      <w:r>
        <w:rPr>
          <w:rFonts w:ascii="Times New Roman" w:eastAsia="Calibri" w:hAnsi="Times New Roman" w:cs="Times New Roman"/>
          <w:sz w:val="24"/>
          <w:szCs w:val="24"/>
        </w:rPr>
        <w:t xml:space="preserve"> </w:t>
      </w:r>
      <w:r w:rsidRPr="00F436E4">
        <w:rPr>
          <w:rFonts w:ascii="Times New Roman" w:eastAsia="Calibri" w:hAnsi="Times New Roman" w:cs="Times New Roman"/>
          <w:sz w:val="24"/>
          <w:szCs w:val="24"/>
        </w:rPr>
        <w:t>as exigências</w:t>
      </w:r>
      <w:r>
        <w:rPr>
          <w:rFonts w:ascii="Times New Roman" w:eastAsia="Calibri" w:hAnsi="Times New Roman" w:cs="Times New Roman"/>
          <w:sz w:val="24"/>
          <w:szCs w:val="24"/>
        </w:rPr>
        <w:t xml:space="preserve"> feitas </w:t>
      </w:r>
      <w:r w:rsidRPr="00F436E4">
        <w:rPr>
          <w:rFonts w:ascii="Times New Roman" w:eastAsia="Calibri" w:hAnsi="Times New Roman" w:cs="Times New Roman"/>
          <w:sz w:val="24"/>
          <w:szCs w:val="24"/>
        </w:rPr>
        <w:t>perderam grande parte de seu sentido original para se tornarem uma mera obrigação formal, sem que os entes federativos compreendessem a importância del</w:t>
      </w:r>
      <w:r>
        <w:rPr>
          <w:rFonts w:ascii="Times New Roman" w:eastAsia="Calibri" w:hAnsi="Times New Roman" w:cs="Times New Roman"/>
          <w:sz w:val="24"/>
          <w:szCs w:val="24"/>
        </w:rPr>
        <w:t>a</w:t>
      </w:r>
      <w:r w:rsidRPr="00F436E4">
        <w:rPr>
          <w:rFonts w:ascii="Times New Roman" w:eastAsia="Calibri" w:hAnsi="Times New Roman" w:cs="Times New Roman"/>
          <w:sz w:val="24"/>
          <w:szCs w:val="24"/>
        </w:rPr>
        <w:t>s enquanto instrumento</w:t>
      </w:r>
      <w:r>
        <w:rPr>
          <w:rFonts w:ascii="Times New Roman" w:eastAsia="Calibri" w:hAnsi="Times New Roman" w:cs="Times New Roman"/>
          <w:sz w:val="24"/>
          <w:szCs w:val="24"/>
        </w:rPr>
        <w:t>s</w:t>
      </w:r>
      <w:r w:rsidRPr="00F436E4">
        <w:rPr>
          <w:rFonts w:ascii="Times New Roman" w:eastAsia="Calibri" w:hAnsi="Times New Roman" w:cs="Times New Roman"/>
          <w:sz w:val="24"/>
          <w:szCs w:val="24"/>
        </w:rPr>
        <w:t xml:space="preserve"> de uma gestão democrática. Além dos poucos recursos manejados pelo FNHIS, se desmantelou a proposta governança descentralizada do sistema, tão cara aos atores e movimentos sociais que esperavam participar mais ativamente do processo de tomada de decisão, estimular a implementação de propostas territorializadas e, principalmente, amadurecer uma consciência coletiva em torno das questões habitacionais.</w:t>
      </w:r>
    </w:p>
    <w:p w14:paraId="59FA3736" w14:textId="77777777" w:rsidR="00A80277" w:rsidRDefault="0006493C" w:rsidP="0006493C">
      <w:pPr>
        <w:suppressAutoHyphens/>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Pr="00F436E4">
        <w:rPr>
          <w:rFonts w:ascii="Times New Roman" w:eastAsia="Calibri" w:hAnsi="Times New Roman" w:cs="Times New Roman"/>
          <w:sz w:val="24"/>
          <w:szCs w:val="24"/>
        </w:rPr>
        <w:t>m 2005, a agenda de reformas urbanas do MCidades, que já vinha sofrendo resistências desde o início dos trabalhos, precisou lidar com a mudança de ministro e com a saída de boa parte da sua equipe original, em nome da coalizão para manter a base política no Congresso Nacional após os escândalos do episódio que ficou conhecido como “mensalão”. Saiu Olívio Dutra e entrou Márcio Fortes, do PP, aliado conservador do governo e que até então era secretário-executivo no Ministério do Desenvolvimento, Indústria e Comércio Exterior e havia ocupado o mesmo cargo no Ministério da Agricultura do governo FHC. Apesar da reestruturação ministerial, com a indicação de secretários executivos e membros do Gabinete sem experiência profissional na temática urbana, Fortes manteve a direção das quatro secretarias setoriais do MCidades (Habitação, Saneamento Ambiental, Programas Urbanos e Mobilidade Urbana) sob a responsabilidade dos indicados pelo PT até o fim do governo Lula 1, o que também acontecia na presidência e vice-presidência da CEF, onde estava alocado o SFH.</w:t>
      </w:r>
    </w:p>
    <w:p w14:paraId="3BB9693E" w14:textId="42AF4BC2" w:rsidR="0006493C" w:rsidRPr="00F436E4" w:rsidRDefault="0006493C" w:rsidP="0006493C">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 De outra ponta, Dilma Rousseff sucedeu a José Dirceu na Casa Civil e, no ano seguinte, em 2006, Guido Mantega, à época presidente do Banco Nacional de Desenvolvimento Econômico e Social (BNDES), assumiu a pasta da Fazenda – dois economistas com pautas desenvolvimentistas que acenavam para o abandono de parte da agenda neoliberal. Essas mudanças institucionais foram determinantes para os novos rumos na área de habitação e </w:t>
      </w:r>
      <w:r w:rsidRPr="00F436E4">
        <w:rPr>
          <w:rFonts w:ascii="Times New Roman" w:eastAsia="Calibri" w:hAnsi="Times New Roman" w:cs="Times New Roman"/>
          <w:sz w:val="24"/>
          <w:szCs w:val="24"/>
        </w:rPr>
        <w:lastRenderedPageBreak/>
        <w:t>infraestrutura urbana, que se alinhou às estratégias de crescimento econômico a partir da ampliação do consumo dos trabalhadores, o que foi sustentado no mandato seguinte e pavimentou o caminho até o PMCMV.</w:t>
      </w:r>
    </w:p>
    <w:p w14:paraId="3BF68685" w14:textId="2BD69FA0" w:rsidR="0006493C" w:rsidRPr="00F436E4" w:rsidRDefault="0006493C" w:rsidP="004A522B">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Chama-se atenção para essa nova configuração da Casa Civil e da Fazenda porque ela denota uma passagem significativa entre os mandatos de Lula, qual seja, entre uma política fiscal preocupada com a estabilidade financeira para uma outra postura, comprometida com as demandas por transferência de renda, bem como com a ampliação da participação de outros agentes. </w:t>
      </w:r>
      <w:r w:rsidR="004A522B">
        <w:rPr>
          <w:rFonts w:ascii="Times New Roman" w:eastAsia="Calibri" w:hAnsi="Times New Roman" w:cs="Times New Roman"/>
          <w:sz w:val="24"/>
          <w:szCs w:val="24"/>
        </w:rPr>
        <w:t xml:space="preserve">Como </w:t>
      </w:r>
      <w:r w:rsidR="002E6546">
        <w:rPr>
          <w:rFonts w:ascii="Times New Roman" w:eastAsia="Calibri" w:hAnsi="Times New Roman" w:cs="Times New Roman"/>
          <w:sz w:val="24"/>
          <w:szCs w:val="24"/>
        </w:rPr>
        <w:t>r</w:t>
      </w:r>
      <w:r w:rsidRPr="00F436E4">
        <w:rPr>
          <w:rFonts w:ascii="Times New Roman" w:eastAsia="Calibri" w:hAnsi="Times New Roman" w:cs="Times New Roman"/>
          <w:sz w:val="24"/>
          <w:szCs w:val="24"/>
        </w:rPr>
        <w:t xml:space="preserve">eflexo disso, no primeiro ano do Governo Lula 2 (2007-2010), foi criado o Programa de Aceleração do Crescimento (PAC), sob a coordenação dos titulares da Casa Civil, do Ministério da Fazenda e do Ministério do Planejamento, Orçamento e Gestão, com a finalidade de retomar as obras desenvolvimentistas de infraestrutura econômica e social, inclusive no setor de habitação. </w:t>
      </w:r>
      <w:r>
        <w:rPr>
          <w:rFonts w:ascii="Times New Roman" w:eastAsia="Calibri" w:hAnsi="Times New Roman" w:cs="Times New Roman"/>
          <w:sz w:val="24"/>
          <w:szCs w:val="24"/>
        </w:rPr>
        <w:t xml:space="preserve">O projeto foi definido por </w:t>
      </w:r>
      <w:r w:rsidRPr="00F436E4">
        <w:rPr>
          <w:rFonts w:ascii="Times New Roman" w:eastAsia="Calibri" w:hAnsi="Times New Roman" w:cs="Times New Roman"/>
          <w:sz w:val="24"/>
          <w:szCs w:val="24"/>
        </w:rPr>
        <w:t xml:space="preserve">Pochmann </w:t>
      </w:r>
      <w:sdt>
        <w:sdtPr>
          <w:rPr>
            <w:rFonts w:ascii="Times New Roman" w:eastAsia="Calibri" w:hAnsi="Times New Roman" w:cs="Times New Roman"/>
            <w:sz w:val="24"/>
            <w:szCs w:val="24"/>
          </w:rPr>
          <w:id w:val="-249658335"/>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Már12 \n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(2012)</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como </w:t>
      </w:r>
      <w:r w:rsidRPr="00F436E4">
        <w:rPr>
          <w:rFonts w:ascii="Times New Roman" w:eastAsia="Calibri" w:hAnsi="Times New Roman" w:cs="Times New Roman"/>
          <w:sz w:val="24"/>
          <w:szCs w:val="24"/>
        </w:rPr>
        <w:t>uma resposta à crise global do capitalismo, à nova divisão internacional do trabalho e às transformações societárias.</w:t>
      </w:r>
    </w:p>
    <w:p w14:paraId="7B936033" w14:textId="3DCAE463" w:rsidR="0006493C" w:rsidRPr="00F436E4" w:rsidRDefault="0006493C" w:rsidP="0006493C">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Nesse cenário, com a redução dos recursos mobilizados pelo FNHIS, o seu papel na política habitacional foi esmaecendo, em detrimento da preferência da alocação de fundos para o novo pacote, que não seria objeto dos decretos de contingenciamento</w:t>
      </w:r>
      <w:r w:rsidR="00A80277">
        <w:rPr>
          <w:rFonts w:ascii="Times New Roman" w:eastAsia="Calibri" w:hAnsi="Times New Roman" w:cs="Times New Roman"/>
          <w:sz w:val="24"/>
          <w:szCs w:val="24"/>
        </w:rPr>
        <w:t xml:space="preserve">. </w:t>
      </w:r>
      <w:r w:rsidRPr="00F436E4">
        <w:rPr>
          <w:rFonts w:ascii="Times New Roman" w:eastAsia="Calibri" w:hAnsi="Times New Roman" w:cs="Times New Roman"/>
          <w:sz w:val="24"/>
          <w:szCs w:val="24"/>
        </w:rPr>
        <w:t xml:space="preserve">Paralelamente, perdeu relevância o SNHIS, cujas diretrizes foram ignoradas pelas medidas do PAC. Isso significa que os investimentos no setor habitacional passariam a ser feitos à revelia das diretrizes estabelecidas pela SNH após um amplo processo participativo, comprometido com a PNH e com a chancela do setor técnico da Pasta. O MCidades sequer fazia parte do sistema de gestão do PAC. </w:t>
      </w:r>
    </w:p>
    <w:p w14:paraId="4971C821" w14:textId="28B9BB8A" w:rsidR="0006493C" w:rsidRPr="004A522B" w:rsidRDefault="0006493C" w:rsidP="004A522B">
      <w:pPr>
        <w:suppressAutoHyphens/>
        <w:spacing w:after="0" w:line="360" w:lineRule="auto"/>
        <w:ind w:firstLine="708"/>
        <w:jc w:val="both"/>
        <w:rPr>
          <w:rFonts w:ascii="Times New Roman" w:eastAsia="Calibri" w:hAnsi="Times New Roman" w:cs="Times New Roman"/>
          <w:sz w:val="20"/>
          <w:szCs w:val="20"/>
        </w:rPr>
      </w:pPr>
      <w:r w:rsidRPr="00F436E4">
        <w:rPr>
          <w:rFonts w:ascii="Times New Roman" w:eastAsia="Calibri" w:hAnsi="Times New Roman" w:cs="Times New Roman"/>
          <w:sz w:val="24"/>
          <w:szCs w:val="24"/>
        </w:rPr>
        <w:t>Além disso, vale dizer que, naquele momento, todos os</w:t>
      </w:r>
      <w:r>
        <w:rPr>
          <w:rFonts w:ascii="Times New Roman" w:eastAsia="Calibri" w:hAnsi="Times New Roman" w:cs="Times New Roman"/>
          <w:sz w:val="24"/>
          <w:szCs w:val="24"/>
        </w:rPr>
        <w:t>/as</w:t>
      </w:r>
      <w:r w:rsidRPr="00F436E4">
        <w:rPr>
          <w:rFonts w:ascii="Times New Roman" w:eastAsia="Calibri" w:hAnsi="Times New Roman" w:cs="Times New Roman"/>
          <w:sz w:val="24"/>
          <w:szCs w:val="24"/>
        </w:rPr>
        <w:t xml:space="preserve"> secretários</w:t>
      </w:r>
      <w:r>
        <w:rPr>
          <w:rFonts w:ascii="Times New Roman" w:eastAsia="Calibri" w:hAnsi="Times New Roman" w:cs="Times New Roman"/>
          <w:sz w:val="24"/>
          <w:szCs w:val="24"/>
        </w:rPr>
        <w:t>/as</w:t>
      </w:r>
      <w:r w:rsidRPr="00F436E4">
        <w:rPr>
          <w:rFonts w:ascii="Times New Roman" w:eastAsia="Calibri" w:hAnsi="Times New Roman" w:cs="Times New Roman"/>
          <w:sz w:val="24"/>
          <w:szCs w:val="24"/>
        </w:rPr>
        <w:t xml:space="preserve"> do MCidades que haviam sido indicados por Dutra já haviam sido substituídos, com exceção da SNH, chefiada por Inês Magalhães, vinculada ao PT. Essa mudança comprometeu a intersetorialidade da ação ministerial, que demandava a unificação das políticas que compunham a questão urbana. Entre 2007 e 2008, a SNH passou a coordenar os trabalhos da confecção do Plano Nacional de Habitação (</w:t>
      </w:r>
      <w:proofErr w:type="spellStart"/>
      <w:r w:rsidRPr="00F436E4">
        <w:rPr>
          <w:rFonts w:ascii="Times New Roman" w:eastAsia="Calibri" w:hAnsi="Times New Roman" w:cs="Times New Roman"/>
          <w:sz w:val="24"/>
          <w:szCs w:val="24"/>
        </w:rPr>
        <w:t>PlanHab</w:t>
      </w:r>
      <w:proofErr w:type="spellEnd"/>
      <w:r w:rsidRPr="00F436E4">
        <w:rPr>
          <w:rFonts w:ascii="Times New Roman" w:eastAsia="Calibri" w:hAnsi="Times New Roman" w:cs="Times New Roman"/>
          <w:sz w:val="24"/>
          <w:szCs w:val="24"/>
        </w:rPr>
        <w:t xml:space="preserve">), num último esforço de articular o planejamento do setor habitacional ao SNHIS, com o apoio da consultoria do Consórcio </w:t>
      </w:r>
      <w:proofErr w:type="spellStart"/>
      <w:r w:rsidRPr="00F436E4">
        <w:rPr>
          <w:rFonts w:ascii="Times New Roman" w:eastAsia="Calibri" w:hAnsi="Times New Roman" w:cs="Times New Roman"/>
          <w:sz w:val="24"/>
          <w:szCs w:val="24"/>
        </w:rPr>
        <w:t>PlanHab</w:t>
      </w:r>
      <w:proofErr w:type="spellEnd"/>
      <w:r w:rsidRPr="00F436E4">
        <w:rPr>
          <w:rFonts w:ascii="Times New Roman" w:eastAsia="Calibri" w:hAnsi="Times New Roman" w:cs="Times New Roman"/>
          <w:sz w:val="24"/>
          <w:szCs w:val="24"/>
        </w:rPr>
        <w:t>, formado pelo Instituto Via Pública, pelo Laboratório de Habitação e Assentamentos Humanos da Faculdade de Arquitetura e Urbanismo da Universidade de São Paulo e pela Logos Engenharia, por meio de um intenso processo participativo, com a presença de diversos segmentos sociais relacionados com o setor (movimentos populares, entidades profissionais, de pesquisa e acadêmicas, ONGs e representações estaduais e municipais</w:t>
      </w:r>
      <w:r w:rsidR="004A522B">
        <w:rPr>
          <w:rFonts w:ascii="Times New Roman" w:eastAsia="Calibri" w:hAnsi="Times New Roman" w:cs="Times New Roman"/>
          <w:sz w:val="24"/>
          <w:szCs w:val="24"/>
        </w:rPr>
        <w:t>).</w:t>
      </w:r>
    </w:p>
    <w:p w14:paraId="2D1774BA" w14:textId="6D3A1B9E" w:rsidR="0006493C" w:rsidRPr="00F436E4" w:rsidRDefault="0006493C" w:rsidP="0006493C">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lastRenderedPageBreak/>
        <w:t xml:space="preserve"> Apesar do entusiasmo em torno do </w:t>
      </w:r>
      <w:proofErr w:type="spellStart"/>
      <w:r w:rsidRPr="00F436E4">
        <w:rPr>
          <w:rFonts w:ascii="Times New Roman" w:eastAsia="Calibri" w:hAnsi="Times New Roman" w:cs="Times New Roman"/>
          <w:sz w:val="24"/>
          <w:szCs w:val="24"/>
        </w:rPr>
        <w:t>PlanHab</w:t>
      </w:r>
      <w:proofErr w:type="spellEnd"/>
      <w:r w:rsidRPr="00F436E4">
        <w:rPr>
          <w:rFonts w:ascii="Times New Roman" w:eastAsia="Calibri" w:hAnsi="Times New Roman" w:cs="Times New Roman"/>
          <w:sz w:val="24"/>
          <w:szCs w:val="24"/>
        </w:rPr>
        <w:t xml:space="preserve">, era irrefutável o enfraquecimento interno da Pasta, que não tinha mais um projeto global para as cidades brasileiras e padecia do clientelismo tradicional que desvirtuou os objetivos inovadores que tinham balizado a sua criação </w:t>
      </w:r>
      <w:sdt>
        <w:sdtPr>
          <w:rPr>
            <w:rFonts w:ascii="Times New Roman" w:eastAsia="Calibri" w:hAnsi="Times New Roman" w:cs="Times New Roman"/>
            <w:sz w:val="24"/>
            <w:szCs w:val="24"/>
          </w:rPr>
          <w:id w:val="745219189"/>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 CITATION Nab14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(BONDUKI, 2014)</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Foi nesse panorama de descontinuidades institucionais e políticas no outrora promissor MCidades que, pela primeira vez desde o BNH houve dotação orçamentária o suficiente para o desenvolvimento de programas habitacionais massivos. Havia, ainda, grandes possibilidades de compor uma política de subsídios com recursos não onerosos do OGU, o que permitiria propor uma intervenção significativa no déficit habitacional das camadas mais baixas de renda. </w:t>
      </w:r>
    </w:p>
    <w:p w14:paraId="77E5DC22" w14:textId="558C52E4" w:rsidR="0006493C" w:rsidRPr="00F436E4" w:rsidRDefault="0006493C" w:rsidP="0006493C">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O mercado imobiliário, cujo dínamo é a especulação fundiária e que esteve tradicionalmente restrito a menos de 30% da população brasileira </w:t>
      </w:r>
      <w:sdt>
        <w:sdtPr>
          <w:rPr>
            <w:rFonts w:ascii="Times New Roman" w:eastAsia="Calibri" w:hAnsi="Times New Roman" w:cs="Times New Roman"/>
            <w:sz w:val="24"/>
            <w:szCs w:val="24"/>
          </w:rPr>
          <w:id w:val="115343261"/>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 CITATION Mar171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(MARICATO, 2017)</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já vinha aquecido desde o início da década em função das medidas de expansão continuada do salário mínimo e demais políticas fiscais de incentivo ao consumo, bem como do crescimento do emprego formal e o consequente aumento da poupança interna, que avolumou os recursos disponíveis no FGTS e no SBPE, fontes importantes para o setor.  Para completar, o PAC, na esteira das políticas econômico-desenvolvimentistas, potencializou o crédito e a produção habitacionais. </w:t>
      </w:r>
      <w:proofErr w:type="spellStart"/>
      <w:r w:rsidRPr="00F436E4">
        <w:rPr>
          <w:rFonts w:ascii="Times New Roman" w:eastAsia="Calibri" w:hAnsi="Times New Roman" w:cs="Times New Roman"/>
          <w:sz w:val="24"/>
          <w:szCs w:val="24"/>
        </w:rPr>
        <w:t>Rolnik</w:t>
      </w:r>
      <w:proofErr w:type="spellEnd"/>
      <w:r w:rsidRPr="00F436E4">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400604647"/>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Rol19 \n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(2019)</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aponta que em, 2007, já eram quase 550 mil unidades financiadas pelo FGTS e pelo SBPE e, em meados de 2008, o montante de empréstimos já perfazia a monta de R$ 40 bilhões. Além disso, as incorporadoras haviam feito grandes estoques de terreno e, naquele mesmo ano, lançariam em torno de 200 mil imóveis para o chamado “segmento econômico”, que abrangia famílias com renda mensal entre quatro e dez salários mínimos – o estrato de classe mais baixa havia ficado de fora da festa. </w:t>
      </w:r>
    </w:p>
    <w:p w14:paraId="364B6D0A" w14:textId="2BAAB010" w:rsidR="0006493C" w:rsidRPr="00F436E4" w:rsidRDefault="0006493C" w:rsidP="004A522B">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Tudo parecia muito favorável ao capital imobiliário, mas eis que desponta um outro fator determinante para a análise: a crise hipotecária e financeira internacional iniciada nos Estados Unidos envolvendo os </w:t>
      </w:r>
      <w:proofErr w:type="spellStart"/>
      <w:r w:rsidRPr="00F436E4">
        <w:rPr>
          <w:rFonts w:ascii="Times New Roman" w:eastAsia="Calibri" w:hAnsi="Times New Roman" w:cs="Times New Roman"/>
          <w:i/>
          <w:iCs/>
          <w:sz w:val="24"/>
          <w:szCs w:val="24"/>
        </w:rPr>
        <w:t>subprimes</w:t>
      </w:r>
      <w:proofErr w:type="spellEnd"/>
      <w:r w:rsidR="00A80277" w:rsidRPr="00A80277">
        <w:rPr>
          <w:rFonts w:ascii="Times New Roman" w:eastAsia="Calibri" w:hAnsi="Times New Roman" w:cs="Times New Roman"/>
          <w:sz w:val="24"/>
          <w:szCs w:val="24"/>
        </w:rPr>
        <w:t xml:space="preserve">. </w:t>
      </w:r>
      <w:r w:rsidRPr="00F436E4">
        <w:rPr>
          <w:rFonts w:ascii="Times New Roman" w:eastAsia="Calibri" w:hAnsi="Times New Roman" w:cs="Times New Roman"/>
          <w:sz w:val="24"/>
          <w:szCs w:val="24"/>
        </w:rPr>
        <w:t xml:space="preserve">Essa situação se espalhou por todo o mercado financeiro num efeito dominó, afetando as empresas que estavam em processo de financeirização de suas atividades, o que era o caso de algumas grandes construtoras brasileiras, que vinham aproveitando o clima adequado para novos investimentos propiciado para o setor desde 2005 para dar início à captação de recursos expressivos na Bolsa de Valores </w:t>
      </w:r>
      <w:sdt>
        <w:sdtPr>
          <w:rPr>
            <w:rFonts w:ascii="Times New Roman" w:eastAsia="Calibri" w:hAnsi="Times New Roman" w:cs="Times New Roman"/>
            <w:sz w:val="24"/>
            <w:szCs w:val="24"/>
          </w:rPr>
          <w:id w:val="1103768988"/>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 CITATION Thê12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(ARAGÃO e CARDOSO, 2012)</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A situação ameaçava colapsar o setor e toda sua cadeia produtiva, que naquele momento era um dos pilares da estratégia econômica – e de desenvolvimento social, por tabela – do governo. </w:t>
      </w:r>
    </w:p>
    <w:p w14:paraId="06A2EA15" w14:textId="5337DD41" w:rsidR="0006493C" w:rsidRDefault="0006493C" w:rsidP="0006493C">
      <w:pPr>
        <w:tabs>
          <w:tab w:val="left" w:pos="5952"/>
        </w:tabs>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O apelo dos</w:t>
      </w:r>
      <w:r>
        <w:rPr>
          <w:rFonts w:ascii="Times New Roman" w:eastAsia="Calibri" w:hAnsi="Times New Roman" w:cs="Times New Roman"/>
          <w:sz w:val="24"/>
          <w:szCs w:val="24"/>
        </w:rPr>
        <w:t>/as</w:t>
      </w:r>
      <w:r w:rsidRPr="00F436E4">
        <w:rPr>
          <w:rFonts w:ascii="Times New Roman" w:eastAsia="Calibri" w:hAnsi="Times New Roman" w:cs="Times New Roman"/>
          <w:sz w:val="24"/>
          <w:szCs w:val="24"/>
        </w:rPr>
        <w:t xml:space="preserve"> empresários</w:t>
      </w:r>
      <w:r>
        <w:rPr>
          <w:rFonts w:ascii="Times New Roman" w:eastAsia="Calibri" w:hAnsi="Times New Roman" w:cs="Times New Roman"/>
          <w:sz w:val="24"/>
          <w:szCs w:val="24"/>
        </w:rPr>
        <w:t>/as</w:t>
      </w:r>
      <w:r w:rsidRPr="00F436E4">
        <w:rPr>
          <w:rFonts w:ascii="Times New Roman" w:eastAsia="Calibri" w:hAnsi="Times New Roman" w:cs="Times New Roman"/>
          <w:sz w:val="24"/>
          <w:szCs w:val="24"/>
        </w:rPr>
        <w:t xml:space="preserve"> passou a ser feito diretamente ao Ministério da Fazenda, com o intuito de que fosse lançad</w:t>
      </w:r>
      <w:r>
        <w:rPr>
          <w:rFonts w:ascii="Times New Roman" w:eastAsia="Calibri" w:hAnsi="Times New Roman" w:cs="Times New Roman"/>
          <w:sz w:val="24"/>
          <w:szCs w:val="24"/>
        </w:rPr>
        <w:t>a</w:t>
      </w:r>
      <w:r w:rsidRPr="00F436E4">
        <w:rPr>
          <w:rFonts w:ascii="Times New Roman" w:eastAsia="Calibri" w:hAnsi="Times New Roman" w:cs="Times New Roman"/>
          <w:sz w:val="24"/>
          <w:szCs w:val="24"/>
        </w:rPr>
        <w:t xml:space="preserve"> uma política habitacional inspirada nos modelos mexicano </w:t>
      </w:r>
      <w:r w:rsidRPr="00F436E4">
        <w:rPr>
          <w:rFonts w:ascii="Times New Roman" w:eastAsia="Calibri" w:hAnsi="Times New Roman" w:cs="Times New Roman"/>
          <w:sz w:val="24"/>
          <w:szCs w:val="24"/>
        </w:rPr>
        <w:lastRenderedPageBreak/>
        <w:t>e chileno, que possibilitasse escoar as 200 mil unidades que as construtoras capitalizadas tinham prontas para lançar no mercado, por meio de subsídios diretos ao</w:t>
      </w:r>
      <w:r>
        <w:rPr>
          <w:rFonts w:ascii="Times New Roman" w:eastAsia="Calibri" w:hAnsi="Times New Roman" w:cs="Times New Roman"/>
          <w:sz w:val="24"/>
          <w:szCs w:val="24"/>
        </w:rPr>
        <w:t>/à</w:t>
      </w:r>
      <w:r w:rsidRPr="00F436E4">
        <w:rPr>
          <w:rFonts w:ascii="Times New Roman" w:eastAsia="Calibri" w:hAnsi="Times New Roman" w:cs="Times New Roman"/>
          <w:sz w:val="24"/>
          <w:szCs w:val="24"/>
        </w:rPr>
        <w:t xml:space="preserve"> comprador</w:t>
      </w:r>
      <w:r>
        <w:rPr>
          <w:rFonts w:ascii="Times New Roman" w:eastAsia="Calibri" w:hAnsi="Times New Roman" w:cs="Times New Roman"/>
          <w:sz w:val="24"/>
          <w:szCs w:val="24"/>
        </w:rPr>
        <w:t>/a</w:t>
      </w:r>
      <w:r w:rsidRPr="00F436E4">
        <w:rPr>
          <w:rFonts w:ascii="Times New Roman" w:eastAsia="Calibri" w:hAnsi="Times New Roman" w:cs="Times New Roman"/>
          <w:sz w:val="24"/>
          <w:szCs w:val="24"/>
        </w:rPr>
        <w:t xml:space="preserve">, instituindo-se medidas que facilitassem os créditos hipotecários e introduzissem um fundo simplificador de empréstimos </w:t>
      </w:r>
      <w:sdt>
        <w:sdtPr>
          <w:rPr>
            <w:rFonts w:ascii="Times New Roman" w:eastAsia="Calibri" w:hAnsi="Times New Roman" w:cs="Times New Roman"/>
            <w:sz w:val="24"/>
            <w:szCs w:val="24"/>
          </w:rPr>
          <w:id w:val="210936186"/>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 CITATION Rol19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(ROLNIK, 2019)</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Se destacam como os dois principais agentes dessa negociação, portanto, as construtoras e empresários</w:t>
      </w:r>
      <w:r>
        <w:rPr>
          <w:rFonts w:ascii="Times New Roman" w:eastAsia="Calibri" w:hAnsi="Times New Roman" w:cs="Times New Roman"/>
          <w:sz w:val="24"/>
          <w:szCs w:val="24"/>
        </w:rPr>
        <w:t>/as</w:t>
      </w:r>
      <w:r w:rsidRPr="00F436E4">
        <w:rPr>
          <w:rFonts w:ascii="Times New Roman" w:eastAsia="Calibri" w:hAnsi="Times New Roman" w:cs="Times New Roman"/>
          <w:sz w:val="24"/>
          <w:szCs w:val="24"/>
        </w:rPr>
        <w:t xml:space="preserve"> investidores atingidos, de um lado, e, do outro, a Pasta da Fazenda, preocupada em desenhar uma medida urgente de caráter anticíclico para garantir empregos e manter estável o crescimento econômico num cenário internacional adverso. </w:t>
      </w:r>
    </w:p>
    <w:p w14:paraId="32FAEC1D" w14:textId="35514DB5" w:rsidR="0006493C" w:rsidRPr="00DB583A" w:rsidRDefault="0006493C" w:rsidP="0006493C">
      <w:pPr>
        <w:tabs>
          <w:tab w:val="left" w:pos="5952"/>
        </w:tabs>
        <w:suppressAutoHyphens/>
        <w:spacing w:after="0" w:line="360" w:lineRule="auto"/>
        <w:ind w:firstLine="708"/>
        <w:jc w:val="both"/>
        <w:rPr>
          <w:rFonts w:ascii="Times New Roman" w:hAnsi="Times New Roman"/>
          <w:sz w:val="24"/>
        </w:rPr>
      </w:pPr>
      <w:r w:rsidRPr="00F436E4">
        <w:rPr>
          <w:rFonts w:ascii="Times New Roman" w:eastAsia="Calibri" w:hAnsi="Times New Roman" w:cs="Times New Roman"/>
          <w:sz w:val="24"/>
          <w:szCs w:val="24"/>
        </w:rPr>
        <w:t xml:space="preserve">Não teve lugar na busca por alternativas à crise o então desarticulado MCidades e sua SNH, que embora estivesse trabalhando na formulação do </w:t>
      </w:r>
      <w:proofErr w:type="spellStart"/>
      <w:r w:rsidRPr="00F436E4">
        <w:rPr>
          <w:rFonts w:ascii="Times New Roman" w:eastAsia="Calibri" w:hAnsi="Times New Roman" w:cs="Times New Roman"/>
          <w:sz w:val="24"/>
          <w:szCs w:val="24"/>
        </w:rPr>
        <w:t>PlanHab</w:t>
      </w:r>
      <w:proofErr w:type="spellEnd"/>
      <w:r w:rsidRPr="00F436E4">
        <w:rPr>
          <w:rFonts w:ascii="Times New Roman" w:eastAsia="Calibri" w:hAnsi="Times New Roman" w:cs="Times New Roman"/>
          <w:sz w:val="24"/>
          <w:szCs w:val="24"/>
        </w:rPr>
        <w:t xml:space="preserve">, não foi considerada como espaço principal de referência para as ações naquele momento. Apesar do desprestígio, no entanto, o </w:t>
      </w:r>
      <w:r w:rsidRPr="00DB583A">
        <w:rPr>
          <w:rStyle w:val="corpodotextoChar"/>
        </w:rPr>
        <w:t>órgão tentou intervir, ao oferecer ao governo alternativas</w:t>
      </w:r>
      <w:r w:rsidRPr="004F7B39">
        <w:rPr>
          <w:rStyle w:val="corpodotextoChar"/>
        </w:rPr>
        <w:t xml:space="preserve">, notadamente </w:t>
      </w:r>
      <w:r w:rsidRPr="00DB583A">
        <w:rPr>
          <w:rStyle w:val="corpodotextoChar"/>
        </w:rPr>
        <w:t xml:space="preserve">amadurecidas ao longo da elaboração do </w:t>
      </w:r>
      <w:proofErr w:type="spellStart"/>
      <w:r w:rsidRPr="00DB583A">
        <w:rPr>
          <w:rStyle w:val="corpodotextoChar"/>
        </w:rPr>
        <w:t>PlanHab</w:t>
      </w:r>
      <w:proofErr w:type="spellEnd"/>
      <w:r w:rsidRPr="004F7B39">
        <w:rPr>
          <w:rStyle w:val="corpodotextoChar"/>
        </w:rPr>
        <w:t>,</w:t>
      </w:r>
      <w:r w:rsidRPr="00DB583A">
        <w:rPr>
          <w:rStyle w:val="corpodotextoChar"/>
        </w:rPr>
        <w:t xml:space="preserve"> para dinamizar a atividade econômica</w:t>
      </w:r>
      <w:r w:rsidRPr="004F7B39">
        <w:rPr>
          <w:rStyle w:val="corpodotextoChar"/>
        </w:rPr>
        <w:t>, com base</w:t>
      </w:r>
      <w:r w:rsidRPr="00DB583A">
        <w:rPr>
          <w:rStyle w:val="corpodotextoChar"/>
        </w:rPr>
        <w:t xml:space="preserve"> em experiências acumuladas anteriormente por seus técnicos em projetos como o Brasil Habitar</w:t>
      </w:r>
      <w:r>
        <w:rPr>
          <w:rStyle w:val="corpodotextoChar"/>
        </w:rPr>
        <w:t>,</w:t>
      </w:r>
      <w:r w:rsidRPr="00DB583A">
        <w:rPr>
          <w:rStyle w:val="corpodotextoChar"/>
        </w:rPr>
        <w:t xml:space="preserve"> desenvolvido por meio de convênio com o Banco Interamericano de Desenvolvimento (BID)</w:t>
      </w:r>
      <w:r>
        <w:rPr>
          <w:rStyle w:val="corpodotextoChar"/>
        </w:rPr>
        <w:t xml:space="preserve">, </w:t>
      </w:r>
      <w:r w:rsidRPr="00DB583A">
        <w:rPr>
          <w:rStyle w:val="corpodotextoChar"/>
        </w:rPr>
        <w:t>na gestão do Programa de Subsídio à Habitação de Interesse Social (PSH) e mesmo no PAC</w:t>
      </w:r>
      <w:r>
        <w:rPr>
          <w:rStyle w:val="corpodotextoChar"/>
        </w:rPr>
        <w:t>,</w:t>
      </w:r>
      <w:r w:rsidRPr="00DB583A">
        <w:rPr>
          <w:rStyle w:val="corpodotextoChar"/>
        </w:rPr>
        <w:t xml:space="preserve"> voltado para ações de urbanização de favelas </w:t>
      </w:r>
      <w:sdt>
        <w:sdtPr>
          <w:rPr>
            <w:rStyle w:val="corpodotextoChar"/>
          </w:rPr>
          <w:id w:val="887749005"/>
          <w:citation/>
        </w:sdtPr>
        <w:sdtContent>
          <w:r w:rsidRPr="00DB583A">
            <w:rPr>
              <w:rStyle w:val="corpodotextoChar"/>
            </w:rPr>
            <w:fldChar w:fldCharType="begin"/>
          </w:r>
          <w:r w:rsidRPr="004F7B39">
            <w:rPr>
              <w:rStyle w:val="corpodotextoChar"/>
            </w:rPr>
            <w:instrText xml:space="preserve">CITATION Mar13 \p 18 \l 1046 </w:instrText>
          </w:r>
          <w:r w:rsidRPr="00DB583A">
            <w:rPr>
              <w:rStyle w:val="corpodotextoChar"/>
            </w:rPr>
            <w:fldChar w:fldCharType="separate"/>
          </w:r>
          <w:r w:rsidR="004438B9" w:rsidRPr="004438B9">
            <w:rPr>
              <w:rFonts w:ascii="Times New Roman" w:hAnsi="Times New Roman" w:cs="Times New Roman"/>
              <w:noProof/>
              <w:color w:val="000000" w:themeColor="text1"/>
              <w:sz w:val="24"/>
              <w:szCs w:val="24"/>
              <w:lang w:eastAsia="en-US"/>
            </w:rPr>
            <w:t>(LOUREIRO, MACÁRIO e GUERRA, 2013, p. 18)</w:t>
          </w:r>
          <w:r w:rsidRPr="00DB583A">
            <w:rPr>
              <w:rStyle w:val="corpodotextoChar"/>
            </w:rPr>
            <w:fldChar w:fldCharType="end"/>
          </w:r>
        </w:sdtContent>
      </w:sdt>
      <w:r>
        <w:rPr>
          <w:rFonts w:ascii="Times New Roman" w:eastAsia="Calibri" w:hAnsi="Times New Roman" w:cs="Times New Roman"/>
          <w:sz w:val="24"/>
          <w:szCs w:val="24"/>
        </w:rPr>
        <w:t>.</w:t>
      </w:r>
    </w:p>
    <w:p w14:paraId="5F40EF1F" w14:textId="77777777" w:rsidR="0006493C" w:rsidRPr="00F436E4" w:rsidRDefault="0006493C" w:rsidP="0006493C">
      <w:pPr>
        <w:tabs>
          <w:tab w:val="left" w:pos="5952"/>
        </w:tabs>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 De igual modo, não teve espaço o ConCidades, que já havia perdido lugar na definição dos rumos da política habitacional desde o final do Governo Lula 1. Sequer se aventou a possibilidade de articular uma integração entre o novo programa de ação e o SNHIS, já que a sua estrutura institucional, como já descrito, era mais complexa e demandava uma ação interfederativa em longo prazo que não estava bem estabelecida. Além disso, as premissas do SNHIS não concorriam imediatamente para o objetivo posto em xeque: salvar o setor da construção civil de uma derrocada que poderia comprometer o crescimento econômico experimentado pelo país nos últimos anos.</w:t>
      </w:r>
    </w:p>
    <w:p w14:paraId="182CB929" w14:textId="5C38E53F" w:rsidR="0006493C" w:rsidRPr="00F436E4" w:rsidRDefault="0006493C" w:rsidP="00A80277">
      <w:pPr>
        <w:tabs>
          <w:tab w:val="left" w:pos="5952"/>
        </w:tabs>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Quando o pacote habitacional ainda sem nome foi apresentado à Presidência, a proposta ganhou contornos de maior apelo social e político, sendo determinada a construção de 1 milhão de moradias e a ampliação do número daquelas que seriam destinadas à população de baixa renda. A Faixa 1</w:t>
      </w:r>
      <w:r w:rsidR="00A80277">
        <w:rPr>
          <w:rFonts w:ascii="Times New Roman" w:eastAsia="Calibri" w:hAnsi="Times New Roman" w:cs="Times New Roman"/>
          <w:sz w:val="24"/>
          <w:szCs w:val="24"/>
        </w:rPr>
        <w:t xml:space="preserve"> </w:t>
      </w:r>
      <w:r w:rsidRPr="00F436E4">
        <w:rPr>
          <w:rFonts w:ascii="Times New Roman" w:eastAsia="Calibri" w:hAnsi="Times New Roman" w:cs="Times New Roman"/>
          <w:sz w:val="24"/>
          <w:szCs w:val="24"/>
        </w:rPr>
        <w:t xml:space="preserve">foi acrescentada nesse momento: dirigida às famílias de baixíssima renda, elas seriam totalmente subsidiadas e por fora do crédito hipotecário, nos moldes do que a CEF já operacionalizava, com poucos subsídios, a partir de recursos do PAR. É preciso destacar que essa decisão também teve apoio logístico da SNH, que havia elaborado uma série de diagnósticos para o </w:t>
      </w:r>
      <w:proofErr w:type="spellStart"/>
      <w:r w:rsidRPr="00F436E4">
        <w:rPr>
          <w:rFonts w:ascii="Times New Roman" w:eastAsia="Calibri" w:hAnsi="Times New Roman" w:cs="Times New Roman"/>
          <w:sz w:val="24"/>
          <w:szCs w:val="24"/>
        </w:rPr>
        <w:t>PlanHab</w:t>
      </w:r>
      <w:proofErr w:type="spellEnd"/>
      <w:r w:rsidRPr="00F436E4">
        <w:rPr>
          <w:rFonts w:ascii="Times New Roman" w:eastAsia="Calibri" w:hAnsi="Times New Roman" w:cs="Times New Roman"/>
          <w:sz w:val="24"/>
          <w:szCs w:val="24"/>
        </w:rPr>
        <w:t xml:space="preserve">. Nessas linhas, se desenhava inicialmente o </w:t>
      </w:r>
      <w:r w:rsidR="00A80277">
        <w:rPr>
          <w:rFonts w:ascii="Times New Roman" w:eastAsia="Calibri" w:hAnsi="Times New Roman" w:cs="Times New Roman"/>
          <w:sz w:val="24"/>
          <w:szCs w:val="24"/>
        </w:rPr>
        <w:t>PMCMV</w:t>
      </w:r>
      <w:r w:rsidRPr="00F436E4">
        <w:rPr>
          <w:rFonts w:ascii="Times New Roman" w:eastAsia="Calibri" w:hAnsi="Times New Roman" w:cs="Times New Roman"/>
          <w:sz w:val="24"/>
          <w:szCs w:val="24"/>
        </w:rPr>
        <w:t xml:space="preserve">. </w:t>
      </w:r>
    </w:p>
    <w:p w14:paraId="06C80582" w14:textId="5FA09688" w:rsidR="0006493C" w:rsidRPr="00F436E4" w:rsidRDefault="0006493C" w:rsidP="0006493C">
      <w:pPr>
        <w:suppressAutoHyphens/>
        <w:spacing w:after="0" w:line="360" w:lineRule="auto"/>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lastRenderedPageBreak/>
        <w:tab/>
        <w:t>O desenho institucional da política foi articulado, em síntese, pela alta burocracia da Casa Civil, cuja estrutura havia sido alargada nos anos anteriores, a partir dos encaminhamentos resultantes das negociações entre o Ministério da Fazenda e as construtoras, que contavam com estoque de terrenos, abertura de capitais e começaram a criar grandes expectativas em torno do Programa. Ao referido órgão coube o papel de articulador das demandas dos grupos empresariais e de coordenador das políticas para dinamizar a atividade econômica, enquanto que ao Ministério da Fazenda coube a regulamentação das medidas necessárias para o anúncio do PMCMV.</w:t>
      </w:r>
    </w:p>
    <w:p w14:paraId="120588A7" w14:textId="6EEDD7AD" w:rsidR="0006493C" w:rsidRPr="004A522B" w:rsidRDefault="0006493C" w:rsidP="004A522B">
      <w:pPr>
        <w:suppressAutoHyphens/>
        <w:spacing w:after="0" w:line="360" w:lineRule="auto"/>
        <w:jc w:val="both"/>
        <w:rPr>
          <w:rFonts w:ascii="Times New Roman" w:eastAsia="Calibri" w:hAnsi="Times New Roman" w:cs="Times New Roman"/>
          <w:sz w:val="20"/>
          <w:szCs w:val="20"/>
        </w:rPr>
      </w:pPr>
      <w:r w:rsidRPr="00F436E4">
        <w:rPr>
          <w:rFonts w:ascii="Times New Roman" w:eastAsia="Calibri" w:hAnsi="Times New Roman" w:cs="Times New Roman"/>
          <w:sz w:val="24"/>
          <w:szCs w:val="24"/>
        </w:rPr>
        <w:tab/>
        <w:t>Encerrados os debates e etapas intragovernamentais, em março de 2009 foi apresentado o novo programa de provisão habitacional do Brasil</w:t>
      </w:r>
      <w:r w:rsidR="004A522B">
        <w:rPr>
          <w:rFonts w:ascii="Times New Roman" w:eastAsia="Calibri" w:hAnsi="Times New Roman" w:cs="Times New Roman"/>
          <w:sz w:val="20"/>
          <w:szCs w:val="20"/>
        </w:rPr>
        <w:t xml:space="preserve">. </w:t>
      </w:r>
      <w:r w:rsidRPr="00F436E4">
        <w:rPr>
          <w:rFonts w:ascii="Times New Roman" w:eastAsia="Calibri" w:hAnsi="Times New Roman" w:cs="Times New Roman"/>
          <w:sz w:val="24"/>
          <w:szCs w:val="24"/>
        </w:rPr>
        <w:t xml:space="preserve">A inegável tônica keynesiana de crescimento econômico e geração de empregos articulada com a oferta de moradia, demanda popular histórica, fez com que o </w:t>
      </w:r>
      <w:r w:rsidR="00A80277">
        <w:rPr>
          <w:rFonts w:ascii="Times New Roman" w:eastAsia="Calibri" w:hAnsi="Times New Roman" w:cs="Times New Roman"/>
          <w:sz w:val="24"/>
          <w:szCs w:val="24"/>
        </w:rPr>
        <w:t>Programa</w:t>
      </w:r>
      <w:r w:rsidRPr="00F436E4">
        <w:rPr>
          <w:rFonts w:ascii="Times New Roman" w:eastAsia="Calibri" w:hAnsi="Times New Roman" w:cs="Times New Roman"/>
          <w:sz w:val="24"/>
          <w:szCs w:val="24"/>
        </w:rPr>
        <w:t xml:space="preserve"> fosse recebido como uma das mais importantes ações no campo econômico e social do Governo Lula. A expectativa era aquecer não somente o setor da construção civil, mas também a indústria de materiais que a alimentava e a de eletrodomésticos e mobiliário que a sucedia.</w:t>
      </w:r>
    </w:p>
    <w:p w14:paraId="79582031" w14:textId="0C6EF727" w:rsidR="0006493C" w:rsidRPr="00F436E4" w:rsidRDefault="0006493C" w:rsidP="0006493C">
      <w:pPr>
        <w:suppressAutoHyphens/>
        <w:spacing w:after="0" w:line="360" w:lineRule="auto"/>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ab/>
        <w:t xml:space="preserve">É interessante destacar dois movimentos nesse processo: primeiro, que não foi a troca de liderança no MCidades, motivada pelas necessidades do governo de manter sólida a sua base de apoio no Congresso Nacional, a principal razão da mudança de perspectiva no trato com as políticas habitacionais; segundo, que o fragilizado MCidades também não poderia ser simplesmente desmontado de uma hora para outra, pois aquele também era um espaço de legitimação política. O caminho do meio encontrado foi o de acomodar as diferentes linhas de atuação e seus respectivos atores: manteve-se o SNHIS como um emaranhado de regras sem efetividade e também sem força financeira e política para orientar e gerir as novas políticas habitacionais; manteve-se a SNH, esvaziada de competências em um Ministério que não era instado a decidir sobre as suas pautas originais e ocupada na confecção do </w:t>
      </w:r>
      <w:proofErr w:type="spellStart"/>
      <w:r w:rsidRPr="00F436E4">
        <w:rPr>
          <w:rFonts w:ascii="Times New Roman" w:eastAsia="Calibri" w:hAnsi="Times New Roman" w:cs="Times New Roman"/>
          <w:sz w:val="24"/>
          <w:szCs w:val="24"/>
        </w:rPr>
        <w:t>PlanHab</w:t>
      </w:r>
      <w:proofErr w:type="spellEnd"/>
      <w:r w:rsidRPr="00F436E4">
        <w:rPr>
          <w:rFonts w:ascii="Times New Roman" w:eastAsia="Calibri" w:hAnsi="Times New Roman" w:cs="Times New Roman"/>
          <w:sz w:val="24"/>
          <w:szCs w:val="24"/>
        </w:rPr>
        <w:t xml:space="preserve"> (que viria ser lançado em dezembro de 2009 e não teve o seu conjunto das estratégias para equacionar o problema habitacional consideradas), mas distante do acompanhamento das tratativas que encaminharam os novos rumos das políticas do setor; e paralelamente, no seio da Casa Civil e Ministério da Fazenda, se criava no maior programa habitacional do país, cuja transferência de recursos não passaria pelos SNHIS e pelo FNHIS, enfraquecendo-os institucionalmente. </w:t>
      </w:r>
    </w:p>
    <w:p w14:paraId="44D7FA7A" w14:textId="77777777" w:rsidR="0006493C" w:rsidRPr="00F436E4" w:rsidRDefault="0006493C" w:rsidP="0006493C">
      <w:pPr>
        <w:suppressAutoHyphens/>
        <w:spacing w:after="0" w:line="360" w:lineRule="auto"/>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ab/>
        <w:t xml:space="preserve">Com a retirada silenciosa da capacidade decisória e de atuação do SNHIS do centro da política habitacional brasileira, os municípios também perderam o interesse em atender ao que ele exigia – que guardava consonância com o Estatuto da Cidade e com o PNH – e passaram a correr atrás de angariar o maior número possível de unidades do PMCMV. Do ponto de vista </w:t>
      </w:r>
      <w:r w:rsidRPr="00F436E4">
        <w:rPr>
          <w:rFonts w:ascii="Times New Roman" w:eastAsia="Calibri" w:hAnsi="Times New Roman" w:cs="Times New Roman"/>
          <w:sz w:val="24"/>
          <w:szCs w:val="24"/>
        </w:rPr>
        <w:lastRenderedPageBreak/>
        <w:t xml:space="preserve">estratégico, o paulatino desarranjo de uma institucionalidade em função de outra é menos oneroso politicamente ao governo, que se desgastou menos ao deixar de encarar o tensionamento com os movimentos por reforma urbana. Essas manobras serviam, tanto para manter a coalizão de forças político-partidárias que não poderia ser abandonada, como para persuadir a sua própria base militante. </w:t>
      </w:r>
    </w:p>
    <w:p w14:paraId="2CB0EBC5" w14:textId="5549C168" w:rsidR="0006493C" w:rsidRPr="00F436E4" w:rsidRDefault="0006493C" w:rsidP="0006493C">
      <w:pPr>
        <w:suppressAutoHyphens/>
        <w:spacing w:after="0" w:line="360" w:lineRule="auto"/>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ab/>
        <w:t xml:space="preserve">Essa ordem de acontecimentos pode ser explicada pela ideia de </w:t>
      </w:r>
      <w:proofErr w:type="spellStart"/>
      <w:r w:rsidRPr="00F436E4">
        <w:rPr>
          <w:rFonts w:ascii="Times New Roman" w:eastAsia="Calibri" w:hAnsi="Times New Roman" w:cs="Times New Roman"/>
          <w:i/>
          <w:iCs/>
          <w:sz w:val="24"/>
          <w:szCs w:val="24"/>
          <w:u w:val="single"/>
        </w:rPr>
        <w:t>decoupling</w:t>
      </w:r>
      <w:proofErr w:type="spellEnd"/>
      <w:r w:rsidRPr="00F436E4">
        <w:rPr>
          <w:rFonts w:ascii="Times New Roman" w:eastAsia="Calibri" w:hAnsi="Times New Roman" w:cs="Times New Roman"/>
          <w:sz w:val="24"/>
          <w:szCs w:val="24"/>
        </w:rPr>
        <w:t xml:space="preserve"> desenvolvida por Meyer e Rowan </w:t>
      </w:r>
      <w:sdt>
        <w:sdtPr>
          <w:rPr>
            <w:rFonts w:ascii="Times New Roman" w:eastAsia="Calibri" w:hAnsi="Times New Roman" w:cs="Times New Roman"/>
            <w:sz w:val="24"/>
            <w:szCs w:val="24"/>
          </w:rPr>
          <w:id w:val="2071601039"/>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CITATION Joh77 \n  \t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(1977)</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xml:space="preserve">, na qual há um respeito “ritualístico” às regras originárias, que </w:t>
      </w:r>
      <w:r w:rsidRPr="00F0011D">
        <w:rPr>
          <w:rStyle w:val="corpodotextoChar"/>
        </w:rPr>
        <w:t xml:space="preserve">apesar de não serem as disposições que comandam as instituições, permanecem como uma espécie de direção moral da política. </w:t>
      </w:r>
    </w:p>
    <w:p w14:paraId="609CD570" w14:textId="77777777" w:rsidR="0006493C" w:rsidRPr="00F436E4" w:rsidRDefault="0006493C" w:rsidP="0006493C">
      <w:pPr>
        <w:suppressAutoHyphens/>
        <w:spacing w:after="0" w:line="360" w:lineRule="auto"/>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ab/>
        <w:t>Muito mais significativo do que a manutenção figurativa do SNHIS para demonstrar que as propostas instituídas pelo núcleo original do MCidades não haviam sido desmobilizadas por completo, foi a adoção dos critérios socialmente inclusivos no PMCMV, numa tentativa delicada – e arriscada – de costura de interesses aparentemente inegociáveis, de bases que não dialogavam. Essa opção teve um duplo efeito: mascarar a negligência sofrida pelo setor habitacional desde o Governo Lula 1, com os constantes contingenciamentos de recursos e a desarticulação com Mistérios estratégicos para implementação de políticas substantivas para as camadas mais baixas de renda; e sustentar, no momento de apresentação do Programa, o consenso básico em torno do governo e o relacionamento com os seus pilares eleitorais, que naquele momento era composto substancialmente pela classe trabalhadora e por pequenos</w:t>
      </w:r>
      <w:r>
        <w:rPr>
          <w:rFonts w:ascii="Times New Roman" w:eastAsia="Calibri" w:hAnsi="Times New Roman" w:cs="Times New Roman"/>
          <w:sz w:val="24"/>
          <w:szCs w:val="24"/>
        </w:rPr>
        <w:t>/as</w:t>
      </w:r>
      <w:r w:rsidRPr="00F436E4">
        <w:rPr>
          <w:rFonts w:ascii="Times New Roman" w:eastAsia="Calibri" w:hAnsi="Times New Roman" w:cs="Times New Roman"/>
          <w:sz w:val="24"/>
          <w:szCs w:val="24"/>
        </w:rPr>
        <w:t xml:space="preserve"> empresários</w:t>
      </w:r>
      <w:r>
        <w:rPr>
          <w:rFonts w:ascii="Times New Roman" w:eastAsia="Calibri" w:hAnsi="Times New Roman" w:cs="Times New Roman"/>
          <w:sz w:val="24"/>
          <w:szCs w:val="24"/>
        </w:rPr>
        <w:t>/as</w:t>
      </w:r>
      <w:r w:rsidRPr="00F436E4">
        <w:rPr>
          <w:rFonts w:ascii="Times New Roman" w:eastAsia="Calibri" w:hAnsi="Times New Roman" w:cs="Times New Roman"/>
          <w:sz w:val="24"/>
          <w:szCs w:val="24"/>
        </w:rPr>
        <w:t>, conquistados pelas políticas que permitiram o aumento do consumo e por aquelas de cunho desenvolvimentista no setor social.</w:t>
      </w:r>
      <w:r w:rsidRPr="00F436E4">
        <w:rPr>
          <w:rFonts w:ascii="Times New Roman" w:eastAsia="Calibri" w:hAnsi="Times New Roman" w:cs="Times New Roman"/>
          <w:sz w:val="24"/>
          <w:szCs w:val="24"/>
        </w:rPr>
        <w:tab/>
      </w:r>
    </w:p>
    <w:p w14:paraId="7BB51EF2" w14:textId="77777777" w:rsidR="0006493C" w:rsidRPr="00F436E4" w:rsidRDefault="0006493C" w:rsidP="0006493C">
      <w:pPr>
        <w:suppressAutoHyphens/>
        <w:spacing w:after="0" w:line="360" w:lineRule="auto"/>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ab/>
        <w:t>O risco, por sua vez, era o de se perder no labirinto institucional criado pelo próprio governo para implementar os objetivos sociais prometidos, ante as concessões feitas ao desgarrar um programa também anunciado como de provisão de habitações de interesse social das estruturas institucionalizadas e politicamente engajadas com o setor, como o PNH, o SNHIS e o FNHIS, produzidos no âmbito da SNH, que foi chamada</w:t>
      </w:r>
      <w:r>
        <w:rPr>
          <w:rFonts w:ascii="Times New Roman" w:eastAsia="Calibri" w:hAnsi="Times New Roman" w:cs="Times New Roman"/>
          <w:sz w:val="24"/>
          <w:szCs w:val="24"/>
        </w:rPr>
        <w:t xml:space="preserve"> a</w:t>
      </w:r>
      <w:r w:rsidRPr="00F436E4">
        <w:rPr>
          <w:rFonts w:ascii="Times New Roman" w:eastAsia="Calibri" w:hAnsi="Times New Roman" w:cs="Times New Roman"/>
          <w:sz w:val="24"/>
          <w:szCs w:val="24"/>
        </w:rPr>
        <w:t xml:space="preserve"> contribuir apenas depois de elaborada a macroestrutura de funcionamento do Programa. Diante disso, restou o deslocamento dos compromissos com as pautas levantadas por movimentos de moradia e pelo FNRU para outras fases decisórias do processo, posteriores à formulação original da política pública, num esforço de firmar acordos setoriais que dessem conta das negociações não realizadas previamente sem sobrecarregar ou romper a coalizão. </w:t>
      </w:r>
    </w:p>
    <w:p w14:paraId="07F360DB" w14:textId="098D8E46" w:rsidR="0006493C" w:rsidRPr="00F436E4" w:rsidRDefault="0006493C" w:rsidP="00A80277">
      <w:pPr>
        <w:suppressAutoHyphens/>
        <w:spacing w:after="0" w:line="360" w:lineRule="auto"/>
        <w:ind w:firstLine="708"/>
        <w:jc w:val="both"/>
        <w:rPr>
          <w:rFonts w:ascii="Times New Roman" w:eastAsia="Calibri" w:hAnsi="Times New Roman" w:cs="Times New Roman"/>
          <w:sz w:val="24"/>
          <w:szCs w:val="24"/>
        </w:rPr>
      </w:pPr>
      <w:r w:rsidRPr="00F436E4">
        <w:rPr>
          <w:rFonts w:ascii="Times New Roman" w:eastAsia="Calibri" w:hAnsi="Times New Roman" w:cs="Times New Roman"/>
          <w:sz w:val="24"/>
          <w:szCs w:val="24"/>
        </w:rPr>
        <w:t xml:space="preserve">Esse distanciamento entre as posições ideológicas e programáticas refletiu nos resultados urbanos efetivamente concretizados, mas não interferiu não no processo de estabilização jurídico-institucional do PMCMV, até porque ele foi gestado no âmbito do PAC, </w:t>
      </w:r>
      <w:r w:rsidRPr="00F436E4">
        <w:rPr>
          <w:rFonts w:ascii="Times New Roman" w:eastAsia="Calibri" w:hAnsi="Times New Roman" w:cs="Times New Roman"/>
          <w:sz w:val="24"/>
          <w:szCs w:val="24"/>
        </w:rPr>
        <w:lastRenderedPageBreak/>
        <w:t xml:space="preserve">e o recebimento desse “selo”  significou que ele seria incluído em um processo de monitoramento intensivo, coordenado pela Casa Civil e por vários outros colegiados de acompanhamento, e que estaria isento de quaisquer contingenciamentos orçamentários </w:t>
      </w:r>
      <w:sdt>
        <w:sdtPr>
          <w:rPr>
            <w:rFonts w:ascii="Times New Roman" w:eastAsia="Calibri" w:hAnsi="Times New Roman" w:cs="Times New Roman"/>
            <w:sz w:val="24"/>
            <w:szCs w:val="24"/>
          </w:rPr>
          <w:id w:val="1379771952"/>
          <w:citation/>
        </w:sdtPr>
        <w:sdtContent>
          <w:r w:rsidRPr="00F436E4">
            <w:rPr>
              <w:rFonts w:ascii="Times New Roman" w:eastAsia="Calibri" w:hAnsi="Times New Roman" w:cs="Times New Roman"/>
              <w:sz w:val="24"/>
              <w:szCs w:val="24"/>
            </w:rPr>
            <w:fldChar w:fldCharType="begin"/>
          </w:r>
          <w:r w:rsidRPr="00F436E4">
            <w:rPr>
              <w:rFonts w:ascii="Times New Roman" w:eastAsia="Calibri" w:hAnsi="Times New Roman" w:cs="Times New Roman"/>
              <w:sz w:val="24"/>
              <w:szCs w:val="24"/>
            </w:rPr>
            <w:instrText xml:space="preserve"> CITATION Lou15 \l 1046 </w:instrText>
          </w:r>
          <w:r w:rsidRPr="00F436E4">
            <w:rPr>
              <w:rFonts w:ascii="Times New Roman" w:eastAsia="Calibri" w:hAnsi="Times New Roman" w:cs="Times New Roman"/>
              <w:sz w:val="24"/>
              <w:szCs w:val="24"/>
            </w:rPr>
            <w:fldChar w:fldCharType="separate"/>
          </w:r>
          <w:r w:rsidR="004438B9" w:rsidRPr="004438B9">
            <w:rPr>
              <w:rFonts w:ascii="Times New Roman" w:eastAsia="Calibri" w:hAnsi="Times New Roman" w:cs="Times New Roman"/>
              <w:noProof/>
              <w:sz w:val="24"/>
              <w:szCs w:val="24"/>
            </w:rPr>
            <w:t>(LOUREIRO, MACÁRIO e GUERRA, 2015)</w:t>
          </w:r>
          <w:r w:rsidRPr="00F436E4">
            <w:rPr>
              <w:rFonts w:ascii="Times New Roman" w:eastAsia="Calibri" w:hAnsi="Times New Roman" w:cs="Times New Roman"/>
              <w:sz w:val="24"/>
              <w:szCs w:val="24"/>
            </w:rPr>
            <w:fldChar w:fldCharType="end"/>
          </w:r>
        </w:sdtContent>
      </w:sdt>
      <w:r w:rsidRPr="00F436E4">
        <w:rPr>
          <w:rFonts w:ascii="Times New Roman" w:eastAsia="Calibri" w:hAnsi="Times New Roman" w:cs="Times New Roman"/>
          <w:sz w:val="24"/>
          <w:szCs w:val="24"/>
        </w:rPr>
        <w:t>. Os elementos processo de racionalização do poder apresentados até aqui podem ser esquematizados da seguinte maneira:</w:t>
      </w:r>
    </w:p>
    <w:p w14:paraId="2571872D" w14:textId="77777777" w:rsidR="0006493C" w:rsidRDefault="0006493C" w:rsidP="003153E2"/>
    <w:p w14:paraId="5E1E3953" w14:textId="06335B8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7B4B0B87"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754996EE"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056A636A"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5A689BB1"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30277C19"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60BB3EC0"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195DDB41"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6203FC86"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47F35FCF" w14:textId="082FB275"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28DDF232" w14:textId="65A12AC6" w:rsidR="00692CE5" w:rsidRDefault="00692CE5" w:rsidP="0006493C">
      <w:pPr>
        <w:suppressAutoHyphens/>
        <w:spacing w:after="0" w:line="360" w:lineRule="auto"/>
        <w:jc w:val="center"/>
        <w:rPr>
          <w:rFonts w:ascii="Times New Roman" w:eastAsia="Calibri" w:hAnsi="Times New Roman" w:cs="Times New Roman"/>
          <w:b/>
          <w:bCs/>
          <w:sz w:val="24"/>
          <w:szCs w:val="24"/>
        </w:rPr>
      </w:pPr>
    </w:p>
    <w:p w14:paraId="72F2DA20" w14:textId="69A6E28D" w:rsidR="00692CE5" w:rsidRDefault="00692CE5" w:rsidP="0006493C">
      <w:pPr>
        <w:suppressAutoHyphens/>
        <w:spacing w:after="0" w:line="360" w:lineRule="auto"/>
        <w:jc w:val="center"/>
        <w:rPr>
          <w:rFonts w:ascii="Times New Roman" w:eastAsia="Calibri" w:hAnsi="Times New Roman" w:cs="Times New Roman"/>
          <w:b/>
          <w:bCs/>
          <w:sz w:val="24"/>
          <w:szCs w:val="24"/>
        </w:rPr>
      </w:pPr>
    </w:p>
    <w:p w14:paraId="424E2ED6" w14:textId="4C67ABFF" w:rsidR="00692CE5" w:rsidRDefault="00692CE5" w:rsidP="0006493C">
      <w:pPr>
        <w:suppressAutoHyphens/>
        <w:spacing w:after="0" w:line="360" w:lineRule="auto"/>
        <w:jc w:val="center"/>
        <w:rPr>
          <w:rFonts w:ascii="Times New Roman" w:eastAsia="Calibri" w:hAnsi="Times New Roman" w:cs="Times New Roman"/>
          <w:b/>
          <w:bCs/>
          <w:sz w:val="24"/>
          <w:szCs w:val="24"/>
        </w:rPr>
      </w:pPr>
    </w:p>
    <w:p w14:paraId="403E30D3" w14:textId="2CE3EAAA" w:rsidR="00692CE5" w:rsidRDefault="00692CE5" w:rsidP="0006493C">
      <w:pPr>
        <w:suppressAutoHyphens/>
        <w:spacing w:after="0" w:line="360" w:lineRule="auto"/>
        <w:jc w:val="center"/>
        <w:rPr>
          <w:rFonts w:ascii="Times New Roman" w:eastAsia="Calibri" w:hAnsi="Times New Roman" w:cs="Times New Roman"/>
          <w:b/>
          <w:bCs/>
          <w:sz w:val="24"/>
          <w:szCs w:val="24"/>
        </w:rPr>
      </w:pPr>
    </w:p>
    <w:p w14:paraId="3EAE57B2" w14:textId="77777777" w:rsidR="00692CE5" w:rsidRDefault="00692CE5" w:rsidP="0006493C">
      <w:pPr>
        <w:suppressAutoHyphens/>
        <w:spacing w:after="0" w:line="360" w:lineRule="auto"/>
        <w:jc w:val="center"/>
        <w:rPr>
          <w:rFonts w:ascii="Times New Roman" w:eastAsia="Calibri" w:hAnsi="Times New Roman" w:cs="Times New Roman"/>
          <w:b/>
          <w:bCs/>
          <w:sz w:val="24"/>
          <w:szCs w:val="24"/>
        </w:rPr>
      </w:pPr>
    </w:p>
    <w:p w14:paraId="0B1716E0" w14:textId="77777777" w:rsidR="0006493C" w:rsidRDefault="0006493C" w:rsidP="0006493C">
      <w:pPr>
        <w:suppressAutoHyphens/>
        <w:spacing w:after="0" w:line="360" w:lineRule="auto"/>
        <w:jc w:val="center"/>
        <w:rPr>
          <w:rFonts w:ascii="Times New Roman" w:eastAsia="Calibri" w:hAnsi="Times New Roman" w:cs="Times New Roman"/>
          <w:b/>
          <w:bCs/>
          <w:sz w:val="24"/>
          <w:szCs w:val="24"/>
        </w:rPr>
      </w:pPr>
    </w:p>
    <w:p w14:paraId="352675A2" w14:textId="77777777" w:rsidR="002E6546" w:rsidRDefault="002E6546" w:rsidP="0006493C">
      <w:pPr>
        <w:suppressAutoHyphens/>
        <w:spacing w:after="0" w:line="360" w:lineRule="auto"/>
        <w:jc w:val="center"/>
        <w:rPr>
          <w:rFonts w:ascii="Times New Roman" w:eastAsia="Calibri" w:hAnsi="Times New Roman" w:cs="Times New Roman"/>
          <w:b/>
          <w:bCs/>
          <w:sz w:val="24"/>
          <w:szCs w:val="24"/>
        </w:rPr>
      </w:pPr>
    </w:p>
    <w:p w14:paraId="65DCCAA0" w14:textId="77777777" w:rsidR="002E6546" w:rsidRDefault="002E6546" w:rsidP="0006493C">
      <w:pPr>
        <w:suppressAutoHyphens/>
        <w:spacing w:after="0" w:line="360" w:lineRule="auto"/>
        <w:jc w:val="center"/>
        <w:rPr>
          <w:rFonts w:ascii="Times New Roman" w:eastAsia="Calibri" w:hAnsi="Times New Roman" w:cs="Times New Roman"/>
          <w:b/>
          <w:bCs/>
          <w:sz w:val="24"/>
          <w:szCs w:val="24"/>
        </w:rPr>
      </w:pPr>
    </w:p>
    <w:p w14:paraId="22A5BC48" w14:textId="77777777" w:rsidR="002E6546" w:rsidRDefault="002E6546" w:rsidP="0006493C">
      <w:pPr>
        <w:suppressAutoHyphens/>
        <w:spacing w:after="0" w:line="360" w:lineRule="auto"/>
        <w:jc w:val="center"/>
        <w:rPr>
          <w:rFonts w:ascii="Times New Roman" w:eastAsia="Calibri" w:hAnsi="Times New Roman" w:cs="Times New Roman"/>
          <w:b/>
          <w:bCs/>
          <w:sz w:val="24"/>
          <w:szCs w:val="24"/>
        </w:rPr>
      </w:pPr>
    </w:p>
    <w:p w14:paraId="44D18A62" w14:textId="77777777" w:rsidR="002E6546" w:rsidRDefault="002E6546" w:rsidP="0006493C">
      <w:pPr>
        <w:suppressAutoHyphens/>
        <w:spacing w:after="0" w:line="360" w:lineRule="auto"/>
        <w:jc w:val="center"/>
        <w:rPr>
          <w:rFonts w:ascii="Times New Roman" w:eastAsia="Calibri" w:hAnsi="Times New Roman" w:cs="Times New Roman"/>
          <w:b/>
          <w:bCs/>
          <w:sz w:val="24"/>
          <w:szCs w:val="24"/>
        </w:rPr>
      </w:pPr>
    </w:p>
    <w:p w14:paraId="3473C0E4" w14:textId="77777777" w:rsidR="002E6546" w:rsidRDefault="002E6546" w:rsidP="00A80277">
      <w:pPr>
        <w:suppressAutoHyphens/>
        <w:spacing w:after="0" w:line="360" w:lineRule="auto"/>
        <w:rPr>
          <w:rFonts w:ascii="Times New Roman" w:eastAsia="Calibri" w:hAnsi="Times New Roman" w:cs="Times New Roman"/>
          <w:b/>
          <w:bCs/>
          <w:sz w:val="24"/>
          <w:szCs w:val="24"/>
        </w:rPr>
      </w:pPr>
    </w:p>
    <w:p w14:paraId="5A99D89A" w14:textId="53036EBE" w:rsidR="002E6546" w:rsidRDefault="002E6546" w:rsidP="0006493C">
      <w:pPr>
        <w:suppressAutoHyphens/>
        <w:spacing w:after="0" w:line="360" w:lineRule="auto"/>
        <w:jc w:val="center"/>
        <w:rPr>
          <w:rFonts w:ascii="Times New Roman" w:eastAsia="Calibri" w:hAnsi="Times New Roman" w:cs="Times New Roman"/>
          <w:b/>
          <w:bCs/>
          <w:sz w:val="24"/>
          <w:szCs w:val="24"/>
        </w:rPr>
      </w:pPr>
    </w:p>
    <w:p w14:paraId="45BC6137" w14:textId="66EA4DED" w:rsidR="00171F6A" w:rsidRDefault="00171F6A" w:rsidP="0006493C">
      <w:pPr>
        <w:suppressAutoHyphens/>
        <w:spacing w:after="0" w:line="360" w:lineRule="auto"/>
        <w:jc w:val="center"/>
        <w:rPr>
          <w:rFonts w:ascii="Times New Roman" w:eastAsia="Calibri" w:hAnsi="Times New Roman" w:cs="Times New Roman"/>
          <w:b/>
          <w:bCs/>
          <w:sz w:val="24"/>
          <w:szCs w:val="24"/>
        </w:rPr>
      </w:pPr>
    </w:p>
    <w:p w14:paraId="45BC59DC" w14:textId="65D021D0" w:rsidR="00171F6A" w:rsidRDefault="00171F6A" w:rsidP="0006493C">
      <w:pPr>
        <w:suppressAutoHyphens/>
        <w:spacing w:after="0" w:line="360" w:lineRule="auto"/>
        <w:jc w:val="center"/>
        <w:rPr>
          <w:rFonts w:ascii="Times New Roman" w:eastAsia="Calibri" w:hAnsi="Times New Roman" w:cs="Times New Roman"/>
          <w:b/>
          <w:bCs/>
          <w:sz w:val="24"/>
          <w:szCs w:val="24"/>
        </w:rPr>
      </w:pPr>
    </w:p>
    <w:p w14:paraId="7CAE210B" w14:textId="3F36A632" w:rsidR="00171F6A" w:rsidRDefault="00171F6A" w:rsidP="0006493C">
      <w:pPr>
        <w:suppressAutoHyphens/>
        <w:spacing w:after="0" w:line="360" w:lineRule="auto"/>
        <w:jc w:val="center"/>
        <w:rPr>
          <w:rFonts w:ascii="Times New Roman" w:eastAsia="Calibri" w:hAnsi="Times New Roman" w:cs="Times New Roman"/>
          <w:b/>
          <w:bCs/>
          <w:sz w:val="24"/>
          <w:szCs w:val="24"/>
        </w:rPr>
      </w:pPr>
    </w:p>
    <w:p w14:paraId="2E92A81A" w14:textId="4B47C26A" w:rsidR="00171F6A" w:rsidRDefault="00171F6A" w:rsidP="0006493C">
      <w:pPr>
        <w:suppressAutoHyphens/>
        <w:spacing w:after="0" w:line="360" w:lineRule="auto"/>
        <w:jc w:val="center"/>
        <w:rPr>
          <w:rFonts w:ascii="Times New Roman" w:eastAsia="Calibri" w:hAnsi="Times New Roman" w:cs="Times New Roman"/>
          <w:b/>
          <w:bCs/>
          <w:sz w:val="24"/>
          <w:szCs w:val="24"/>
        </w:rPr>
      </w:pPr>
    </w:p>
    <w:p w14:paraId="1AFA359A" w14:textId="0BE7074D" w:rsidR="00171F6A" w:rsidRDefault="00171F6A" w:rsidP="0006493C">
      <w:pPr>
        <w:suppressAutoHyphens/>
        <w:spacing w:after="0" w:line="360" w:lineRule="auto"/>
        <w:jc w:val="center"/>
        <w:rPr>
          <w:rFonts w:ascii="Times New Roman" w:eastAsia="Calibri" w:hAnsi="Times New Roman" w:cs="Times New Roman"/>
          <w:b/>
          <w:bCs/>
          <w:sz w:val="24"/>
          <w:szCs w:val="24"/>
        </w:rPr>
      </w:pPr>
    </w:p>
    <w:p w14:paraId="390FCAD9" w14:textId="77777777" w:rsidR="00171F6A" w:rsidRDefault="00171F6A" w:rsidP="0006493C">
      <w:pPr>
        <w:suppressAutoHyphens/>
        <w:spacing w:after="0" w:line="360" w:lineRule="auto"/>
        <w:jc w:val="center"/>
        <w:rPr>
          <w:rFonts w:ascii="Times New Roman" w:eastAsia="Calibri" w:hAnsi="Times New Roman" w:cs="Times New Roman"/>
          <w:b/>
          <w:bCs/>
          <w:sz w:val="24"/>
          <w:szCs w:val="24"/>
        </w:rPr>
      </w:pPr>
    </w:p>
    <w:p w14:paraId="39CEE971" w14:textId="57BBCC4F" w:rsidR="0006493C" w:rsidRPr="00F436E4" w:rsidRDefault="0006493C" w:rsidP="0006493C">
      <w:pPr>
        <w:suppressAutoHyphens/>
        <w:spacing w:after="0" w:line="360" w:lineRule="auto"/>
        <w:jc w:val="center"/>
        <w:rPr>
          <w:rFonts w:ascii="Times New Roman" w:eastAsia="Calibri" w:hAnsi="Times New Roman" w:cs="Times New Roman"/>
          <w:sz w:val="24"/>
          <w:szCs w:val="24"/>
        </w:rPr>
      </w:pPr>
      <w:r w:rsidRPr="00F436E4">
        <w:rPr>
          <w:rFonts w:ascii="Times New Roman" w:eastAsia="Calibri" w:hAnsi="Times New Roman" w:cs="Times New Roman"/>
          <w:b/>
          <w:bCs/>
          <w:sz w:val="24"/>
          <w:szCs w:val="24"/>
        </w:rPr>
        <w:lastRenderedPageBreak/>
        <w:t>Figura 0</w:t>
      </w:r>
      <w:r>
        <w:rPr>
          <w:rFonts w:ascii="Times New Roman" w:eastAsia="Calibri" w:hAnsi="Times New Roman" w:cs="Times New Roman"/>
          <w:b/>
          <w:bCs/>
          <w:sz w:val="24"/>
          <w:szCs w:val="24"/>
        </w:rPr>
        <w:t>1</w:t>
      </w:r>
      <w:r w:rsidRPr="00F436E4">
        <w:rPr>
          <w:rFonts w:ascii="Times New Roman" w:eastAsia="Calibri" w:hAnsi="Times New Roman" w:cs="Times New Roman"/>
          <w:sz w:val="24"/>
          <w:szCs w:val="24"/>
        </w:rPr>
        <w:t xml:space="preserve"> – Racionalização do poder para formulação do PMCMV</w:t>
      </w:r>
    </w:p>
    <w:p w14:paraId="51DE6ECA" w14:textId="77777777" w:rsidR="0006493C" w:rsidRPr="00F436E4" w:rsidRDefault="0006493C" w:rsidP="0006493C">
      <w:pPr>
        <w:suppressAutoHyphens/>
        <w:spacing w:after="0" w:line="360" w:lineRule="auto"/>
        <w:jc w:val="center"/>
        <w:rPr>
          <w:rFonts w:ascii="Times New Roman" w:eastAsia="Calibri" w:hAnsi="Times New Roman" w:cs="Times New Roman"/>
          <w:sz w:val="24"/>
          <w:szCs w:val="24"/>
        </w:rPr>
      </w:pPr>
      <w:r w:rsidRPr="00F436E4">
        <w:rPr>
          <w:rFonts w:ascii="Times New Roman" w:eastAsia="Calibri" w:hAnsi="Times New Roman" w:cs="Times New Roman"/>
          <w:noProof/>
          <w:sz w:val="24"/>
          <w:szCs w:val="24"/>
        </w:rPr>
        <w:drawing>
          <wp:inline distT="0" distB="0" distL="0" distR="0" wp14:anchorId="71031F93" wp14:editId="1FDF437D">
            <wp:extent cx="5148000" cy="8373944"/>
            <wp:effectExtent l="0" t="0" r="0" b="0"/>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19" b="32253"/>
                    <a:stretch/>
                  </pic:blipFill>
                  <pic:spPr bwMode="auto">
                    <a:xfrm>
                      <a:off x="0" y="0"/>
                      <a:ext cx="5148000" cy="8373944"/>
                    </a:xfrm>
                    <a:prstGeom prst="rect">
                      <a:avLst/>
                    </a:prstGeom>
                  </pic:spPr>
                </pic:pic>
              </a:graphicData>
            </a:graphic>
          </wp:inline>
        </w:drawing>
      </w:r>
    </w:p>
    <w:p w14:paraId="3A8E751C" w14:textId="025993DC" w:rsidR="003153E2" w:rsidRPr="00B92F99" w:rsidRDefault="0006493C" w:rsidP="00B92F99">
      <w:pPr>
        <w:suppressAutoHyphens/>
        <w:spacing w:after="0" w:line="240" w:lineRule="auto"/>
        <w:jc w:val="both"/>
        <w:rPr>
          <w:rFonts w:ascii="Times New Roman" w:eastAsia="Calibri" w:hAnsi="Times New Roman" w:cs="Times New Roman"/>
          <w:sz w:val="20"/>
          <w:szCs w:val="20"/>
        </w:rPr>
      </w:pPr>
      <w:r w:rsidRPr="00F436E4">
        <w:rPr>
          <w:rFonts w:ascii="Times New Roman" w:eastAsia="Calibri" w:hAnsi="Times New Roman" w:cs="Times New Roman"/>
          <w:b/>
          <w:bCs/>
          <w:sz w:val="20"/>
          <w:szCs w:val="20"/>
        </w:rPr>
        <w:t>Fonte</w:t>
      </w:r>
      <w:r w:rsidRPr="00F436E4">
        <w:rPr>
          <w:rFonts w:ascii="Times New Roman" w:eastAsia="Calibri" w:hAnsi="Times New Roman" w:cs="Times New Roman"/>
          <w:sz w:val="20"/>
          <w:szCs w:val="20"/>
        </w:rPr>
        <w:t>: elaborado pelo autor.</w:t>
      </w:r>
    </w:p>
    <w:p w14:paraId="65C5B985" w14:textId="67DF5220" w:rsidR="0006493C" w:rsidRPr="00692CE5" w:rsidRDefault="0006493C" w:rsidP="002E6546">
      <w:pPr>
        <w:pStyle w:val="corpodotexto"/>
        <w:ind w:firstLine="708"/>
        <w:rPr>
          <w:sz w:val="27"/>
          <w:szCs w:val="27"/>
        </w:rPr>
      </w:pPr>
      <w:r w:rsidRPr="00F436E4">
        <w:lastRenderedPageBreak/>
        <w:t xml:space="preserve">A encruzilhada institucional que antecedeu – e permitiu, por assim dizer – o lançamento do PMCMV revela os espectros da decisão política do governo: primeiro, desviar o setor econômico da crise financeira internacional a partir de uma iniciativa que evitasse a derrocada generalizada de empresas de grande porte do ramo imobiliário e da construção civil, então aquecidas pelo PAC; noutro plano, sobreposto pela apropriação de recursos públicos pelo capital imobiliário urbano, atender as demandas de habitação de interesse social com a produção de novas unidades, numa proposta de investimento inédita na história do país para famílias de baixíssima renda, que compunham a denominada Faixa 1 do Programa. </w:t>
      </w:r>
    </w:p>
    <w:p w14:paraId="6D6B0924" w14:textId="77777777" w:rsidR="0006493C" w:rsidRPr="00F436E4" w:rsidRDefault="0006493C" w:rsidP="002E6546">
      <w:pPr>
        <w:pStyle w:val="corpodotexto"/>
        <w:ind w:firstLine="708"/>
      </w:pPr>
      <w:r w:rsidRPr="00F436E4">
        <w:t xml:space="preserve">Se observa que, apesar do forte apelo de inclusão habitacional, são indisfarçáveis as semelhanças com o modelo implementado na fase BNH. Não obstante a evolução institucional no tratamento do tema e o êxito de outras políticas sociais implementadas pelo governo que alteraram sensivelmente o mapa de desigualdades brasileiro, mais uma vez se estava diante de uma política habitacional de estímulo ao mercado. </w:t>
      </w:r>
    </w:p>
    <w:p w14:paraId="3E4AA483" w14:textId="77777777" w:rsidR="0006493C" w:rsidRPr="00F436E4" w:rsidRDefault="0006493C" w:rsidP="00A80277">
      <w:pPr>
        <w:pStyle w:val="corpodotexto"/>
        <w:ind w:firstLine="708"/>
      </w:pPr>
      <w:r w:rsidRPr="00F436E4">
        <w:t>O lugar de privilégio do setor imobiliário na tomada de decisões que deveria</w:t>
      </w:r>
      <w:r>
        <w:t>m</w:t>
      </w:r>
      <w:r w:rsidRPr="00F436E4">
        <w:t xml:space="preserve"> seguir uma orientação pública, criou o terreno para a repetição de uma lógica empresarial que viciou a articulação interfederativa proposta pelo PMCMV, favoreceu a concentração de renda e desconsiderou a base legal progressista do Estatuto das Cidades, que havia nascido justamente para enfrentar problemas relativos à injustiça urbana,</w:t>
      </w:r>
      <w:r>
        <w:t xml:space="preserve"> à</w:t>
      </w:r>
      <w:r w:rsidRPr="00F436E4">
        <w:t xml:space="preserve"> segregação territorial</w:t>
      </w:r>
      <w:r>
        <w:t xml:space="preserve"> e à</w:t>
      </w:r>
      <w:r w:rsidRPr="00F436E4">
        <w:t xml:space="preserve"> produção de moradia informal, problemas que </w:t>
      </w:r>
      <w:r>
        <w:t>continuariam a acontecer</w:t>
      </w:r>
      <w:r w:rsidRPr="00F436E4">
        <w:t>. Enquanto isso, a arquitetura de planejamento urbanístico-habitacional baseada no papel estratégico do setor público do SNHIS ficava para trás.</w:t>
      </w:r>
    </w:p>
    <w:p w14:paraId="4E6EE332" w14:textId="113EF768" w:rsidR="0006493C" w:rsidRDefault="0006493C" w:rsidP="002E6546">
      <w:pPr>
        <w:pStyle w:val="corpodotexto"/>
      </w:pPr>
      <w:r w:rsidRPr="00F436E4">
        <w:tab/>
      </w:r>
      <w:r w:rsidR="00E23573">
        <w:t>Observa-se, assim, que u</w:t>
      </w:r>
      <w:r w:rsidRPr="00F436E4">
        <w:t>m mesmo programa de ação governamental pode agregar múltiplos sentidos. Considerando que as democracias modernas foram produzidas num ambiente de tensões conduzid</w:t>
      </w:r>
      <w:r>
        <w:t>as</w:t>
      </w:r>
      <w:r w:rsidRPr="00F436E4">
        <w:t xml:space="preserve"> pelas disputas inerentes aos processos de institucionalização de valores de igualdade e liberdade, ao qual também se agrega a noção fundamental de legitimação, </w:t>
      </w:r>
      <w:r>
        <w:t>Bucci (2019)</w:t>
      </w:r>
      <w:r w:rsidRPr="00F436E4">
        <w:t xml:space="preserve"> enuncia interfaces fundamentais do governo passíveis de serem verificadas no plano macroinstitucional, com a política, com a administração e com a economia</w:t>
      </w:r>
      <w:r w:rsidR="00A80277">
        <w:t>.</w:t>
      </w:r>
    </w:p>
    <w:p w14:paraId="24C6CCEB" w14:textId="77777777" w:rsidR="00144782" w:rsidRDefault="00144782" w:rsidP="003153E2"/>
    <w:p w14:paraId="689DA522" w14:textId="6BC59E0C" w:rsidR="003153E2" w:rsidRPr="00171F6A" w:rsidRDefault="003153E2" w:rsidP="002E6546">
      <w:pPr>
        <w:pStyle w:val="CorpodoTextoABNT0"/>
        <w:ind w:firstLine="0"/>
        <w:rPr>
          <w:b/>
          <w:bCs/>
        </w:rPr>
      </w:pPr>
      <w:r w:rsidRPr="00171F6A">
        <w:rPr>
          <w:b/>
          <w:bCs/>
        </w:rPr>
        <w:t>A análise das capacidades governamentais fundamentais à efetividade das políticas sociais</w:t>
      </w:r>
    </w:p>
    <w:p w14:paraId="58F611B1" w14:textId="77777777" w:rsidR="0006493C" w:rsidRDefault="0006493C" w:rsidP="002E6546">
      <w:pPr>
        <w:pStyle w:val="CorpodoTextoABNT0"/>
      </w:pPr>
    </w:p>
    <w:p w14:paraId="05046DCF" w14:textId="66EA034C" w:rsidR="00692CE5" w:rsidRDefault="00A36215" w:rsidP="002E6546">
      <w:pPr>
        <w:pStyle w:val="CorpodoTextoABNT0"/>
        <w:rPr>
          <w:rFonts w:eastAsia="Calibri"/>
        </w:rPr>
      </w:pPr>
      <w:r w:rsidRPr="00F436E4">
        <w:rPr>
          <w:rFonts w:eastAsia="Calibri"/>
        </w:rPr>
        <w:t xml:space="preserve">As políticas públicas sociais servem como instrumentos de legitimação política do governo num Estado Democrático de Direito, na medida em que são desdobramentos de uma concepção de Estado Social </w:t>
      </w:r>
      <w:sdt>
        <w:sdtPr>
          <w:rPr>
            <w:rFonts w:eastAsia="Calibri"/>
          </w:rPr>
          <w:id w:val="1639377713"/>
          <w:citation/>
        </w:sdtPr>
        <w:sdtContent>
          <w:r w:rsidRPr="00F436E4">
            <w:rPr>
              <w:rFonts w:eastAsia="Calibri"/>
            </w:rPr>
            <w:fldChar w:fldCharType="begin"/>
          </w:r>
          <w:r w:rsidRPr="00F436E4">
            <w:rPr>
              <w:rFonts w:eastAsia="Calibri"/>
            </w:rPr>
            <w:instrText xml:space="preserve"> CITATION Buc19 \l 1046 </w:instrText>
          </w:r>
          <w:r w:rsidRPr="00F436E4">
            <w:rPr>
              <w:rFonts w:eastAsia="Calibri"/>
            </w:rPr>
            <w:fldChar w:fldCharType="separate"/>
          </w:r>
          <w:r w:rsidR="004438B9" w:rsidRPr="004438B9">
            <w:rPr>
              <w:rFonts w:eastAsia="Calibri"/>
              <w:noProof/>
            </w:rPr>
            <w:t>(BUCCI, 2019)</w:t>
          </w:r>
          <w:r w:rsidRPr="00F436E4">
            <w:rPr>
              <w:rFonts w:eastAsia="Calibri"/>
            </w:rPr>
            <w:fldChar w:fldCharType="end"/>
          </w:r>
        </w:sdtContent>
      </w:sdt>
      <w:r w:rsidRPr="00F436E4">
        <w:rPr>
          <w:rFonts w:eastAsia="Calibri"/>
        </w:rPr>
        <w:t xml:space="preserve">. O êxito desse processo depende da efetividade do conjunto de regras que orientam os atores e interesses envolvidos no programa de ação, que </w:t>
      </w:r>
      <w:r w:rsidRPr="00F436E4">
        <w:rPr>
          <w:rFonts w:eastAsia="Calibri"/>
        </w:rPr>
        <w:lastRenderedPageBreak/>
        <w:t>precisam desenvolver um diálogo popular aberto e uma burocracia profissional e coesa, capaz de traçar estratégias com o setor privado sem ser por ele cooptada</w:t>
      </w:r>
      <w:sdt>
        <w:sdtPr>
          <w:rPr>
            <w:rFonts w:eastAsia="Calibri"/>
          </w:rPr>
          <w:id w:val="638716231"/>
          <w:citation/>
        </w:sdtPr>
        <w:sdtContent>
          <w:r w:rsidRPr="00F436E4">
            <w:rPr>
              <w:rFonts w:eastAsia="Calibri"/>
            </w:rPr>
            <w:fldChar w:fldCharType="begin"/>
          </w:r>
          <w:r w:rsidRPr="00F436E4">
            <w:rPr>
              <w:rFonts w:eastAsia="Calibri"/>
            </w:rPr>
            <w:instrText xml:space="preserve"> CITATION Gom12 \l 1046 </w:instrText>
          </w:r>
          <w:r w:rsidRPr="00F436E4">
            <w:rPr>
              <w:rFonts w:eastAsia="Calibri"/>
            </w:rPr>
            <w:fldChar w:fldCharType="separate"/>
          </w:r>
          <w:r w:rsidR="004438B9">
            <w:rPr>
              <w:rFonts w:eastAsia="Calibri"/>
              <w:noProof/>
            </w:rPr>
            <w:t xml:space="preserve"> </w:t>
          </w:r>
          <w:r w:rsidR="004438B9" w:rsidRPr="004438B9">
            <w:rPr>
              <w:rFonts w:eastAsia="Calibri"/>
              <w:noProof/>
            </w:rPr>
            <w:t>(GOMIDE e PIRES, 2012)</w:t>
          </w:r>
          <w:r w:rsidRPr="00F436E4">
            <w:rPr>
              <w:rFonts w:eastAsia="Calibri"/>
            </w:rPr>
            <w:fldChar w:fldCharType="end"/>
          </w:r>
        </w:sdtContent>
      </w:sdt>
      <w:r w:rsidRPr="00F436E4">
        <w:rPr>
          <w:rFonts w:eastAsia="Calibri"/>
        </w:rPr>
        <w:t xml:space="preserve">. </w:t>
      </w:r>
    </w:p>
    <w:p w14:paraId="04A3759E" w14:textId="7022EC42" w:rsidR="00A36215" w:rsidRPr="00F436E4" w:rsidRDefault="00A36215" w:rsidP="002E6546">
      <w:pPr>
        <w:pStyle w:val="CorpodoTextoABNT0"/>
        <w:rPr>
          <w:rFonts w:eastAsia="Calibri"/>
        </w:rPr>
      </w:pPr>
      <w:r w:rsidRPr="00F436E4">
        <w:rPr>
          <w:rFonts w:eastAsia="Calibri"/>
        </w:rPr>
        <w:t xml:space="preserve">As possíveis lacunas que restem entre a democracia e a ação do poder público podem ser preenchidas e transformadas em sinergia, por exemplo, com o estabelecimento e aperfeiçoamento contínuo de mecanismos de coordenação compartilhada, espaços de negociação e decisão entre atores do próprio governo, do sistema político e da sociedade </w:t>
      </w:r>
      <w:sdt>
        <w:sdtPr>
          <w:rPr>
            <w:rFonts w:eastAsia="Calibri"/>
          </w:rPr>
          <w:id w:val="248320030"/>
          <w:citation/>
        </w:sdtPr>
        <w:sdtContent>
          <w:r w:rsidRPr="00F436E4">
            <w:rPr>
              <w:rFonts w:eastAsia="Calibri"/>
            </w:rPr>
            <w:fldChar w:fldCharType="begin"/>
          </w:r>
          <w:r w:rsidRPr="00F436E4">
            <w:rPr>
              <w:rFonts w:eastAsia="Calibri"/>
            </w:rPr>
            <w:instrText xml:space="preserve"> CITATION Cha04 \l 1046 </w:instrText>
          </w:r>
          <w:r w:rsidRPr="00F436E4">
            <w:rPr>
              <w:rFonts w:eastAsia="Calibri"/>
            </w:rPr>
            <w:fldChar w:fldCharType="separate"/>
          </w:r>
          <w:r w:rsidR="004438B9" w:rsidRPr="004438B9">
            <w:rPr>
              <w:rFonts w:eastAsia="Calibri"/>
              <w:noProof/>
            </w:rPr>
            <w:t>(SABEL, 2004)</w:t>
          </w:r>
          <w:r w:rsidRPr="00F436E4">
            <w:rPr>
              <w:rFonts w:eastAsia="Calibri"/>
            </w:rPr>
            <w:fldChar w:fldCharType="end"/>
          </w:r>
        </w:sdtContent>
      </w:sdt>
      <w:r w:rsidRPr="00F436E4">
        <w:rPr>
          <w:rFonts w:eastAsia="Calibri"/>
        </w:rPr>
        <w:t xml:space="preserve">. A produção de políticas públicas, nesse contexto, envolve a constituição de arranjos institucionais que entrelacem as instituições políticas com os requisitos jurídico-organizacionais necessários </w:t>
      </w:r>
      <w:r>
        <w:rPr>
          <w:rFonts w:eastAsia="Calibri"/>
        </w:rPr>
        <w:t>para a</w:t>
      </w:r>
      <w:r w:rsidRPr="00F436E4">
        <w:rPr>
          <w:rFonts w:eastAsia="Calibri"/>
        </w:rPr>
        <w:t xml:space="preserve"> constituição de capacidades técnico-administrativas.</w:t>
      </w:r>
    </w:p>
    <w:p w14:paraId="116C1829" w14:textId="41FB8E5F" w:rsidR="00A36215" w:rsidRPr="00F436E4" w:rsidRDefault="00A36215" w:rsidP="002E6546">
      <w:pPr>
        <w:pStyle w:val="CorpodoTextoABNT0"/>
        <w:rPr>
          <w:rFonts w:eastAsia="Calibri"/>
        </w:rPr>
      </w:pPr>
      <w:r w:rsidRPr="00F436E4">
        <w:rPr>
          <w:rFonts w:eastAsia="Calibri"/>
        </w:rPr>
        <w:t xml:space="preserve">A sistematização desse entrelaçamento entre as dimensões democrática e burocrática, que ocorre a partir da combinação de dois eixos de capacidades, o técnico-administrativo e o político, ajuda a compreender a capacidade de mobilização do governo diante dos desafios impostos a uma determinada política de desenvolvimento, como a que é objeto do presente estudo. De acordo com Gomide e Pires </w:t>
      </w:r>
      <w:sdt>
        <w:sdtPr>
          <w:rPr>
            <w:rFonts w:eastAsia="Calibri"/>
          </w:rPr>
          <w:id w:val="1056919477"/>
          <w:citation/>
        </w:sdtPr>
        <w:sdtContent>
          <w:r w:rsidRPr="00F436E4">
            <w:rPr>
              <w:rFonts w:eastAsia="Calibri"/>
            </w:rPr>
            <w:fldChar w:fldCharType="begin"/>
          </w:r>
          <w:r w:rsidRPr="00F436E4">
            <w:rPr>
              <w:rFonts w:eastAsia="Calibri"/>
            </w:rPr>
            <w:instrText xml:space="preserve">CITATION Gom12 \n  \t  \l 1046 </w:instrText>
          </w:r>
          <w:r w:rsidRPr="00F436E4">
            <w:rPr>
              <w:rFonts w:eastAsia="Calibri"/>
            </w:rPr>
            <w:fldChar w:fldCharType="separate"/>
          </w:r>
          <w:r w:rsidR="004438B9" w:rsidRPr="004438B9">
            <w:rPr>
              <w:rFonts w:eastAsia="Calibri"/>
              <w:noProof/>
            </w:rPr>
            <w:t>(2012)</w:t>
          </w:r>
          <w:r w:rsidRPr="00F436E4">
            <w:rPr>
              <w:rFonts w:eastAsia="Calibri"/>
            </w:rPr>
            <w:fldChar w:fldCharType="end"/>
          </w:r>
        </w:sdtContent>
      </w:sdt>
      <w:r w:rsidRPr="00F436E4">
        <w:rPr>
          <w:rFonts w:eastAsia="Calibri"/>
        </w:rPr>
        <w:t xml:space="preserve">, num vetor, consideram-se as capacidades políticas, associadas </w:t>
      </w:r>
      <w:r>
        <w:rPr>
          <w:rFonts w:eastAsia="Calibri"/>
        </w:rPr>
        <w:t>a</w:t>
      </w:r>
      <w:r w:rsidRPr="00F436E4">
        <w:rPr>
          <w:rFonts w:eastAsia="Calibri"/>
        </w:rPr>
        <w:t xml:space="preserve"> habilidade dos atores do Estado em expandir os canais de interlocução com a sociedade civil e atores do sistema político-representativo nos processos de políticas públicas</w:t>
      </w:r>
      <w:r w:rsidR="00692CE5">
        <w:rPr>
          <w:rFonts w:eastAsia="Calibri"/>
        </w:rPr>
        <w:t>.</w:t>
      </w:r>
      <w:r w:rsidRPr="00F436E4">
        <w:rPr>
          <w:rFonts w:eastAsia="Calibri"/>
        </w:rPr>
        <w:t xml:space="preserve"> </w:t>
      </w:r>
      <w:r w:rsidR="00692CE5">
        <w:rPr>
          <w:rFonts w:eastAsia="Calibri"/>
        </w:rPr>
        <w:t xml:space="preserve"> </w:t>
      </w:r>
      <w:r w:rsidRPr="00F436E4">
        <w:rPr>
          <w:rFonts w:eastAsia="Calibri"/>
        </w:rPr>
        <w:t>No outro, segundo os autores, tem-se em conta capacidade técnica-administrativa, que se relaciona com a competência da burocracia estatal em traçar, implementar e coordenar estratégias em diferentes níveis de governo</w:t>
      </w:r>
      <w:r w:rsidR="00692CE5">
        <w:rPr>
          <w:rFonts w:eastAsia="Calibri"/>
        </w:rPr>
        <w:t>.</w:t>
      </w:r>
    </w:p>
    <w:p w14:paraId="7AE786C7" w14:textId="2939C35C" w:rsidR="00A36215" w:rsidRPr="00F436E4" w:rsidRDefault="00A36215" w:rsidP="002E6546">
      <w:pPr>
        <w:pStyle w:val="CorpodoTextoABNT0"/>
        <w:rPr>
          <w:rFonts w:eastAsia="Calibri"/>
        </w:rPr>
      </w:pPr>
      <w:r w:rsidRPr="00F436E4">
        <w:rPr>
          <w:rFonts w:eastAsia="Calibri"/>
        </w:rPr>
        <w:t xml:space="preserve">Olhando para esse quadro e considerando o caminho institucional traçado pelo Brasil no tratamento da habitação de interesse social, pensar sobre a legitimação política do Programa se torna mais complexo porque, se de um lado houve a subordinação dos objetivos sociais da população mais empobrecida, por outro, a prioridade na agenda governamental em função da incorporação do PMCMV ao PAC trouxe vantagens significativas para a questão habitacional. </w:t>
      </w:r>
    </w:p>
    <w:p w14:paraId="1F2A6EBD" w14:textId="28086E46" w:rsidR="00A36215" w:rsidRPr="00F436E4" w:rsidRDefault="00A36215" w:rsidP="002E6546">
      <w:pPr>
        <w:pStyle w:val="CorpodoTextoABNT0"/>
        <w:rPr>
          <w:rFonts w:eastAsia="Calibri"/>
        </w:rPr>
      </w:pPr>
      <w:r w:rsidRPr="00F436E4">
        <w:rPr>
          <w:rFonts w:eastAsia="Calibri"/>
        </w:rPr>
        <w:t xml:space="preserve">Vendo do plano macroinstitucional, isto é, sem adentrar nos desdobramentos institucionais da implementação do PMCMV e nem nos resultados alcançados, pode-se inferir que havia ali um arranjo legitimador do ponto de vista político, na medida em que foram negociados interesses e demandas de uma pluralidade de atores, ainda que essa articulação tenha sido feita pala Casa Civil e não pelo MCidades e com participação mais imediata do empresariado. Também se avalia como alta a capacidade técnico-administrativa em torno do Programa, notadamente ao se considerar os instrumentos de gestão e monitoramento desenvolvidos no âmbito do PAC, o que sugeria uma expectativa de maior controle governamental na fase de execução. Esse desenho demonstrou um importante potencial para gerar capital político </w:t>
      </w:r>
      <w:sdt>
        <w:sdtPr>
          <w:rPr>
            <w:rFonts w:eastAsia="Calibri"/>
          </w:rPr>
          <w:id w:val="652450036"/>
          <w:citation/>
        </w:sdtPr>
        <w:sdtContent>
          <w:r w:rsidRPr="00F436E4">
            <w:rPr>
              <w:rFonts w:eastAsia="Calibri"/>
            </w:rPr>
            <w:fldChar w:fldCharType="begin"/>
          </w:r>
          <w:r w:rsidRPr="00F436E4">
            <w:rPr>
              <w:rFonts w:eastAsia="Calibri"/>
            </w:rPr>
            <w:instrText xml:space="preserve"> CITATION Kli16 \l 1046 </w:instrText>
          </w:r>
          <w:r w:rsidRPr="00F436E4">
            <w:rPr>
              <w:rFonts w:eastAsia="Calibri"/>
            </w:rPr>
            <w:fldChar w:fldCharType="separate"/>
          </w:r>
          <w:r w:rsidR="004438B9" w:rsidRPr="004438B9">
            <w:rPr>
              <w:rFonts w:eastAsia="Calibri"/>
              <w:noProof/>
            </w:rPr>
            <w:t>(KLINTOWITZ, 2016)</w:t>
          </w:r>
          <w:r w:rsidRPr="00F436E4">
            <w:rPr>
              <w:rFonts w:eastAsia="Calibri"/>
            </w:rPr>
            <w:fldChar w:fldCharType="end"/>
          </w:r>
        </w:sdtContent>
      </w:sdt>
      <w:r w:rsidRPr="00F436E4">
        <w:rPr>
          <w:rFonts w:eastAsia="Calibri"/>
        </w:rPr>
        <w:t xml:space="preserve">. </w:t>
      </w:r>
    </w:p>
    <w:p w14:paraId="09FCCC5D" w14:textId="17D8C4FE" w:rsidR="00A36215" w:rsidRPr="00F436E4" w:rsidRDefault="00A36215" w:rsidP="002E6546">
      <w:pPr>
        <w:pStyle w:val="CorpodoTextoABNT0"/>
        <w:rPr>
          <w:rFonts w:eastAsia="Calibri"/>
        </w:rPr>
      </w:pPr>
      <w:r w:rsidRPr="00F436E4">
        <w:rPr>
          <w:rFonts w:eastAsia="Calibri"/>
        </w:rPr>
        <w:lastRenderedPageBreak/>
        <w:t xml:space="preserve">Servindo a esse propósito, a ideia de governança democrática pressupõe uma ação diferida no tempo e a coordenação de múltiplos atores, mobilizando conhecimentos de origem diversas e pondo em prática formas de responsabilização e de legitimação da decisão </w:t>
      </w:r>
      <w:sdt>
        <w:sdtPr>
          <w:rPr>
            <w:rFonts w:eastAsia="Calibri"/>
          </w:rPr>
          <w:id w:val="717617396"/>
          <w:citation/>
        </w:sdtPr>
        <w:sdtContent>
          <w:r w:rsidRPr="00F436E4">
            <w:rPr>
              <w:rFonts w:eastAsia="Calibri"/>
            </w:rPr>
            <w:fldChar w:fldCharType="begin"/>
          </w:r>
          <w:r w:rsidRPr="00F436E4">
            <w:rPr>
              <w:rFonts w:eastAsia="Calibri"/>
            </w:rPr>
            <w:instrText xml:space="preserve"> CITATION All15 \l 1046 </w:instrText>
          </w:r>
          <w:r w:rsidRPr="00F436E4">
            <w:rPr>
              <w:rFonts w:eastAsia="Calibri"/>
            </w:rPr>
            <w:fldChar w:fldCharType="separate"/>
          </w:r>
          <w:r w:rsidR="004438B9" w:rsidRPr="004438B9">
            <w:rPr>
              <w:rFonts w:eastAsia="Calibri"/>
              <w:noProof/>
            </w:rPr>
            <w:t>(SILVA, 2015)</w:t>
          </w:r>
          <w:r w:rsidRPr="00F436E4">
            <w:rPr>
              <w:rFonts w:eastAsia="Calibri"/>
            </w:rPr>
            <w:fldChar w:fldCharType="end"/>
          </w:r>
        </w:sdtContent>
      </w:sdt>
      <w:r w:rsidRPr="00F436E4">
        <w:rPr>
          <w:rFonts w:eastAsia="Calibri"/>
        </w:rPr>
        <w:t xml:space="preserve">. Do ponto de vista da manutenção da governabilidade, tem-se que o PMCMV garantiu a distribuição de benefícios a ambas coalizões, a primeira ligada </w:t>
      </w:r>
      <w:r>
        <w:rPr>
          <w:rFonts w:eastAsia="Calibri"/>
        </w:rPr>
        <w:t>a</w:t>
      </w:r>
      <w:r w:rsidRPr="00F436E4">
        <w:rPr>
          <w:rFonts w:eastAsia="Calibri"/>
        </w:rPr>
        <w:t xml:space="preserve"> plataforma de reforma urbana, com previsão de descentralização e gestão participativa, e a segunda consubstanciada na premissa de reestruturação do setor imobiliário, estruturada em uma política exclusiva de provisão habitacional com promoção privada e financiamento público. </w:t>
      </w:r>
    </w:p>
    <w:p w14:paraId="4238CFBF" w14:textId="5C567FF4" w:rsidR="00A36215" w:rsidRPr="00F436E4" w:rsidRDefault="00A36215" w:rsidP="002E6546">
      <w:pPr>
        <w:pStyle w:val="CorpodoTextoABNT0"/>
        <w:rPr>
          <w:rFonts w:eastAsia="Calibri"/>
        </w:rPr>
      </w:pPr>
      <w:r w:rsidRPr="00F436E4">
        <w:rPr>
          <w:rFonts w:eastAsia="Calibri"/>
        </w:rPr>
        <w:t xml:space="preserve">No entanto, é preciso assumir que, como afirma </w:t>
      </w:r>
      <w:proofErr w:type="spellStart"/>
      <w:r w:rsidRPr="00F436E4">
        <w:rPr>
          <w:rFonts w:eastAsia="Calibri"/>
        </w:rPr>
        <w:t>Fix</w:t>
      </w:r>
      <w:proofErr w:type="spellEnd"/>
      <w:r w:rsidRPr="00F436E4">
        <w:rPr>
          <w:rFonts w:eastAsia="Calibri"/>
        </w:rPr>
        <w:t xml:space="preserve"> </w:t>
      </w:r>
      <w:sdt>
        <w:sdtPr>
          <w:rPr>
            <w:rFonts w:eastAsia="Calibri"/>
          </w:rPr>
          <w:id w:val="1866850037"/>
          <w:citation/>
        </w:sdtPr>
        <w:sdtContent>
          <w:r w:rsidRPr="00F436E4">
            <w:rPr>
              <w:rFonts w:eastAsia="Calibri"/>
            </w:rPr>
            <w:fldChar w:fldCharType="begin"/>
          </w:r>
          <w:r w:rsidRPr="00F436E4">
            <w:rPr>
              <w:rFonts w:eastAsia="Calibri"/>
            </w:rPr>
            <w:instrText xml:space="preserve">CITATION Mar11 \n  \t  \l 1046 </w:instrText>
          </w:r>
          <w:r w:rsidRPr="00F436E4">
            <w:rPr>
              <w:rFonts w:eastAsia="Calibri"/>
            </w:rPr>
            <w:fldChar w:fldCharType="separate"/>
          </w:r>
          <w:r w:rsidR="004438B9" w:rsidRPr="004438B9">
            <w:rPr>
              <w:rFonts w:eastAsia="Calibri"/>
              <w:noProof/>
            </w:rPr>
            <w:t>(2011)</w:t>
          </w:r>
          <w:r w:rsidRPr="00F436E4">
            <w:rPr>
              <w:rFonts w:eastAsia="Calibri"/>
            </w:rPr>
            <w:fldChar w:fldCharType="end"/>
          </w:r>
        </w:sdtContent>
      </w:sdt>
      <w:r w:rsidRPr="00F436E4">
        <w:rPr>
          <w:rFonts w:eastAsia="Calibri"/>
        </w:rPr>
        <w:t>, a temporalidade político-eleitoral pareceu se ajustar melhor ao ritmo do capital financeiro, que prometia atropelar resistências de todos os tipos, do que àquele das lutas urbanas e dos direitos sociais que a urbanização representa. Isso acabou por comprometer as margens discricionárias do Programa</w:t>
      </w:r>
      <w:r>
        <w:rPr>
          <w:rFonts w:eastAsia="Calibri"/>
        </w:rPr>
        <w:t>,</w:t>
      </w:r>
      <w:r w:rsidRPr="00F436E4">
        <w:rPr>
          <w:rFonts w:eastAsia="Calibri"/>
        </w:rPr>
        <w:t xml:space="preserve"> sobretudo nos âmbitos locais, já que a urgência provocada pela crise financeira internacional suplantou a preocupação em organizar as interações com os agentes estatais e da sociedade no momento da concepção da política. Se revela, assim, mais um prejuízo decorrente da falta de investimento prévio no amadurecimento do SNHIS, que previa estruturas de governança participativa.</w:t>
      </w:r>
    </w:p>
    <w:p w14:paraId="1886A290" w14:textId="393B8F32" w:rsidR="00A36215" w:rsidRPr="00F436E4" w:rsidRDefault="00A36215" w:rsidP="002E6546">
      <w:pPr>
        <w:pStyle w:val="CorpodoTextoABNT0"/>
        <w:rPr>
          <w:rFonts w:eastAsia="Calibri"/>
        </w:rPr>
      </w:pPr>
      <w:r w:rsidRPr="00F436E4">
        <w:rPr>
          <w:rFonts w:eastAsia="Calibri"/>
        </w:rPr>
        <w:t xml:space="preserve">Além disso, as dimensões jurídica e política da democracia são entremeadas pelas questões da atividade econômica, haja vista que “[...] a economia capitalista não poderia operar sem um certo grau de centralização de decisões, ou seja, sem uma estrutura superior de poder” </w:t>
      </w:r>
      <w:sdt>
        <w:sdtPr>
          <w:rPr>
            <w:rFonts w:eastAsia="Calibri"/>
          </w:rPr>
          <w:id w:val="151328651"/>
          <w:citation/>
        </w:sdtPr>
        <w:sdtContent>
          <w:r w:rsidRPr="00F436E4">
            <w:rPr>
              <w:rFonts w:eastAsia="Calibri"/>
            </w:rPr>
            <w:fldChar w:fldCharType="begin"/>
          </w:r>
          <w:r w:rsidRPr="00F436E4">
            <w:rPr>
              <w:rFonts w:eastAsia="Calibri"/>
            </w:rPr>
            <w:instrText xml:space="preserve">CITATION Cel83 \p 37 \l 1046 </w:instrText>
          </w:r>
          <w:r w:rsidRPr="00F436E4">
            <w:rPr>
              <w:rFonts w:eastAsia="Calibri"/>
            </w:rPr>
            <w:fldChar w:fldCharType="separate"/>
          </w:r>
          <w:r w:rsidR="004438B9" w:rsidRPr="004438B9">
            <w:rPr>
              <w:rFonts w:eastAsia="Calibri"/>
              <w:noProof/>
            </w:rPr>
            <w:t>(FURTADO, 1983, p. 37)</w:t>
          </w:r>
          <w:r w:rsidRPr="00F436E4">
            <w:rPr>
              <w:rFonts w:eastAsia="Calibri"/>
            </w:rPr>
            <w:fldChar w:fldCharType="end"/>
          </w:r>
        </w:sdtContent>
      </w:sdt>
      <w:r w:rsidRPr="00F436E4">
        <w:rPr>
          <w:rFonts w:eastAsia="Calibri"/>
        </w:rPr>
        <w:t>.  O reconhecimento dessas externalidades sociais do desenvolvimento capitalista foi justamente o que motivou a politização do “pacote habitacional” proposto pelos empresários do ramo imobiliário, quando apresentado ao governo.</w:t>
      </w:r>
    </w:p>
    <w:p w14:paraId="00172F6E" w14:textId="42F81819" w:rsidR="00A36215" w:rsidRPr="00F436E4" w:rsidRDefault="00A36215" w:rsidP="002E6546">
      <w:pPr>
        <w:pStyle w:val="CorpodoTextoABNT0"/>
        <w:rPr>
          <w:rFonts w:eastAsia="Calibri"/>
        </w:rPr>
      </w:pPr>
      <w:r w:rsidRPr="00F436E4">
        <w:rPr>
          <w:rFonts w:eastAsia="Calibri"/>
        </w:rPr>
        <w:t>Se reconhece</w:t>
      </w:r>
      <w:r>
        <w:rPr>
          <w:rFonts w:eastAsia="Calibri"/>
        </w:rPr>
        <w:t>, nesse aspecto, a visão</w:t>
      </w:r>
      <w:r w:rsidRPr="00F436E4">
        <w:rPr>
          <w:rFonts w:eastAsia="Calibri"/>
        </w:rPr>
        <w:t xml:space="preserve"> do governo de que era necessário realizar as prestações sociais, mas também de estimular e organizar a atividade econômica em escala nacional, que afinal é de onde provêm os recursos para o provimento das prestações. Bucci </w:t>
      </w:r>
      <w:sdt>
        <w:sdtPr>
          <w:rPr>
            <w:rFonts w:eastAsia="Calibri"/>
          </w:rPr>
          <w:id w:val="1172534367"/>
          <w:citation/>
        </w:sdtPr>
        <w:sdtContent>
          <w:r w:rsidRPr="00F436E4">
            <w:rPr>
              <w:rFonts w:eastAsia="Calibri"/>
            </w:rPr>
            <w:fldChar w:fldCharType="begin"/>
          </w:r>
          <w:r w:rsidRPr="00F436E4">
            <w:rPr>
              <w:rFonts w:eastAsia="Calibri"/>
            </w:rPr>
            <w:instrText xml:space="preserve">CITATION Mar21 \n  \t  \l 1046 </w:instrText>
          </w:r>
          <w:r w:rsidRPr="00F436E4">
            <w:rPr>
              <w:rFonts w:eastAsia="Calibri"/>
            </w:rPr>
            <w:fldChar w:fldCharType="separate"/>
          </w:r>
          <w:r w:rsidR="004438B9" w:rsidRPr="004438B9">
            <w:rPr>
              <w:rFonts w:eastAsia="Calibri"/>
              <w:noProof/>
            </w:rPr>
            <w:t>(2021)</w:t>
          </w:r>
          <w:r w:rsidRPr="00F436E4">
            <w:rPr>
              <w:rFonts w:eastAsia="Calibri"/>
            </w:rPr>
            <w:fldChar w:fldCharType="end"/>
          </w:r>
        </w:sdtContent>
      </w:sdt>
      <w:r w:rsidRPr="00F436E4">
        <w:rPr>
          <w:rFonts w:eastAsia="Calibri"/>
        </w:rPr>
        <w:t xml:space="preserve"> </w:t>
      </w:r>
      <w:r>
        <w:rPr>
          <w:rFonts w:eastAsia="Calibri"/>
        </w:rPr>
        <w:t xml:space="preserve">entende </w:t>
      </w:r>
      <w:r w:rsidRPr="00F436E4">
        <w:rPr>
          <w:rFonts w:eastAsia="Calibri"/>
        </w:rPr>
        <w:t xml:space="preserve">que embora haja um ceticismo a respeito da possibilidade de o Estado não ceder aos interesses das classes dominantes, ele é um instrumento necessário para a transição a um outro tempo e modo econômico e social. Foi preciso fazer a aposta. </w:t>
      </w:r>
    </w:p>
    <w:p w14:paraId="14833C85" w14:textId="77777777" w:rsidR="00A36215" w:rsidRPr="00F436E4" w:rsidRDefault="00A36215" w:rsidP="002E6546">
      <w:pPr>
        <w:pStyle w:val="CorpodoTextoABNT0"/>
        <w:rPr>
          <w:rFonts w:eastAsia="Calibri"/>
        </w:rPr>
      </w:pPr>
      <w:r w:rsidRPr="00F436E4">
        <w:rPr>
          <w:rFonts w:eastAsia="Calibri"/>
        </w:rPr>
        <w:t xml:space="preserve">Nesses termos, retoma-se a discussão sobre as alianças formadas no Governo Lula quanto às questões habitacionais, em que os movimentos sociais ligados à moradia foram trazidos </w:t>
      </w:r>
      <w:r>
        <w:rPr>
          <w:rFonts w:eastAsia="Calibri"/>
        </w:rPr>
        <w:t>a</w:t>
      </w:r>
      <w:r w:rsidRPr="00F436E4">
        <w:rPr>
          <w:rFonts w:eastAsia="Calibri"/>
        </w:rPr>
        <w:t xml:space="preserve"> arena de negociação sem que o Estado se furtasse a estruturar uma relação estreita com o setor empresarial. A coordenação de interesses em torno do PMCMV não poderia escapar do pacto entre capital e trabalho que necessariamente transpassa as políticas de </w:t>
      </w:r>
      <w:r w:rsidRPr="00F436E4">
        <w:rPr>
          <w:rFonts w:eastAsia="Calibri"/>
        </w:rPr>
        <w:lastRenderedPageBreak/>
        <w:t>desenvolvimento em democracias tardias, como a brasileira, e a partir disso é que se forma a dupla e ambígua agenda já descrita acima.</w:t>
      </w:r>
    </w:p>
    <w:p w14:paraId="1C0E21D5" w14:textId="6534ABF6" w:rsidR="00E23573" w:rsidRDefault="00E23573" w:rsidP="00E23573">
      <w:pPr>
        <w:suppressAutoHyphens/>
        <w:spacing w:after="0" w:line="360" w:lineRule="auto"/>
        <w:jc w:val="both"/>
        <w:rPr>
          <w:rFonts w:ascii="Times New Roman" w:eastAsia="Calibri" w:hAnsi="Times New Roman" w:cs="Times New Roman"/>
          <w:sz w:val="24"/>
          <w:szCs w:val="24"/>
        </w:rPr>
      </w:pPr>
    </w:p>
    <w:p w14:paraId="0893DD19" w14:textId="55C37378" w:rsidR="00E23573" w:rsidRPr="002E6546" w:rsidRDefault="002E6546" w:rsidP="002E6546">
      <w:pPr>
        <w:pStyle w:val="Ttulo1"/>
      </w:pPr>
      <w:r w:rsidRPr="002E6546">
        <w:t>Considerações finais</w:t>
      </w:r>
    </w:p>
    <w:p w14:paraId="20E47C96" w14:textId="77777777" w:rsidR="002E6546" w:rsidRDefault="002E6546" w:rsidP="002E6546">
      <w:pPr>
        <w:pStyle w:val="CorpodoTextoABNT0"/>
      </w:pPr>
    </w:p>
    <w:p w14:paraId="7F46D7EF" w14:textId="7EB50CF5" w:rsidR="002E6546" w:rsidRPr="00E23573" w:rsidRDefault="002E6546" w:rsidP="002E6546">
      <w:pPr>
        <w:pStyle w:val="CorpodoTextoABNT0"/>
        <w:rPr>
          <w:sz w:val="20"/>
          <w:szCs w:val="20"/>
        </w:rPr>
      </w:pPr>
      <w:r w:rsidRPr="00F436E4">
        <w:t xml:space="preserve">O estabelecimento da democracia em um Estado emergente se coloca como um fator a mais a exigir e inspirar a criatividade jurídico-institucional para a diversificação das abordagens estatais que desafiem o avanço do capitalismo. </w:t>
      </w:r>
      <w:r>
        <w:t>A</w:t>
      </w:r>
      <w:r w:rsidRPr="00F436E4">
        <w:t>cabou prevalecendo no PMCMV,</w:t>
      </w:r>
      <w:r>
        <w:t xml:space="preserve"> um </w:t>
      </w:r>
      <w:r w:rsidRPr="00F436E4">
        <w:rPr>
          <w:sz w:val="20"/>
          <w:szCs w:val="20"/>
        </w:rPr>
        <w:t>modelo de estímulo ao mercado, por meio do qual o governo atuaria para fomentar um ambiente favorável à produção em massa de mercadoria habitacional, se necessário por meio de subsídios públicos</w:t>
      </w:r>
      <w:r>
        <w:rPr>
          <w:sz w:val="20"/>
          <w:szCs w:val="20"/>
        </w:rPr>
        <w:t xml:space="preserve">, </w:t>
      </w:r>
      <w:r w:rsidRPr="00F436E4">
        <w:t xml:space="preserve">sobretudo ao se considerar que os debates desenvolvidos acerca da política urbana e fundiária e do fortalecimento de um arranjo entre diversos agentes governamentais eram pautas da SNH que estavam indicadas tanto no PNH, quanto no </w:t>
      </w:r>
      <w:proofErr w:type="spellStart"/>
      <w:r w:rsidRPr="00F436E4">
        <w:t>PlanHab</w:t>
      </w:r>
      <w:proofErr w:type="spellEnd"/>
      <w:r w:rsidRPr="00F436E4">
        <w:t>, lançado após o Programa – e já se falou sobre o papel da SNH nesse processo. Por sua vez, as preocupações com a criação de um modelo de financiamento e subsídio e com a cadeia produtiva da construção civil, foram priorizados pela Casa Civil e pelo Ministério da Fazenda, órgãos que lideraram a arquitetura institucional do Programa.</w:t>
      </w:r>
    </w:p>
    <w:p w14:paraId="4D829420" w14:textId="762FCF67" w:rsidR="004438B9" w:rsidRPr="002E6546" w:rsidRDefault="002E6546" w:rsidP="002E6546">
      <w:pPr>
        <w:pStyle w:val="CorpodoTextoABNT0"/>
      </w:pPr>
      <w:r w:rsidRPr="00F436E4">
        <w:t xml:space="preserve">A tríplice aliança na coordenação de interesses em torno do PMCMV – governo, setor empresarial e movimentos sociais – pareceu muito promissora do ponto de vista político, e também representava um avanço em relação à experiência do BNH, mas o nítido desequilíbrio entre esses três elementos fez com que as suas finalidades macroeconômicas se sobressaltassem de imediato. </w:t>
      </w:r>
      <w:r w:rsidR="004438B9" w:rsidRPr="00C971D1">
        <w:rPr>
          <w:iCs/>
        </w:rPr>
        <w:t>Por questões atreladas a manutenção da governabilidade, os impulsos de criação do PMCMV foram melhor ajustados ao ritmo do capital financeiro, como indicou a proposta de inclusão social pela via do mercado, o que reduziu o seu potencial econômico redistributivo.</w:t>
      </w:r>
    </w:p>
    <w:p w14:paraId="70518C29" w14:textId="77777777" w:rsidR="002E6546" w:rsidRDefault="002E6546" w:rsidP="002E6546">
      <w:pPr>
        <w:pStyle w:val="CorpodoTextoABNT0"/>
      </w:pPr>
      <w:r>
        <w:t>Essa experiência é representativa de como a</w:t>
      </w:r>
      <w:r w:rsidRPr="00F436E4">
        <w:t xml:space="preserve"> formulação de políticas públicas democráticas e que promovam inclusão social é desafiada pela busca por legitimação política, pela administração da governabilidade e pelos circuitos econômicos do capitalismo, que informam sobre a decisão central do governo, a ser incorporada e traduzida pelo direito</w:t>
      </w:r>
      <w:r>
        <w:t>.</w:t>
      </w:r>
      <w:r>
        <w:t xml:space="preserve"> Nesse sentido, destaca-se a</w:t>
      </w:r>
      <w:r w:rsidR="004438B9">
        <w:t xml:space="preserve"> utilização das dimensões intragovernamental e extragovernamental para compreender a dinâmica que envolve a formulação e a</w:t>
      </w:r>
      <w:r>
        <w:t xml:space="preserve"> consequente</w:t>
      </w:r>
      <w:r w:rsidR="004438B9">
        <w:t xml:space="preserve"> implementação </w:t>
      </w:r>
      <w:r>
        <w:t>da ação governamental</w:t>
      </w:r>
      <w:r w:rsidR="004438B9">
        <w:t xml:space="preserve">. </w:t>
      </w:r>
    </w:p>
    <w:p w14:paraId="31265420" w14:textId="5B7C241A" w:rsidR="004438B9" w:rsidRPr="002E6546" w:rsidRDefault="004438B9" w:rsidP="002E6546">
      <w:pPr>
        <w:pStyle w:val="CorpodoTextoABNT0"/>
      </w:pPr>
      <w:r>
        <w:t>Enquanto a análise intragovernamental p</w:t>
      </w:r>
      <w:r w:rsidR="002E6546">
        <w:t>ermite</w:t>
      </w:r>
      <w:r>
        <w:t xml:space="preserve"> recuperar a memória institucional do setor, identificar as estruturas administrativas mobilizadas e examinar os marcos regulatórios que dão sustentação </w:t>
      </w:r>
      <w:r w:rsidR="002E6546">
        <w:t>à política pública</w:t>
      </w:r>
      <w:r>
        <w:t>, a perspectiva extragovernamental revel</w:t>
      </w:r>
      <w:r w:rsidR="002E6546">
        <w:t>a</w:t>
      </w:r>
      <w:r>
        <w:t xml:space="preserve"> o papel das pressões sociais, econômicas e políticas que incidem sobre o Estado. Essa articulação analítica </w:t>
      </w:r>
      <w:r>
        <w:lastRenderedPageBreak/>
        <w:t>evidencia que a ação governamental se constrói em permanente interação com forças externas</w:t>
      </w:r>
      <w:r w:rsidR="002E6546">
        <w:t xml:space="preserve"> </w:t>
      </w:r>
      <w:r>
        <w:t>e conjunturas econômicas mais amplas, mostrando que o direito opera como linguagem institucional por meio da qual essas disputas e negociações se tornam operáveis no interior do aparato estatal.</w:t>
      </w:r>
    </w:p>
    <w:p w14:paraId="3BEE5A42" w14:textId="37A60BFA" w:rsidR="00692CE5" w:rsidRDefault="004438B9" w:rsidP="002E6546">
      <w:pPr>
        <w:pStyle w:val="CorpodoTextoABNT0"/>
      </w:pPr>
      <w:r>
        <w:t xml:space="preserve">Por fim, </w:t>
      </w:r>
      <w:r w:rsidR="002E6546">
        <w:t xml:space="preserve">salienta-se que </w:t>
      </w:r>
      <w:r>
        <w:t xml:space="preserve">a análise das capacidades governamentais – em </w:t>
      </w:r>
      <w:r w:rsidR="002E6546">
        <w:t xml:space="preserve">seus aspectos </w:t>
      </w:r>
      <w:r>
        <w:t>polític</w:t>
      </w:r>
      <w:r w:rsidR="002E6546">
        <w:t>o</w:t>
      </w:r>
      <w:r>
        <w:t>, técnico-administrativ</w:t>
      </w:r>
      <w:r w:rsidR="002E6546">
        <w:t>o</w:t>
      </w:r>
      <w:r>
        <w:t xml:space="preserve"> e criativ</w:t>
      </w:r>
      <w:r w:rsidR="002E6546">
        <w:t>o</w:t>
      </w:r>
      <w:r>
        <w:t xml:space="preserve"> – contribui para iluminar os fatores que condicionam a efetividade das políticas públicas</w:t>
      </w:r>
      <w:r w:rsidR="002E6546">
        <w:t xml:space="preserve">, que ultrapassam a </w:t>
      </w:r>
      <w:r>
        <w:t xml:space="preserve">disponibilidade de recursos financeiros ou de decisões legislativas formais. Ao evidenciar essas dimensões, o instrumental analítico da abordagem Direito e Políticas Públicas reafirma sua relevância para o estudo de políticas sociais no contexto brasileiro, oferecendo ferramentas capazes de captar a complexidade das interações entre direito, política e </w:t>
      </w:r>
      <w:r w:rsidR="002E6546">
        <w:t>A</w:t>
      </w:r>
      <w:r>
        <w:t xml:space="preserve">dministração </w:t>
      </w:r>
      <w:r w:rsidR="002E6546">
        <w:t>P</w:t>
      </w:r>
      <w:r>
        <w:t xml:space="preserve">ública na construção de respostas institucionais para problemas sociais </w:t>
      </w:r>
      <w:r w:rsidR="002E6546">
        <w:t>complexos.</w:t>
      </w:r>
    </w:p>
    <w:p w14:paraId="78263C53" w14:textId="77777777" w:rsidR="00A80277" w:rsidRPr="002E6546" w:rsidRDefault="00A80277" w:rsidP="002E6546">
      <w:pPr>
        <w:pStyle w:val="CorpodoTextoABNT0"/>
        <w:rPr>
          <w:rFonts w:eastAsia="Times New Roman"/>
        </w:rPr>
      </w:pPr>
    </w:p>
    <w:sdt>
      <w:sdtPr>
        <w:id w:val="-715508146"/>
        <w:docPartObj>
          <w:docPartGallery w:val="Bibliographies"/>
          <w:docPartUnique/>
        </w:docPartObj>
      </w:sdtPr>
      <w:sdtEndPr>
        <w:rPr>
          <w:rFonts w:asciiTheme="minorHAnsi" w:eastAsiaTheme="minorHAnsi" w:hAnsiTheme="minorHAnsi" w:cstheme="minorBidi"/>
          <w:b w:val="0"/>
          <w:bCs w:val="0"/>
          <w:color w:val="auto"/>
          <w:sz w:val="22"/>
          <w:szCs w:val="22"/>
        </w:rPr>
      </w:sdtEndPr>
      <w:sdtContent>
        <w:p w14:paraId="77253404" w14:textId="4EEA532E" w:rsidR="00692CE5" w:rsidRDefault="00692CE5" w:rsidP="00A80277">
          <w:pPr>
            <w:pStyle w:val="Ttulo1"/>
          </w:pPr>
          <w:r>
            <w:t xml:space="preserve">REFERÊNCIAS </w:t>
          </w:r>
          <w:r>
            <w:br/>
          </w:r>
        </w:p>
        <w:sdt>
          <w:sdtPr>
            <w:id w:val="111145805"/>
            <w:bibliography/>
          </w:sdtPr>
          <w:sdtContent>
            <w:p w14:paraId="7D11DC8A" w14:textId="77777777" w:rsidR="004438B9" w:rsidRPr="00A80277" w:rsidRDefault="00692CE5"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sz w:val="24"/>
                  <w:szCs w:val="24"/>
                </w:rPr>
                <w:fldChar w:fldCharType="begin"/>
              </w:r>
              <w:r w:rsidRPr="00A80277">
                <w:rPr>
                  <w:rFonts w:ascii="Times New Roman" w:hAnsi="Times New Roman" w:cs="Times New Roman"/>
                  <w:sz w:val="24"/>
                  <w:szCs w:val="24"/>
                </w:rPr>
                <w:instrText>BIBLIOGRAPHY</w:instrText>
              </w:r>
              <w:r w:rsidRPr="00A80277">
                <w:rPr>
                  <w:rFonts w:ascii="Times New Roman" w:hAnsi="Times New Roman" w:cs="Times New Roman"/>
                  <w:sz w:val="24"/>
                  <w:szCs w:val="24"/>
                </w:rPr>
                <w:fldChar w:fldCharType="separate"/>
              </w:r>
              <w:r w:rsidR="004438B9" w:rsidRPr="00A80277">
                <w:rPr>
                  <w:rFonts w:ascii="Times New Roman" w:hAnsi="Times New Roman" w:cs="Times New Roman"/>
                  <w:noProof/>
                  <w:sz w:val="24"/>
                  <w:szCs w:val="24"/>
                </w:rPr>
                <w:t xml:space="preserve">ABRANCHES, S. H. H. D. Presidencialismo de coalizão: o dilema institucional brasileiro. </w:t>
              </w:r>
              <w:r w:rsidR="004438B9" w:rsidRPr="00A80277">
                <w:rPr>
                  <w:rFonts w:ascii="Times New Roman" w:hAnsi="Times New Roman" w:cs="Times New Roman"/>
                  <w:b/>
                  <w:bCs/>
                  <w:noProof/>
                  <w:sz w:val="24"/>
                  <w:szCs w:val="24"/>
                </w:rPr>
                <w:t>dados - Revista de Ciências Sociais</w:t>
              </w:r>
              <w:r w:rsidR="004438B9" w:rsidRPr="00A80277">
                <w:rPr>
                  <w:rFonts w:ascii="Times New Roman" w:hAnsi="Times New Roman" w:cs="Times New Roman"/>
                  <w:noProof/>
                  <w:sz w:val="24"/>
                  <w:szCs w:val="24"/>
                </w:rPr>
                <w:t>, Rio de Janeiro, v. 31, n. 1, 1988. 5-34.</w:t>
              </w:r>
            </w:p>
            <w:p w14:paraId="4B74AAFA"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31468CD9" w14:textId="0259D608"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ARAGÃO, T. A.; CARDOSO, A. L. A reestruturação do setor imobiliário e o Programa Minha Casa Minha Vida. In: MENDONÇA, J. G. D.; COSTA, H. S. D. M. </w:t>
              </w:r>
              <w:r w:rsidRPr="00A80277">
                <w:rPr>
                  <w:rFonts w:ascii="Times New Roman" w:hAnsi="Times New Roman" w:cs="Times New Roman"/>
                  <w:b/>
                  <w:bCs/>
                  <w:noProof/>
                  <w:sz w:val="24"/>
                  <w:szCs w:val="24"/>
                </w:rPr>
                <w:t>Estado e capital imobiliário:</w:t>
              </w:r>
              <w:r w:rsidRPr="00A80277">
                <w:rPr>
                  <w:rFonts w:ascii="Times New Roman" w:hAnsi="Times New Roman" w:cs="Times New Roman"/>
                  <w:noProof/>
                  <w:sz w:val="24"/>
                  <w:szCs w:val="24"/>
                </w:rPr>
                <w:t xml:space="preserve"> convergências atuais na produção do espaço brasileiro. Belo Horizonte: C/Arte, 2012. p. 81-106.</w:t>
              </w:r>
            </w:p>
            <w:p w14:paraId="1BACF59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29187534" w14:textId="2A550BA8" w:rsidR="00A80277" w:rsidRDefault="004438B9" w:rsidP="00A80277">
              <w:pPr>
                <w:pStyle w:val="Bibliografia"/>
                <w:spacing w:after="0" w:line="240" w:lineRule="auto"/>
                <w:jc w:val="both"/>
                <w:rPr>
                  <w:rFonts w:ascii="Times New Roman" w:hAnsi="Times New Roman" w:cs="Times New Roman"/>
                  <w:b/>
                  <w:bCs/>
                  <w:noProof/>
                  <w:sz w:val="24"/>
                  <w:szCs w:val="24"/>
                </w:rPr>
              </w:pPr>
              <w:r w:rsidRPr="00A80277">
                <w:rPr>
                  <w:rFonts w:ascii="Times New Roman" w:hAnsi="Times New Roman" w:cs="Times New Roman"/>
                  <w:noProof/>
                  <w:sz w:val="24"/>
                  <w:szCs w:val="24"/>
                </w:rPr>
                <w:t xml:space="preserve">ARAÚJO, V. D. C. </w:t>
              </w:r>
              <w:r w:rsidRPr="00A80277">
                <w:rPr>
                  <w:rFonts w:ascii="Times New Roman" w:hAnsi="Times New Roman" w:cs="Times New Roman"/>
                  <w:b/>
                  <w:bCs/>
                  <w:noProof/>
                  <w:sz w:val="24"/>
                  <w:szCs w:val="24"/>
                </w:rPr>
                <w:t xml:space="preserve">A conceituação de governabilidade e governança, da sua relação </w:t>
              </w:r>
            </w:p>
            <w:p w14:paraId="7A963E44" w14:textId="55D009E5"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b/>
                  <w:bCs/>
                  <w:noProof/>
                  <w:sz w:val="24"/>
                  <w:szCs w:val="24"/>
                </w:rPr>
                <w:t>entre si e com o conjunto da reforma do Estado e do seu aparelho</w:t>
              </w:r>
              <w:r w:rsidRPr="00A80277">
                <w:rPr>
                  <w:rFonts w:ascii="Times New Roman" w:hAnsi="Times New Roman" w:cs="Times New Roman"/>
                  <w:noProof/>
                  <w:sz w:val="24"/>
                  <w:szCs w:val="24"/>
                </w:rPr>
                <w:t>. Brasília: ENAP, 2002.</w:t>
              </w:r>
            </w:p>
            <w:p w14:paraId="10B509B1"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70DFA3F2" w14:textId="555749BF"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AZEVEDO, S. D.; ANDRADE, L. A. G. D. </w:t>
              </w:r>
              <w:r w:rsidRPr="00A80277">
                <w:rPr>
                  <w:rFonts w:ascii="Times New Roman" w:hAnsi="Times New Roman" w:cs="Times New Roman"/>
                  <w:b/>
                  <w:bCs/>
                  <w:noProof/>
                  <w:sz w:val="24"/>
                  <w:szCs w:val="24"/>
                </w:rPr>
                <w:t>Habitação e poder:</w:t>
              </w:r>
              <w:r w:rsidRPr="00A80277">
                <w:rPr>
                  <w:rFonts w:ascii="Times New Roman" w:hAnsi="Times New Roman" w:cs="Times New Roman"/>
                  <w:noProof/>
                  <w:sz w:val="24"/>
                  <w:szCs w:val="24"/>
                </w:rPr>
                <w:t xml:space="preserve"> da Fundação da Casa Popular ao Banco Nacional Habitação. Rio de Janeiro: Centro Edelstein de Pesquisas Sociais, 2011.</w:t>
              </w:r>
            </w:p>
            <w:p w14:paraId="4AFC43AF"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4EA174D2" w14:textId="0C4194F5"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BASSUL, J. R. Reforma urbana e Estatuto da Cidade. </w:t>
              </w:r>
              <w:r w:rsidRPr="00A80277">
                <w:rPr>
                  <w:rFonts w:ascii="Times New Roman" w:hAnsi="Times New Roman" w:cs="Times New Roman"/>
                  <w:b/>
                  <w:bCs/>
                  <w:noProof/>
                  <w:sz w:val="24"/>
                  <w:szCs w:val="24"/>
                </w:rPr>
                <w:t>EURE (Santiago)</w:t>
              </w:r>
              <w:r w:rsidRPr="00A80277">
                <w:rPr>
                  <w:rFonts w:ascii="Times New Roman" w:hAnsi="Times New Roman" w:cs="Times New Roman"/>
                  <w:noProof/>
                  <w:sz w:val="24"/>
                  <w:szCs w:val="24"/>
                </w:rPr>
                <w:t>, Santiago, v. 28, n. 84, set. 2002. 133-144. Disponivel em: &lt;https://www.scielo.cl/scielo.php?pid=S0250-71612002008400008&amp;script=sci_arttext&amp;tlng=pt&gt;. Acesso em: 20 jan. 2022.</w:t>
              </w:r>
            </w:p>
            <w:p w14:paraId="60C1E981"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230B8A83" w14:textId="4ABD71C2"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BONDUKI, N. G. Política habitacional e inclusão social no Brasil: revisão histórica e novas perspectivas no governo Lula. </w:t>
              </w:r>
              <w:r w:rsidRPr="00A80277">
                <w:rPr>
                  <w:rFonts w:ascii="Times New Roman" w:hAnsi="Times New Roman" w:cs="Times New Roman"/>
                  <w:b/>
                  <w:bCs/>
                  <w:noProof/>
                  <w:sz w:val="24"/>
                  <w:szCs w:val="24"/>
                </w:rPr>
                <w:t>Arq.urb</w:t>
              </w:r>
              <w:r w:rsidRPr="00A80277">
                <w:rPr>
                  <w:rFonts w:ascii="Times New Roman" w:hAnsi="Times New Roman" w:cs="Times New Roman"/>
                  <w:noProof/>
                  <w:sz w:val="24"/>
                  <w:szCs w:val="24"/>
                </w:rPr>
                <w:t>, n. 1, 2008. 70-104.</w:t>
              </w:r>
            </w:p>
            <w:p w14:paraId="3797D38B"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0CCD7E7D" w14:textId="0A27E564"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BONDUKI, N. G. Planos Locais de Habitação: das origens aos dilemas atuais nas regiões metropolitanas. In: DENALDI, R. </w:t>
              </w:r>
              <w:r w:rsidRPr="00A80277">
                <w:rPr>
                  <w:rFonts w:ascii="Times New Roman" w:hAnsi="Times New Roman" w:cs="Times New Roman"/>
                  <w:b/>
                  <w:bCs/>
                  <w:noProof/>
                  <w:sz w:val="24"/>
                  <w:szCs w:val="24"/>
                </w:rPr>
                <w:t>Planejamento habitacional:</w:t>
              </w:r>
              <w:r w:rsidRPr="00A80277">
                <w:rPr>
                  <w:rFonts w:ascii="Times New Roman" w:hAnsi="Times New Roman" w:cs="Times New Roman"/>
                  <w:noProof/>
                  <w:sz w:val="24"/>
                  <w:szCs w:val="24"/>
                </w:rPr>
                <w:t xml:space="preserve"> notas sobre a precariedade e terra nos Planos Locais de Habitação. São Paulo: Annablume, 2013. p. 29-43.</w:t>
              </w:r>
            </w:p>
            <w:p w14:paraId="1E0EEDF9"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427A2C0B" w14:textId="569B4766"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BONDUKI, N. G. </w:t>
              </w:r>
              <w:r w:rsidRPr="00A80277">
                <w:rPr>
                  <w:rFonts w:ascii="Times New Roman" w:hAnsi="Times New Roman" w:cs="Times New Roman"/>
                  <w:b/>
                  <w:bCs/>
                  <w:noProof/>
                  <w:sz w:val="24"/>
                  <w:szCs w:val="24"/>
                </w:rPr>
                <w:t>Os pioneiros da habitação social:</w:t>
              </w:r>
              <w:r w:rsidRPr="00A80277">
                <w:rPr>
                  <w:rFonts w:ascii="Times New Roman" w:hAnsi="Times New Roman" w:cs="Times New Roman"/>
                  <w:noProof/>
                  <w:sz w:val="24"/>
                  <w:szCs w:val="24"/>
                </w:rPr>
                <w:t xml:space="preserve"> cem anos de política pública no Brasil. São Paulo: Editora UNESP; Edições Sesc, v. 1, 2014.</w:t>
              </w:r>
            </w:p>
            <w:p w14:paraId="59FC8106"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51CDA41B" w14:textId="695E1946"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lastRenderedPageBreak/>
                <w:t xml:space="preserve">BRASIL. </w:t>
              </w:r>
              <w:r w:rsidRPr="00A80277">
                <w:rPr>
                  <w:rFonts w:ascii="Times New Roman" w:hAnsi="Times New Roman" w:cs="Times New Roman"/>
                  <w:b/>
                  <w:bCs/>
                  <w:noProof/>
                  <w:sz w:val="24"/>
                  <w:szCs w:val="24"/>
                </w:rPr>
                <w:t>Plano plurianual 2004-2007:</w:t>
              </w:r>
              <w:r w:rsidRPr="00A80277">
                <w:rPr>
                  <w:rFonts w:ascii="Times New Roman" w:hAnsi="Times New Roman" w:cs="Times New Roman"/>
                  <w:noProof/>
                  <w:sz w:val="24"/>
                  <w:szCs w:val="24"/>
                </w:rPr>
                <w:t xml:space="preserve"> projeto de lei de revisão. Brasília: [s.n.], v. II, 2004. v. II p.</w:t>
              </w:r>
            </w:p>
            <w:p w14:paraId="591D8B7B" w14:textId="4BA013C3" w:rsidR="004438B9" w:rsidRPr="00A80277" w:rsidRDefault="004438B9" w:rsidP="00A80277">
              <w:pPr>
                <w:pStyle w:val="Bibliografia"/>
                <w:spacing w:after="0" w:line="240" w:lineRule="auto"/>
                <w:jc w:val="both"/>
                <w:rPr>
                  <w:rFonts w:ascii="Times New Roman" w:hAnsi="Times New Roman" w:cs="Times New Roman"/>
                  <w:noProof/>
                  <w:sz w:val="24"/>
                  <w:szCs w:val="24"/>
                </w:rPr>
              </w:pPr>
            </w:p>
            <w:p w14:paraId="5D7CC832" w14:textId="77777777"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BUCCI, M. P. D. O conceito de política pública em direito. In: BUCCI, M. P. D. </w:t>
              </w:r>
              <w:r w:rsidRPr="00A80277">
                <w:rPr>
                  <w:rFonts w:ascii="Times New Roman" w:hAnsi="Times New Roman" w:cs="Times New Roman"/>
                  <w:b/>
                  <w:bCs/>
                  <w:noProof/>
                  <w:sz w:val="24"/>
                  <w:szCs w:val="24"/>
                </w:rPr>
                <w:t>Políticas Públicas. Reflexões sobre o Conceito.</w:t>
              </w:r>
              <w:r w:rsidRPr="00A80277">
                <w:rPr>
                  <w:rFonts w:ascii="Times New Roman" w:hAnsi="Times New Roman" w:cs="Times New Roman"/>
                  <w:noProof/>
                  <w:sz w:val="24"/>
                  <w:szCs w:val="24"/>
                </w:rPr>
                <w:t xml:space="preserve"> São Paulo: Saraiva, 2006.</w:t>
              </w:r>
            </w:p>
            <w:p w14:paraId="76217F3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17191031" w14:textId="5723091D"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BUCCI, M. P. D. Quadro de Referência de uma Política Pública: primeiras linhas de uma visão jurídico-institucional. In: SMANIO, G. P.; BERTOLIN, P. T.; MASSMANN, P. B. </w:t>
              </w:r>
              <w:r w:rsidRPr="00A80277">
                <w:rPr>
                  <w:rFonts w:ascii="Times New Roman" w:hAnsi="Times New Roman" w:cs="Times New Roman"/>
                  <w:b/>
                  <w:bCs/>
                  <w:noProof/>
                  <w:sz w:val="24"/>
                  <w:szCs w:val="24"/>
                </w:rPr>
                <w:t>O Direito na Fronteira das Políticas Públicas</w:t>
              </w:r>
              <w:r w:rsidRPr="00A80277">
                <w:rPr>
                  <w:rFonts w:ascii="Times New Roman" w:hAnsi="Times New Roman" w:cs="Times New Roman"/>
                  <w:noProof/>
                  <w:sz w:val="24"/>
                  <w:szCs w:val="24"/>
                </w:rPr>
                <w:t>. 2ª. ed. São Paulo: Páginas e Letras Editora e Gráfica, 2015.</w:t>
              </w:r>
            </w:p>
            <w:p w14:paraId="76BE95D7"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378EDC1A" w14:textId="7E1B41F7"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BUCCI, M. P. D. Método e aplicações da abordagem Direito e Políticas Públicas (DPP). </w:t>
              </w:r>
              <w:r w:rsidRPr="00A80277">
                <w:rPr>
                  <w:rFonts w:ascii="Times New Roman" w:hAnsi="Times New Roman" w:cs="Times New Roman"/>
                  <w:b/>
                  <w:bCs/>
                  <w:noProof/>
                  <w:sz w:val="24"/>
                  <w:szCs w:val="24"/>
                </w:rPr>
                <w:t>Revista Estudos Institucionais</w:t>
              </w:r>
              <w:r w:rsidRPr="00A80277">
                <w:rPr>
                  <w:rFonts w:ascii="Times New Roman" w:hAnsi="Times New Roman" w:cs="Times New Roman"/>
                  <w:noProof/>
                  <w:sz w:val="24"/>
                  <w:szCs w:val="24"/>
                </w:rPr>
                <w:t>, v. 9, n. 3, set./dez. 2019. 791-832.</w:t>
              </w:r>
            </w:p>
            <w:p w14:paraId="4AF003A7"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7E9EA30A" w14:textId="088755B7"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BUCCI, M. P. D. </w:t>
              </w:r>
              <w:r w:rsidRPr="00A80277">
                <w:rPr>
                  <w:rFonts w:ascii="Times New Roman" w:hAnsi="Times New Roman" w:cs="Times New Roman"/>
                  <w:b/>
                  <w:bCs/>
                  <w:noProof/>
                  <w:sz w:val="24"/>
                  <w:szCs w:val="24"/>
                </w:rPr>
                <w:t>Fundamentos para uma teoria jurídica das políticas públicas</w:t>
              </w:r>
              <w:r w:rsidRPr="00A80277">
                <w:rPr>
                  <w:rFonts w:ascii="Times New Roman" w:hAnsi="Times New Roman" w:cs="Times New Roman"/>
                  <w:noProof/>
                  <w:sz w:val="24"/>
                  <w:szCs w:val="24"/>
                </w:rPr>
                <w:t>. 2ª. ed. São Paulo: Saraiva Educação, 2021.</w:t>
              </w:r>
            </w:p>
            <w:p w14:paraId="5EAC124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26E1AF6B" w14:textId="74C90404"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BUCCI, M. P. D.; SOUZA, M. S. D. A abordagem Direito e políticas públicas: temas para uma agenda de pesquisa. </w:t>
              </w:r>
              <w:r w:rsidRPr="00A80277">
                <w:rPr>
                  <w:rFonts w:ascii="Times New Roman" w:hAnsi="Times New Roman" w:cs="Times New Roman"/>
                  <w:b/>
                  <w:bCs/>
                  <w:noProof/>
                  <w:sz w:val="24"/>
                  <w:szCs w:val="24"/>
                </w:rPr>
                <w:t>Sequência</w:t>
              </w:r>
              <w:r w:rsidRPr="00A80277">
                <w:rPr>
                  <w:rFonts w:ascii="Times New Roman" w:hAnsi="Times New Roman" w:cs="Times New Roman"/>
                  <w:noProof/>
                  <w:sz w:val="24"/>
                  <w:szCs w:val="24"/>
                </w:rPr>
                <w:t>, Florianópolis, v. 43, n. 90, 43, 2022. 1-28. Disponivel em: &lt;https://www.scielo.br/j/seq/a/VZ9b5j6chf7tPL3RB3qXsxh/abstract/?lang=pt&gt;. Acesso em: 11 abr. 2023.</w:t>
              </w:r>
            </w:p>
            <w:p w14:paraId="5E68D2DF"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3B136E38" w14:textId="0A46EFC3"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BUONFIGLIO, L. V. Habitação de interesse social. </w:t>
              </w:r>
              <w:r w:rsidRPr="00A80277">
                <w:rPr>
                  <w:rFonts w:ascii="Times New Roman" w:hAnsi="Times New Roman" w:cs="Times New Roman"/>
                  <w:b/>
                  <w:bCs/>
                  <w:noProof/>
                  <w:sz w:val="24"/>
                  <w:szCs w:val="24"/>
                </w:rPr>
                <w:t>Mercator</w:t>
              </w:r>
              <w:r w:rsidRPr="00A80277">
                <w:rPr>
                  <w:rFonts w:ascii="Times New Roman" w:hAnsi="Times New Roman" w:cs="Times New Roman"/>
                  <w:noProof/>
                  <w:sz w:val="24"/>
                  <w:szCs w:val="24"/>
                </w:rPr>
                <w:t>, Fortaleza, v. 17, 2018.</w:t>
              </w:r>
            </w:p>
            <w:p w14:paraId="0B8A85F0"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737825B8" w14:textId="766E9657"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CARDOSO, A. L.; ARAGÃO, T. A. Do fim do BNH ao Programa Minha Casa Minha Vida: 25 anos da política habitacional no Brasil. In: CARDOSO, A. L. </w:t>
              </w:r>
              <w:r w:rsidRPr="00A80277">
                <w:rPr>
                  <w:rFonts w:ascii="Times New Roman" w:hAnsi="Times New Roman" w:cs="Times New Roman"/>
                  <w:b/>
                  <w:bCs/>
                  <w:noProof/>
                  <w:sz w:val="24"/>
                  <w:szCs w:val="24"/>
                </w:rPr>
                <w:t>O Programa Minha Casa Minha Vida e seus Efeitos Territoriais</w:t>
              </w:r>
              <w:r w:rsidRPr="00A80277">
                <w:rPr>
                  <w:rFonts w:ascii="Times New Roman" w:hAnsi="Times New Roman" w:cs="Times New Roman"/>
                  <w:noProof/>
                  <w:sz w:val="24"/>
                  <w:szCs w:val="24"/>
                </w:rPr>
                <w:t>. Rio de Janeiro: Letra Capital, 2013. p. 17-65.</w:t>
              </w:r>
            </w:p>
            <w:p w14:paraId="457369E0"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634BF9B4" w14:textId="5C410541"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COUTINHO, D. R. O direito nas políticas públicas. In: EDUARDO MARQUES, C. A. P. D. F. </w:t>
              </w:r>
              <w:r w:rsidRPr="00A80277">
                <w:rPr>
                  <w:rFonts w:ascii="Times New Roman" w:hAnsi="Times New Roman" w:cs="Times New Roman"/>
                  <w:b/>
                  <w:bCs/>
                  <w:noProof/>
                  <w:sz w:val="24"/>
                  <w:szCs w:val="24"/>
                </w:rPr>
                <w:t>A política pública como campo multidisciplinar</w:t>
              </w:r>
              <w:r w:rsidRPr="00A80277">
                <w:rPr>
                  <w:rFonts w:ascii="Times New Roman" w:hAnsi="Times New Roman" w:cs="Times New Roman"/>
                  <w:noProof/>
                  <w:sz w:val="24"/>
                  <w:szCs w:val="24"/>
                </w:rPr>
                <w:t>. Rio de Janeiro: Editora Fiocruz, 2013. p. 181-200.</w:t>
              </w:r>
            </w:p>
            <w:p w14:paraId="73550FDF"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74B763F3" w14:textId="77B1995A"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DALLARI, D. </w:t>
              </w:r>
              <w:r w:rsidRPr="00A80277">
                <w:rPr>
                  <w:rFonts w:ascii="Times New Roman" w:hAnsi="Times New Roman" w:cs="Times New Roman"/>
                  <w:b/>
                  <w:bCs/>
                  <w:noProof/>
                  <w:sz w:val="24"/>
                  <w:szCs w:val="24"/>
                </w:rPr>
                <w:t>Elementos de Teoria Geral do Estado</w:t>
              </w:r>
              <w:r w:rsidRPr="00A80277">
                <w:rPr>
                  <w:rFonts w:ascii="Times New Roman" w:hAnsi="Times New Roman" w:cs="Times New Roman"/>
                  <w:noProof/>
                  <w:sz w:val="24"/>
                  <w:szCs w:val="24"/>
                </w:rPr>
                <w:t>. 20. ed. São Paulo: Saraiva, 1998.</w:t>
              </w:r>
            </w:p>
            <w:p w14:paraId="69033D7C"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3A826141" w14:textId="214ED9B8"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FIX, M. </w:t>
              </w:r>
              <w:r w:rsidRPr="00A80277">
                <w:rPr>
                  <w:rFonts w:ascii="Times New Roman" w:hAnsi="Times New Roman" w:cs="Times New Roman"/>
                  <w:b/>
                  <w:bCs/>
                  <w:noProof/>
                  <w:sz w:val="24"/>
                  <w:szCs w:val="24"/>
                </w:rPr>
                <w:t>Financeirização e transformações recentes no circuito imobiliário no Brasil. 2011. Tese (Doutorado em Desenvolvimento Econômico), Instituto de Economia</w:t>
              </w:r>
              <w:r w:rsidRPr="00A80277">
                <w:rPr>
                  <w:rFonts w:ascii="Times New Roman" w:hAnsi="Times New Roman" w:cs="Times New Roman"/>
                  <w:noProof/>
                  <w:sz w:val="24"/>
                  <w:szCs w:val="24"/>
                </w:rPr>
                <w:t>. Campinas: [s.n.], 2011.</w:t>
              </w:r>
            </w:p>
            <w:p w14:paraId="7E0B2865"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36D9DDBF" w14:textId="3C5AAF7D"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FURTADO, C. Auto-retrato intelectual. In: OLIVEIRA, F. D. </w:t>
              </w:r>
              <w:r w:rsidRPr="00A80277">
                <w:rPr>
                  <w:rFonts w:ascii="Times New Roman" w:hAnsi="Times New Roman" w:cs="Times New Roman"/>
                  <w:b/>
                  <w:bCs/>
                  <w:noProof/>
                  <w:sz w:val="24"/>
                  <w:szCs w:val="24"/>
                </w:rPr>
                <w:t>Celso Furtado</w:t>
              </w:r>
              <w:r w:rsidRPr="00A80277">
                <w:rPr>
                  <w:rFonts w:ascii="Times New Roman" w:hAnsi="Times New Roman" w:cs="Times New Roman"/>
                  <w:noProof/>
                  <w:sz w:val="24"/>
                  <w:szCs w:val="24"/>
                </w:rPr>
                <w:t>. São Paulo: Ática, 1983. p. 30-41.</w:t>
              </w:r>
            </w:p>
            <w:p w14:paraId="2D9B3AE8"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5F1CA7C6" w14:textId="0D19B0AB"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GOMES, A. M. I. D. S. O direito à cidade sob uma perspectiva jurídico-sociológica. </w:t>
              </w:r>
              <w:r w:rsidRPr="00A80277">
                <w:rPr>
                  <w:rFonts w:ascii="Times New Roman" w:hAnsi="Times New Roman" w:cs="Times New Roman"/>
                  <w:b/>
                  <w:bCs/>
                  <w:noProof/>
                  <w:sz w:val="24"/>
                  <w:szCs w:val="24"/>
                </w:rPr>
                <w:t>Revista Direito GV</w:t>
              </w:r>
              <w:r w:rsidRPr="00A80277">
                <w:rPr>
                  <w:rFonts w:ascii="Times New Roman" w:hAnsi="Times New Roman" w:cs="Times New Roman"/>
                  <w:noProof/>
                  <w:sz w:val="24"/>
                  <w:szCs w:val="24"/>
                </w:rPr>
                <w:t>, v. 14, n. 2, 2018. 459-512.</w:t>
              </w:r>
            </w:p>
            <w:p w14:paraId="39E399B0"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695D4A64" w14:textId="372FA542"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GOMIDE, A. D. Á.; PIRES, R. R. C. Capacidades estatais para o desenvolvimento no século XXI. </w:t>
              </w:r>
              <w:r w:rsidRPr="00A80277">
                <w:rPr>
                  <w:rFonts w:ascii="Times New Roman" w:hAnsi="Times New Roman" w:cs="Times New Roman"/>
                  <w:b/>
                  <w:bCs/>
                  <w:noProof/>
                  <w:sz w:val="24"/>
                  <w:szCs w:val="24"/>
                </w:rPr>
                <w:t>Boletim de análise político-institucional</w:t>
              </w:r>
              <w:r w:rsidRPr="00A80277">
                <w:rPr>
                  <w:rFonts w:ascii="Times New Roman" w:hAnsi="Times New Roman" w:cs="Times New Roman"/>
                  <w:noProof/>
                  <w:sz w:val="24"/>
                  <w:szCs w:val="24"/>
                </w:rPr>
                <w:t>, Brasília, n. 2, 2012. 25-30. Disponivel em: &lt;https://repositorio.ipea.gov.br/bitstream/11058/6760/2/BAPI_n02_p25-30_RD_Capacidades-estatais_Diest_2012-ago.pdf&gt;. Acesso em: 25 jan. 2023.</w:t>
              </w:r>
            </w:p>
            <w:p w14:paraId="6B0776C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3AFBDB02" w14:textId="6B8BBE11"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lastRenderedPageBreak/>
                <w:t xml:space="preserve">IPEA. Muito mais do que um teto. </w:t>
              </w:r>
              <w:r w:rsidRPr="00A80277">
                <w:rPr>
                  <w:rFonts w:ascii="Times New Roman" w:hAnsi="Times New Roman" w:cs="Times New Roman"/>
                  <w:b/>
                  <w:bCs/>
                  <w:noProof/>
                  <w:sz w:val="24"/>
                  <w:szCs w:val="24"/>
                </w:rPr>
                <w:t>Desafios do desenvolvimento</w:t>
              </w:r>
              <w:r w:rsidRPr="00A80277">
                <w:rPr>
                  <w:rFonts w:ascii="Times New Roman" w:hAnsi="Times New Roman" w:cs="Times New Roman"/>
                  <w:noProof/>
                  <w:sz w:val="24"/>
                  <w:szCs w:val="24"/>
                </w:rPr>
                <w:t>, Edição 79, 23 mai. 2014. Disponivel em: &lt;https://www.ipea.gov.br/desafios/index.php?option=com_content&amp;view=article&amp;id=3027:catid=28&amp;&gt;. Acesso em: 13 jul. 2023.</w:t>
              </w:r>
            </w:p>
            <w:p w14:paraId="0C01C038"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6B0DBF27" w14:textId="18659494"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KLINTOWITZ, D. Por que o Programa Minha Casa Minha Vida só poderia acontecer em um governo petista? </w:t>
              </w:r>
              <w:r w:rsidRPr="00A80277">
                <w:rPr>
                  <w:rFonts w:ascii="Times New Roman" w:hAnsi="Times New Roman" w:cs="Times New Roman"/>
                  <w:b/>
                  <w:bCs/>
                  <w:noProof/>
                  <w:sz w:val="24"/>
                  <w:szCs w:val="24"/>
                </w:rPr>
                <w:t>Cad. Metrop.</w:t>
              </w:r>
              <w:r w:rsidRPr="00A80277">
                <w:rPr>
                  <w:rFonts w:ascii="Times New Roman" w:hAnsi="Times New Roman" w:cs="Times New Roman"/>
                  <w:noProof/>
                  <w:sz w:val="24"/>
                  <w:szCs w:val="24"/>
                </w:rPr>
                <w:t>, São Paulo, v. 18, n. 35, abr. 2016. 165-190. Disponivel em: &lt;https://www.scielo.br/j/cm/a/WPBGnhjVhxLdzGXGNFTdYRQ/?lang=pt&gt;. Acesso em: 25 jan. 2023.</w:t>
              </w:r>
            </w:p>
            <w:p w14:paraId="0C64F932"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096B3CCC" w14:textId="3A37DEA3"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LEVI, L. Verbete "Governo". In: BOBBIO, N.; MATTEUCCI, N.; PASQUINO, G. </w:t>
              </w:r>
              <w:r w:rsidRPr="00A80277">
                <w:rPr>
                  <w:rFonts w:ascii="Times New Roman" w:hAnsi="Times New Roman" w:cs="Times New Roman"/>
                  <w:b/>
                  <w:bCs/>
                  <w:noProof/>
                  <w:sz w:val="24"/>
                  <w:szCs w:val="24"/>
                </w:rPr>
                <w:t>Dicionário de política</w:t>
              </w:r>
              <w:r w:rsidRPr="00A80277">
                <w:rPr>
                  <w:rFonts w:ascii="Times New Roman" w:hAnsi="Times New Roman" w:cs="Times New Roman"/>
                  <w:noProof/>
                  <w:sz w:val="24"/>
                  <w:szCs w:val="24"/>
                </w:rPr>
                <w:t>. 1ª. ed. Brasília: Universidade de Brasília, 1998. p. 553-555.</w:t>
              </w:r>
            </w:p>
            <w:p w14:paraId="00170528"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72081AE0" w14:textId="18B8AECF"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LOUREIRO, M. R.; MACÁRIO, V.; GUERRA, P. </w:t>
              </w:r>
              <w:r w:rsidRPr="00A80277">
                <w:rPr>
                  <w:rFonts w:ascii="Times New Roman" w:hAnsi="Times New Roman" w:cs="Times New Roman"/>
                  <w:b/>
                  <w:bCs/>
                  <w:noProof/>
                  <w:sz w:val="24"/>
                  <w:szCs w:val="24"/>
                </w:rPr>
                <w:t>Democracia, arenas decisórias e políticas públicas:</w:t>
              </w:r>
              <w:r w:rsidRPr="00A80277">
                <w:rPr>
                  <w:rFonts w:ascii="Times New Roman" w:hAnsi="Times New Roman" w:cs="Times New Roman"/>
                  <w:noProof/>
                  <w:sz w:val="24"/>
                  <w:szCs w:val="24"/>
                </w:rPr>
                <w:t xml:space="preserve"> o Programa Minha Casa Minha Vida. Brasília: Instituto de Pesquisa Econômica Aplicada, 2013.</w:t>
              </w:r>
            </w:p>
            <w:p w14:paraId="04A2C2E9"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3BFBE921" w14:textId="0E2D8DBA"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LOUREIRO, M. R.; MACÁRIO, V.; GUERRA, P. H. Legitimidade e efetividade em arranjos institucionais de políticas públicas: o Programa Minha Casa Minha Vida. </w:t>
              </w:r>
              <w:r w:rsidRPr="00A80277">
                <w:rPr>
                  <w:rFonts w:ascii="Times New Roman" w:hAnsi="Times New Roman" w:cs="Times New Roman"/>
                  <w:b/>
                  <w:bCs/>
                  <w:noProof/>
                  <w:sz w:val="24"/>
                  <w:szCs w:val="24"/>
                </w:rPr>
                <w:t>Revista de Administração Pública</w:t>
              </w:r>
              <w:r w:rsidRPr="00A80277">
                <w:rPr>
                  <w:rFonts w:ascii="Times New Roman" w:hAnsi="Times New Roman" w:cs="Times New Roman"/>
                  <w:noProof/>
                  <w:sz w:val="24"/>
                  <w:szCs w:val="24"/>
                </w:rPr>
                <w:t>, Rio de Janeiro, v. 49, n. 6, nov./dez. 2015. 1531-1554. Disponivel em: &lt;https://www.scielo.br/j/rap/a/HT4QJ3TtgvD76MS39wprB3L/?format=html&amp;lang=pt&gt;. Acesso em: 25 jan. 2023.</w:t>
              </w:r>
            </w:p>
            <w:p w14:paraId="17BD0811"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4A2B643D" w14:textId="731C1776"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LOUREIRO, M. R.; SANTOS, F. P. D.; GOMIDE, A. D. Á. Democracia, arenas decisórias e política econômica no governo Lula. </w:t>
              </w:r>
              <w:r w:rsidRPr="00A80277">
                <w:rPr>
                  <w:rFonts w:ascii="Times New Roman" w:hAnsi="Times New Roman" w:cs="Times New Roman"/>
                  <w:b/>
                  <w:bCs/>
                  <w:noProof/>
                  <w:sz w:val="24"/>
                  <w:szCs w:val="24"/>
                </w:rPr>
                <w:t>Revista Brasileira de Ciências Sociais</w:t>
              </w:r>
              <w:r w:rsidRPr="00A80277">
                <w:rPr>
                  <w:rFonts w:ascii="Times New Roman" w:hAnsi="Times New Roman" w:cs="Times New Roman"/>
                  <w:noProof/>
                  <w:sz w:val="24"/>
                  <w:szCs w:val="24"/>
                </w:rPr>
                <w:t>, v. 26, n. 76, jun. 2011. 63-76. Disponivel em: &lt;https://www.scielo.br/j/rbcsoc/a/gqpmmN4TDyNFXk7Z7BSvGqx/abstract/?lang=pt&gt;. Acesso em: 24 jan. 2023.</w:t>
              </w:r>
            </w:p>
            <w:p w14:paraId="61455655"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7DB15C69" w14:textId="49EB41BA"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MARICATO, E. </w:t>
              </w:r>
              <w:r w:rsidRPr="00A80277">
                <w:rPr>
                  <w:rFonts w:ascii="Times New Roman" w:hAnsi="Times New Roman" w:cs="Times New Roman"/>
                  <w:b/>
                  <w:bCs/>
                  <w:noProof/>
                  <w:sz w:val="24"/>
                  <w:szCs w:val="24"/>
                </w:rPr>
                <w:t>Habitação e cidade</w:t>
              </w:r>
              <w:r w:rsidRPr="00A80277">
                <w:rPr>
                  <w:rFonts w:ascii="Times New Roman" w:hAnsi="Times New Roman" w:cs="Times New Roman"/>
                  <w:noProof/>
                  <w:sz w:val="24"/>
                  <w:szCs w:val="24"/>
                </w:rPr>
                <w:t>. São Paulo: Atual, 1997.</w:t>
              </w:r>
            </w:p>
            <w:p w14:paraId="7D21806C"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183329B3" w14:textId="3C0DEBF2"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MARICATO, E. Política urbana e o ministério das cidades: algumas diretrizes de implementação. </w:t>
              </w:r>
              <w:r w:rsidRPr="00A80277">
                <w:rPr>
                  <w:rFonts w:ascii="Times New Roman" w:hAnsi="Times New Roman" w:cs="Times New Roman"/>
                  <w:b/>
                  <w:bCs/>
                  <w:noProof/>
                  <w:sz w:val="24"/>
                  <w:szCs w:val="24"/>
                </w:rPr>
                <w:t>Pós: Revista do Programa de Pós-Graduação da Faculdade de Arquitetura e Urbanismo</w:t>
              </w:r>
              <w:r w:rsidRPr="00A80277">
                <w:rPr>
                  <w:rFonts w:ascii="Times New Roman" w:hAnsi="Times New Roman" w:cs="Times New Roman"/>
                  <w:noProof/>
                  <w:sz w:val="24"/>
                  <w:szCs w:val="24"/>
                </w:rPr>
                <w:t>, São Paulo, n. 14, 2003. 10-23.</w:t>
              </w:r>
            </w:p>
            <w:p w14:paraId="42B34220"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7DD36DBF" w14:textId="0948A374"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MARICATO, E. </w:t>
              </w:r>
              <w:r w:rsidRPr="00A80277">
                <w:rPr>
                  <w:rFonts w:ascii="Times New Roman" w:hAnsi="Times New Roman" w:cs="Times New Roman"/>
                  <w:b/>
                  <w:bCs/>
                  <w:noProof/>
                  <w:sz w:val="24"/>
                  <w:szCs w:val="24"/>
                </w:rPr>
                <w:t>O impasse da política urbana no Brasil</w:t>
              </w:r>
              <w:r w:rsidRPr="00A80277">
                <w:rPr>
                  <w:rFonts w:ascii="Times New Roman" w:hAnsi="Times New Roman" w:cs="Times New Roman"/>
                  <w:noProof/>
                  <w:sz w:val="24"/>
                  <w:szCs w:val="24"/>
                </w:rPr>
                <w:t>. 3. ed. Rio de Janeiro: Vozes, 2014. (Edição do Kindle).</w:t>
              </w:r>
            </w:p>
            <w:p w14:paraId="058C723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332641A8" w14:textId="71FCAD2C"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MARICATO, E. </w:t>
              </w:r>
              <w:r w:rsidRPr="00A80277">
                <w:rPr>
                  <w:rFonts w:ascii="Times New Roman" w:hAnsi="Times New Roman" w:cs="Times New Roman"/>
                  <w:b/>
                  <w:bCs/>
                  <w:noProof/>
                  <w:sz w:val="24"/>
                  <w:szCs w:val="24"/>
                </w:rPr>
                <w:t>O impasse da política urbana no Brasil</w:t>
              </w:r>
              <w:r w:rsidRPr="00A80277">
                <w:rPr>
                  <w:rFonts w:ascii="Times New Roman" w:hAnsi="Times New Roman" w:cs="Times New Roman"/>
                  <w:noProof/>
                  <w:sz w:val="24"/>
                  <w:szCs w:val="24"/>
                </w:rPr>
                <w:t>. Petrópolis, RJ: Vozes, 2017. (Edição digital).</w:t>
              </w:r>
            </w:p>
            <w:p w14:paraId="4B5685E7"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5DB19AE1" w14:textId="78074E5F"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MEIRELLES, H. L. </w:t>
              </w:r>
              <w:r w:rsidRPr="00A80277">
                <w:rPr>
                  <w:rFonts w:ascii="Times New Roman" w:hAnsi="Times New Roman" w:cs="Times New Roman"/>
                  <w:b/>
                  <w:bCs/>
                  <w:noProof/>
                  <w:sz w:val="24"/>
                  <w:szCs w:val="24"/>
                </w:rPr>
                <w:t>Direito Administrativo Brasileiro</w:t>
              </w:r>
              <w:r w:rsidRPr="00A80277">
                <w:rPr>
                  <w:rFonts w:ascii="Times New Roman" w:hAnsi="Times New Roman" w:cs="Times New Roman"/>
                  <w:noProof/>
                  <w:sz w:val="24"/>
                  <w:szCs w:val="24"/>
                </w:rPr>
                <w:t>. 21. ed. São Paulo: Malheiros, 1996.</w:t>
              </w:r>
            </w:p>
            <w:p w14:paraId="479F1E41"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018F8335" w14:textId="515BBE44"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MENDES, A. F. Ciência Política: O conceito de direito à cidade entre o estável e o efêmero. In: BELLO, E.; KELLER, R. J. </w:t>
              </w:r>
              <w:r w:rsidRPr="00A80277">
                <w:rPr>
                  <w:rFonts w:ascii="Times New Roman" w:hAnsi="Times New Roman" w:cs="Times New Roman"/>
                  <w:b/>
                  <w:bCs/>
                  <w:noProof/>
                  <w:sz w:val="24"/>
                  <w:szCs w:val="24"/>
                </w:rPr>
                <w:t>Curso de direito à cidade:</w:t>
              </w:r>
              <w:r w:rsidRPr="00A80277">
                <w:rPr>
                  <w:rFonts w:ascii="Times New Roman" w:hAnsi="Times New Roman" w:cs="Times New Roman"/>
                  <w:noProof/>
                  <w:sz w:val="24"/>
                  <w:szCs w:val="24"/>
                </w:rPr>
                <w:t xml:space="preserve"> teoria e prática. 2. ed. Rio de Janeiro: Lumen Juris, 2019. p. 53-69.</w:t>
              </w:r>
            </w:p>
            <w:p w14:paraId="63F9DB00"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79A93715" w14:textId="3E587E80"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MENEZES, R. L. V. D. S. </w:t>
              </w:r>
              <w:r w:rsidRPr="00A80277">
                <w:rPr>
                  <w:rFonts w:ascii="Times New Roman" w:hAnsi="Times New Roman" w:cs="Times New Roman"/>
                  <w:b/>
                  <w:bCs/>
                  <w:noProof/>
                  <w:sz w:val="24"/>
                  <w:szCs w:val="24"/>
                </w:rPr>
                <w:t>Crítica do direito à moradia e das políticas habitacionais</w:t>
              </w:r>
              <w:r w:rsidRPr="00A80277">
                <w:rPr>
                  <w:rFonts w:ascii="Times New Roman" w:hAnsi="Times New Roman" w:cs="Times New Roman"/>
                  <w:noProof/>
                  <w:sz w:val="24"/>
                  <w:szCs w:val="24"/>
                </w:rPr>
                <w:t>. Rio de Janeiro: Lumen Juris, 2017.</w:t>
              </w:r>
            </w:p>
            <w:p w14:paraId="34B2B1B5"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6BB30E9F" w14:textId="03537B6D"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lastRenderedPageBreak/>
                <w:t xml:space="preserve">MEYER, J. W.; ROWAN, B. Institutionalized organizations: formal structure as myth and ceremony. </w:t>
              </w:r>
              <w:r w:rsidRPr="00A80277">
                <w:rPr>
                  <w:rFonts w:ascii="Times New Roman" w:hAnsi="Times New Roman" w:cs="Times New Roman"/>
                  <w:b/>
                  <w:bCs/>
                  <w:noProof/>
                  <w:sz w:val="24"/>
                  <w:szCs w:val="24"/>
                </w:rPr>
                <w:t>American Journal of Sociology</w:t>
              </w:r>
              <w:r w:rsidRPr="00A80277">
                <w:rPr>
                  <w:rFonts w:ascii="Times New Roman" w:hAnsi="Times New Roman" w:cs="Times New Roman"/>
                  <w:noProof/>
                  <w:sz w:val="24"/>
                  <w:szCs w:val="24"/>
                </w:rPr>
                <w:t>, n. 83, 1977. 340-363.</w:t>
              </w:r>
            </w:p>
            <w:p w14:paraId="3FD90917"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4F44E804" w14:textId="46582D92"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MORAIS, M. D. P. Breve diagnóstico sobre o quadro atual da habitação no Brasil. </w:t>
              </w:r>
              <w:r w:rsidRPr="00A80277">
                <w:rPr>
                  <w:rFonts w:ascii="Times New Roman" w:hAnsi="Times New Roman" w:cs="Times New Roman"/>
                  <w:b/>
                  <w:bCs/>
                  <w:noProof/>
                  <w:sz w:val="24"/>
                  <w:szCs w:val="24"/>
                </w:rPr>
                <w:t>Políticas sociais: acompanhamento e análise</w:t>
              </w:r>
              <w:r w:rsidRPr="00A80277">
                <w:rPr>
                  <w:rFonts w:ascii="Times New Roman" w:hAnsi="Times New Roman" w:cs="Times New Roman"/>
                  <w:noProof/>
                  <w:sz w:val="24"/>
                  <w:szCs w:val="24"/>
                </w:rPr>
                <w:t>, Brasília, IPEA, n. 4, 2002. 109-118. Disponivel em: &lt;https://portalantigo.ipea.gov.br/agencia/images/stories/PDFs/politicas_sociais/BREVE4.pdf&gt;. Acesso em: 06 ago. 2023.</w:t>
              </w:r>
            </w:p>
            <w:p w14:paraId="6D35B547"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2185BDD8" w14:textId="043E8309"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PIETRO, M. S. Z. D. </w:t>
              </w:r>
              <w:r w:rsidRPr="00A80277">
                <w:rPr>
                  <w:rFonts w:ascii="Times New Roman" w:hAnsi="Times New Roman" w:cs="Times New Roman"/>
                  <w:b/>
                  <w:bCs/>
                  <w:noProof/>
                  <w:sz w:val="24"/>
                  <w:szCs w:val="24"/>
                </w:rPr>
                <w:t>Direito administrativo</w:t>
              </w:r>
              <w:r w:rsidRPr="00A80277">
                <w:rPr>
                  <w:rFonts w:ascii="Times New Roman" w:hAnsi="Times New Roman" w:cs="Times New Roman"/>
                  <w:noProof/>
                  <w:sz w:val="24"/>
                  <w:szCs w:val="24"/>
                </w:rPr>
                <w:t>. 26. ed. São Paulo: Atlas, 2013.</w:t>
              </w:r>
            </w:p>
            <w:p w14:paraId="61B3EB41"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22D0B986" w14:textId="407849CC"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PIRES, T. Racializando o debate sobre direitos humanos. </w:t>
              </w:r>
              <w:r w:rsidRPr="00A80277">
                <w:rPr>
                  <w:rFonts w:ascii="Times New Roman" w:hAnsi="Times New Roman" w:cs="Times New Roman"/>
                  <w:b/>
                  <w:bCs/>
                  <w:noProof/>
                  <w:sz w:val="24"/>
                  <w:szCs w:val="24"/>
                </w:rPr>
                <w:t>SUR-Revista Internacional de Direitos Humanos</w:t>
              </w:r>
              <w:r w:rsidRPr="00A80277">
                <w:rPr>
                  <w:rFonts w:ascii="Times New Roman" w:hAnsi="Times New Roman" w:cs="Times New Roman"/>
                  <w:noProof/>
                  <w:sz w:val="24"/>
                  <w:szCs w:val="24"/>
                </w:rPr>
                <w:t>, v. 15, n. 28, 2018. 65-75. Disponivel em: &lt;https://sur.conectas.org/wp-content/uploads/2019/05/sur-28-portugues-thula-pires.pdf&gt;. Acesso em: 21 jul. 2023.</w:t>
              </w:r>
            </w:p>
            <w:p w14:paraId="3C6A0A0B" w14:textId="77777777"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POCHMANN, M. Novo desenvolvimentismo como resposta à crise global. In: CASTRO, D.; MELO, J. M. </w:t>
              </w:r>
              <w:r w:rsidRPr="00A80277">
                <w:rPr>
                  <w:rFonts w:ascii="Times New Roman" w:hAnsi="Times New Roman" w:cs="Times New Roman"/>
                  <w:b/>
                  <w:bCs/>
                  <w:noProof/>
                  <w:sz w:val="24"/>
                  <w:szCs w:val="24"/>
                </w:rPr>
                <w:t>Panorama da comunicação e das telecomunicações no Brasil</w:t>
              </w:r>
              <w:r w:rsidRPr="00A80277">
                <w:rPr>
                  <w:rFonts w:ascii="Times New Roman" w:hAnsi="Times New Roman" w:cs="Times New Roman"/>
                  <w:noProof/>
                  <w:sz w:val="24"/>
                  <w:szCs w:val="24"/>
                </w:rPr>
                <w:t>. Brasília: Ipea, 2012. p. 15-28.</w:t>
              </w:r>
            </w:p>
            <w:p w14:paraId="2C65B2FA"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4B1022F5" w14:textId="4E54F5C7"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ROLNIK, R. </w:t>
              </w:r>
              <w:r w:rsidRPr="00A80277">
                <w:rPr>
                  <w:rFonts w:ascii="Times New Roman" w:hAnsi="Times New Roman" w:cs="Times New Roman"/>
                  <w:b/>
                  <w:bCs/>
                  <w:noProof/>
                  <w:sz w:val="24"/>
                  <w:szCs w:val="24"/>
                </w:rPr>
                <w:t>Guerra dos Lugares</w:t>
              </w:r>
              <w:r w:rsidRPr="00A80277">
                <w:rPr>
                  <w:rFonts w:ascii="Times New Roman" w:hAnsi="Times New Roman" w:cs="Times New Roman"/>
                  <w:noProof/>
                  <w:sz w:val="24"/>
                  <w:szCs w:val="24"/>
                </w:rPr>
                <w:t>. 2ª. ed. São Paulo: Boitempo, 2019.</w:t>
              </w:r>
            </w:p>
            <w:p w14:paraId="324DDA0B"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4519FE79" w14:textId="548FF8EF"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ROLNIK, R. et al. O Programa Minha Casa Minha Vida nas regiões metropolitanas de São Paulo e Campinas: aspectos socioespaciais e segregação. </w:t>
              </w:r>
              <w:r w:rsidRPr="00A80277">
                <w:rPr>
                  <w:rFonts w:ascii="Times New Roman" w:hAnsi="Times New Roman" w:cs="Times New Roman"/>
                  <w:b/>
                  <w:bCs/>
                  <w:noProof/>
                  <w:sz w:val="24"/>
                  <w:szCs w:val="24"/>
                </w:rPr>
                <w:t>Cadernos Metrópole</w:t>
              </w:r>
              <w:r w:rsidRPr="00A80277">
                <w:rPr>
                  <w:rFonts w:ascii="Times New Roman" w:hAnsi="Times New Roman" w:cs="Times New Roman"/>
                  <w:noProof/>
                  <w:sz w:val="24"/>
                  <w:szCs w:val="24"/>
                </w:rPr>
                <w:t>, São Paulo, v. 17, mai. 2015. 127-154.</w:t>
              </w:r>
            </w:p>
            <w:p w14:paraId="3240F43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11445043" w14:textId="6FB29D14"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SABATIER, P. A. The Need for Better Theories. In: SABATIER, P. A. </w:t>
              </w:r>
              <w:r w:rsidRPr="00A80277">
                <w:rPr>
                  <w:rFonts w:ascii="Times New Roman" w:hAnsi="Times New Roman" w:cs="Times New Roman"/>
                  <w:b/>
                  <w:bCs/>
                  <w:noProof/>
                  <w:sz w:val="24"/>
                  <w:szCs w:val="24"/>
                </w:rPr>
                <w:t>Theories of the Policy Process</w:t>
              </w:r>
              <w:r w:rsidRPr="00A80277">
                <w:rPr>
                  <w:rFonts w:ascii="Times New Roman" w:hAnsi="Times New Roman" w:cs="Times New Roman"/>
                  <w:noProof/>
                  <w:sz w:val="24"/>
                  <w:szCs w:val="24"/>
                </w:rPr>
                <w:t>. Colorado: Westview Press, 2007.</w:t>
              </w:r>
            </w:p>
            <w:p w14:paraId="296BFC7C"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04C7C7D3" w14:textId="00E69843"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SABEL, C. F. Beyond principal-agent governance: experimentalist organizations, learning and accountability. In: ENGELEN, E. R.; HO, M. S. D. </w:t>
              </w:r>
              <w:r w:rsidRPr="00A80277">
                <w:rPr>
                  <w:rFonts w:ascii="Times New Roman" w:hAnsi="Times New Roman" w:cs="Times New Roman"/>
                  <w:b/>
                  <w:bCs/>
                  <w:noProof/>
                  <w:sz w:val="24"/>
                  <w:szCs w:val="24"/>
                </w:rPr>
                <w:t>De Staat van de Democratie. Democratie voorbij de Staat.</w:t>
              </w:r>
              <w:r w:rsidRPr="00A80277">
                <w:rPr>
                  <w:rFonts w:ascii="Times New Roman" w:hAnsi="Times New Roman" w:cs="Times New Roman"/>
                  <w:noProof/>
                  <w:sz w:val="24"/>
                  <w:szCs w:val="24"/>
                </w:rPr>
                <w:t xml:space="preserve"> Amsterdam: Amsterdam University Press, 2004. p. 173-195. (WRR Verkenning, n. 3).</w:t>
              </w:r>
            </w:p>
            <w:p w14:paraId="627DB6B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47965BB8" w14:textId="77777777"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SECCHI, L. Modelos organizacionais e reformas da administração pública. </w:t>
              </w:r>
              <w:r w:rsidRPr="00A80277">
                <w:rPr>
                  <w:rFonts w:ascii="Times New Roman" w:hAnsi="Times New Roman" w:cs="Times New Roman"/>
                  <w:b/>
                  <w:bCs/>
                  <w:noProof/>
                  <w:sz w:val="24"/>
                  <w:szCs w:val="24"/>
                </w:rPr>
                <w:t>Revista de Administração Pública</w:t>
              </w:r>
              <w:r w:rsidRPr="00A80277">
                <w:rPr>
                  <w:rFonts w:ascii="Times New Roman" w:hAnsi="Times New Roman" w:cs="Times New Roman"/>
                  <w:noProof/>
                  <w:sz w:val="24"/>
                  <w:szCs w:val="24"/>
                </w:rPr>
                <w:t>, Rio de Janeiro, n. 43, mar./abr. 2009. 347-369.</w:t>
              </w:r>
            </w:p>
            <w:p w14:paraId="0922736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6E497889" w14:textId="0BD86EE1"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SILVA, A. A. E. </w:t>
              </w:r>
              <w:r w:rsidRPr="00A80277">
                <w:rPr>
                  <w:rFonts w:ascii="Times New Roman" w:hAnsi="Times New Roman" w:cs="Times New Roman"/>
                  <w:b/>
                  <w:bCs/>
                  <w:noProof/>
                  <w:sz w:val="24"/>
                  <w:szCs w:val="24"/>
                </w:rPr>
                <w:t>DIREITO, DESENVOLVIMENTO E POLÍTICAS PÚBLICAS:</w:t>
              </w:r>
              <w:r w:rsidRPr="00A80277">
                <w:rPr>
                  <w:rFonts w:ascii="Times New Roman" w:hAnsi="Times New Roman" w:cs="Times New Roman"/>
                  <w:noProof/>
                  <w:sz w:val="24"/>
                  <w:szCs w:val="24"/>
                </w:rPr>
                <w:t xml:space="preserve"> uma análise jurídica do Programa Brasil Quilombola. Faculdade de Direito, Universidade de São Paulo, São Paulo: [s.n.], 2015. 253f. p.</w:t>
              </w:r>
            </w:p>
            <w:p w14:paraId="2B77FF7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13A1FFAE" w14:textId="09B2CD3B"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SILVA, F. L. </w:t>
              </w:r>
              <w:r w:rsidRPr="00A80277">
                <w:rPr>
                  <w:rFonts w:ascii="Times New Roman" w:hAnsi="Times New Roman" w:cs="Times New Roman"/>
                  <w:b/>
                  <w:bCs/>
                  <w:noProof/>
                  <w:sz w:val="24"/>
                  <w:szCs w:val="24"/>
                </w:rPr>
                <w:t>Coordenação governamental no presidencialismo de coalizão brasileiro:</w:t>
              </w:r>
              <w:r w:rsidRPr="00A80277">
                <w:rPr>
                  <w:rFonts w:ascii="Times New Roman" w:hAnsi="Times New Roman" w:cs="Times New Roman"/>
                  <w:noProof/>
                  <w:sz w:val="24"/>
                  <w:szCs w:val="24"/>
                </w:rPr>
                <w:t xml:space="preserve"> estudo de caso sobre o Ministério das Cidades no Governo Lula. 2014. Dissertação (Mestrado em Administração Pública e Governo) – FGV, São Paulo: [s.n.], 2014.</w:t>
              </w:r>
            </w:p>
            <w:p w14:paraId="1F8F3C45"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48DA7CDE" w14:textId="35913AF3"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SILVA, M. S.; COSTA, S. K. Cartografia preliminar dos vínculos sociais no processo morador: moradia no Condomínio São José, Itabuna, BA. </w:t>
              </w:r>
              <w:r w:rsidRPr="00A80277">
                <w:rPr>
                  <w:rFonts w:ascii="Times New Roman" w:hAnsi="Times New Roman" w:cs="Times New Roman"/>
                  <w:b/>
                  <w:bCs/>
                  <w:noProof/>
                  <w:sz w:val="24"/>
                  <w:szCs w:val="24"/>
                </w:rPr>
                <w:t>Revista Cesumar</w:t>
              </w:r>
              <w:r w:rsidRPr="00A80277">
                <w:rPr>
                  <w:rFonts w:ascii="Times New Roman" w:hAnsi="Times New Roman" w:cs="Times New Roman"/>
                  <w:noProof/>
                  <w:sz w:val="24"/>
                  <w:szCs w:val="24"/>
                </w:rPr>
                <w:t>, v. 23, n. 2, 2018. 267-289.</w:t>
              </w:r>
            </w:p>
            <w:p w14:paraId="29709C27"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00F53582" w14:textId="5507DB30"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SINGER, A. </w:t>
              </w:r>
              <w:r w:rsidRPr="00A80277">
                <w:rPr>
                  <w:rFonts w:ascii="Times New Roman" w:hAnsi="Times New Roman" w:cs="Times New Roman"/>
                  <w:b/>
                  <w:bCs/>
                  <w:noProof/>
                  <w:sz w:val="24"/>
                  <w:szCs w:val="24"/>
                </w:rPr>
                <w:t>Os sentidos do lulismo:</w:t>
              </w:r>
              <w:r w:rsidRPr="00A80277">
                <w:rPr>
                  <w:rFonts w:ascii="Times New Roman" w:hAnsi="Times New Roman" w:cs="Times New Roman"/>
                  <w:noProof/>
                  <w:sz w:val="24"/>
                  <w:szCs w:val="24"/>
                </w:rPr>
                <w:t xml:space="preserve"> reforma gradual e pacto conservador. São Paulo: Companhia das Letras, 2012.</w:t>
              </w:r>
            </w:p>
            <w:p w14:paraId="43FD70E3"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5A125C12" w14:textId="6023443B"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lastRenderedPageBreak/>
                <w:t xml:space="preserve">SOUZA, E. L.; SUGAI, M. I. Minha Casa Minha Vida: periferização, segregação e mobilidade intraurbana na área conurbada de Florianópolis. </w:t>
              </w:r>
              <w:r w:rsidRPr="00A80277">
                <w:rPr>
                  <w:rFonts w:ascii="Times New Roman" w:hAnsi="Times New Roman" w:cs="Times New Roman"/>
                  <w:b/>
                  <w:bCs/>
                  <w:noProof/>
                  <w:sz w:val="24"/>
                  <w:szCs w:val="24"/>
                </w:rPr>
                <w:t>Cadernos Metrópole</w:t>
              </w:r>
              <w:r w:rsidRPr="00A80277">
                <w:rPr>
                  <w:rFonts w:ascii="Times New Roman" w:hAnsi="Times New Roman" w:cs="Times New Roman"/>
                  <w:noProof/>
                  <w:sz w:val="24"/>
                  <w:szCs w:val="24"/>
                </w:rPr>
                <w:t>, São Paulo, v. 20, n. 41, abr. 2018. 75-98.</w:t>
              </w:r>
            </w:p>
            <w:p w14:paraId="7D69DBE2"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0D62FFF3" w14:textId="6CE08C0E"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VERAS, M. P. B.; BONDUKI, N. G. Política habitacional e a luta pelo direito à habitação. In: COVRE, M. D. L. M. </w:t>
              </w:r>
              <w:r w:rsidRPr="00A80277">
                <w:rPr>
                  <w:rFonts w:ascii="Times New Roman" w:hAnsi="Times New Roman" w:cs="Times New Roman"/>
                  <w:b/>
                  <w:bCs/>
                  <w:noProof/>
                  <w:sz w:val="24"/>
                  <w:szCs w:val="24"/>
                </w:rPr>
                <w:t>A cidadania que não temos</w:t>
              </w:r>
              <w:r w:rsidRPr="00A80277">
                <w:rPr>
                  <w:rFonts w:ascii="Times New Roman" w:hAnsi="Times New Roman" w:cs="Times New Roman"/>
                  <w:noProof/>
                  <w:sz w:val="24"/>
                  <w:szCs w:val="24"/>
                </w:rPr>
                <w:t>. São Paulo: Brasiliense, 1986. p. 40-72.</w:t>
              </w:r>
            </w:p>
            <w:p w14:paraId="75158D1D" w14:textId="77777777" w:rsidR="00A80277" w:rsidRDefault="00A80277" w:rsidP="00A80277">
              <w:pPr>
                <w:pStyle w:val="Bibliografia"/>
                <w:spacing w:after="0" w:line="240" w:lineRule="auto"/>
                <w:jc w:val="both"/>
                <w:rPr>
                  <w:rFonts w:ascii="Times New Roman" w:hAnsi="Times New Roman" w:cs="Times New Roman"/>
                  <w:noProof/>
                  <w:sz w:val="24"/>
                  <w:szCs w:val="24"/>
                </w:rPr>
              </w:pPr>
            </w:p>
            <w:p w14:paraId="2A01D150" w14:textId="61257565" w:rsidR="004438B9" w:rsidRPr="00A80277" w:rsidRDefault="004438B9" w:rsidP="00A80277">
              <w:pPr>
                <w:pStyle w:val="Bibliografia"/>
                <w:spacing w:after="0" w:line="240" w:lineRule="auto"/>
                <w:jc w:val="both"/>
                <w:rPr>
                  <w:rFonts w:ascii="Times New Roman" w:hAnsi="Times New Roman" w:cs="Times New Roman"/>
                  <w:noProof/>
                  <w:sz w:val="24"/>
                  <w:szCs w:val="24"/>
                </w:rPr>
              </w:pPr>
              <w:r w:rsidRPr="00A80277">
                <w:rPr>
                  <w:rFonts w:ascii="Times New Roman" w:hAnsi="Times New Roman" w:cs="Times New Roman"/>
                  <w:noProof/>
                  <w:sz w:val="24"/>
                  <w:szCs w:val="24"/>
                </w:rPr>
                <w:t xml:space="preserve">VIEIRA, R. V. </w:t>
              </w:r>
              <w:r w:rsidRPr="00A80277">
                <w:rPr>
                  <w:rFonts w:ascii="Times New Roman" w:hAnsi="Times New Roman" w:cs="Times New Roman"/>
                  <w:b/>
                  <w:bCs/>
                  <w:noProof/>
                  <w:sz w:val="24"/>
                  <w:szCs w:val="24"/>
                </w:rPr>
                <w:t>O urbano como negócio:</w:t>
              </w:r>
              <w:r w:rsidRPr="00A80277">
                <w:rPr>
                  <w:rFonts w:ascii="Times New Roman" w:hAnsi="Times New Roman" w:cs="Times New Roman"/>
                  <w:noProof/>
                  <w:sz w:val="24"/>
                  <w:szCs w:val="24"/>
                </w:rPr>
                <w:t xml:space="preserve"> habitação de interesse social. Curitiba: Appris Editora, 2016.</w:t>
              </w:r>
            </w:p>
            <w:p w14:paraId="69498419" w14:textId="365CA876" w:rsidR="00692CE5" w:rsidRDefault="00692CE5" w:rsidP="00A80277">
              <w:pPr>
                <w:spacing w:after="0" w:line="240" w:lineRule="auto"/>
                <w:jc w:val="both"/>
              </w:pPr>
              <w:r w:rsidRPr="00A80277">
                <w:rPr>
                  <w:rFonts w:ascii="Times New Roman" w:hAnsi="Times New Roman" w:cs="Times New Roman"/>
                  <w:b/>
                  <w:bCs/>
                  <w:sz w:val="24"/>
                  <w:szCs w:val="24"/>
                </w:rPr>
                <w:fldChar w:fldCharType="end"/>
              </w:r>
            </w:p>
          </w:sdtContent>
        </w:sdt>
      </w:sdtContent>
    </w:sdt>
    <w:p w14:paraId="003009CC" w14:textId="77777777" w:rsidR="00692CE5" w:rsidRPr="00692CE5" w:rsidRDefault="00692CE5" w:rsidP="00692CE5">
      <w:pPr>
        <w:suppressAutoHyphens/>
        <w:spacing w:after="0" w:line="360" w:lineRule="auto"/>
        <w:jc w:val="both"/>
        <w:rPr>
          <w:rFonts w:ascii="Times New Roman" w:eastAsia="Calibri" w:hAnsi="Times New Roman" w:cs="Times New Roman"/>
          <w:sz w:val="24"/>
          <w:szCs w:val="24"/>
        </w:rPr>
      </w:pPr>
    </w:p>
    <w:sectPr w:rsidR="00692CE5" w:rsidRPr="00692CE5" w:rsidSect="00171F6A">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10603" w14:textId="77777777" w:rsidR="00196C58" w:rsidRDefault="00196C58" w:rsidP="003E326C">
      <w:pPr>
        <w:spacing w:after="0" w:line="240" w:lineRule="auto"/>
      </w:pPr>
      <w:r>
        <w:separator/>
      </w:r>
    </w:p>
  </w:endnote>
  <w:endnote w:type="continuationSeparator" w:id="0">
    <w:p w14:paraId="3F42A0D1" w14:textId="77777777" w:rsidR="00196C58" w:rsidRDefault="00196C58" w:rsidP="003E3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73ED4" w14:textId="77777777" w:rsidR="00196C58" w:rsidRDefault="00196C58" w:rsidP="003E326C">
      <w:pPr>
        <w:spacing w:after="0" w:line="240" w:lineRule="auto"/>
      </w:pPr>
      <w:r>
        <w:separator/>
      </w:r>
    </w:p>
  </w:footnote>
  <w:footnote w:type="continuationSeparator" w:id="0">
    <w:p w14:paraId="774C3AD9" w14:textId="77777777" w:rsidR="00196C58" w:rsidRDefault="00196C58" w:rsidP="003E326C">
      <w:pPr>
        <w:spacing w:after="0" w:line="240" w:lineRule="auto"/>
      </w:pPr>
      <w:r>
        <w:continuationSeparator/>
      </w:r>
    </w:p>
  </w:footnote>
  <w:footnote w:id="1">
    <w:p w14:paraId="6F651365" w14:textId="3CA91200" w:rsidR="00E02510" w:rsidRPr="00F436E4" w:rsidRDefault="00E02510" w:rsidP="00E02510">
      <w:pPr>
        <w:pStyle w:val="notaderodap"/>
        <w:rPr>
          <w:color w:val="000000" w:themeColor="text1"/>
        </w:rPr>
      </w:pPr>
      <w:r w:rsidRPr="00F436E4">
        <w:rPr>
          <w:rStyle w:val="Caracteresdenotaderodap"/>
          <w:color w:val="000000" w:themeColor="text1"/>
          <w:vertAlign w:val="superscript"/>
        </w:rPr>
        <w:footnoteRef/>
      </w:r>
      <w:r w:rsidRPr="00F436E4">
        <w:rPr>
          <w:color w:val="000000" w:themeColor="text1"/>
        </w:rPr>
        <w:t xml:space="preserve"> Isso não significou, evidentemente, que as transições governamentais mantiveram o programa ativo. No caso em exame, verifica-se que a gestão Temer (2016-2018) diminuiu drasticamente os investimentos na referida política habitacional, tendo, ao fim do seu mandato, cumprido com apenas 13,5% da meta anunciada para o público da faixa de renda mais baixa e que o governo Bolsonaro (2019-2022) a desmontou completamente, tendo o substituído pelo Programa Casa Verde e Amarela, que se apropriou de contratos prévios do Minha Casa, Minha Vida para institucionalizar a espoliação e a expropriação, além de ter dispensado a oitiva do Conselho das Cidades, obstando a participação democrática em sua formulação.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D7A"/>
    <w:multiLevelType w:val="hybridMultilevel"/>
    <w:tmpl w:val="C0644030"/>
    <w:lvl w:ilvl="0" w:tplc="0416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3C9A19D3"/>
    <w:multiLevelType w:val="hybridMultilevel"/>
    <w:tmpl w:val="E6BC52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809713812">
    <w:abstractNumId w:val="1"/>
  </w:num>
  <w:num w:numId="2" w16cid:durableId="513030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CDF"/>
    <w:rsid w:val="00011E74"/>
    <w:rsid w:val="0006493C"/>
    <w:rsid w:val="00064D40"/>
    <w:rsid w:val="000D054E"/>
    <w:rsid w:val="00144782"/>
    <w:rsid w:val="00171F6A"/>
    <w:rsid w:val="00196C58"/>
    <w:rsid w:val="001A132A"/>
    <w:rsid w:val="001D32A8"/>
    <w:rsid w:val="00202E27"/>
    <w:rsid w:val="002E6546"/>
    <w:rsid w:val="003153E2"/>
    <w:rsid w:val="00367BB8"/>
    <w:rsid w:val="003E326C"/>
    <w:rsid w:val="00410379"/>
    <w:rsid w:val="004438B9"/>
    <w:rsid w:val="004A522B"/>
    <w:rsid w:val="00531063"/>
    <w:rsid w:val="00577CDF"/>
    <w:rsid w:val="00586EF9"/>
    <w:rsid w:val="00597446"/>
    <w:rsid w:val="00692CE5"/>
    <w:rsid w:val="00735322"/>
    <w:rsid w:val="00815965"/>
    <w:rsid w:val="0082061E"/>
    <w:rsid w:val="00935509"/>
    <w:rsid w:val="009E1E78"/>
    <w:rsid w:val="00A211ED"/>
    <w:rsid w:val="00A35A25"/>
    <w:rsid w:val="00A36215"/>
    <w:rsid w:val="00A70F6C"/>
    <w:rsid w:val="00A74B75"/>
    <w:rsid w:val="00A80277"/>
    <w:rsid w:val="00B0461F"/>
    <w:rsid w:val="00B92F99"/>
    <w:rsid w:val="00D048B4"/>
    <w:rsid w:val="00D14C9A"/>
    <w:rsid w:val="00D46656"/>
    <w:rsid w:val="00D71EF5"/>
    <w:rsid w:val="00D96280"/>
    <w:rsid w:val="00DE3911"/>
    <w:rsid w:val="00E02510"/>
    <w:rsid w:val="00E2315C"/>
    <w:rsid w:val="00E23573"/>
    <w:rsid w:val="00E4207E"/>
    <w:rsid w:val="00EC5D09"/>
    <w:rsid w:val="00F65FE6"/>
    <w:rsid w:val="00F800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8C5E"/>
  <w15:chartTrackingRefBased/>
  <w15:docId w15:val="{665B5884-FA3B-4C65-A964-5B34F17C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935509"/>
    <w:pPr>
      <w:keepNext/>
      <w:keepLines/>
      <w:spacing w:after="0" w:line="360" w:lineRule="auto"/>
      <w:outlineLvl w:val="0"/>
    </w:pPr>
    <w:rPr>
      <w:rFonts w:ascii="Times New Roman" w:eastAsiaTheme="majorEastAsia" w:hAnsi="Times New Roman" w:cs="Times New Roman"/>
      <w:b/>
      <w:bCs/>
      <w:color w:val="000000" w:themeColor="text1"/>
      <w:sz w:val="24"/>
      <w:szCs w:val="24"/>
    </w:rPr>
  </w:style>
  <w:style w:type="paragraph" w:styleId="Ttulo2">
    <w:name w:val="heading 2"/>
    <w:basedOn w:val="Normal"/>
    <w:next w:val="Normal"/>
    <w:link w:val="Ttulo2Char"/>
    <w:uiPriority w:val="9"/>
    <w:unhideWhenUsed/>
    <w:qFormat/>
    <w:rsid w:val="005974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basedOn w:val="Normal"/>
    <w:link w:val="CorpoChar"/>
    <w:qFormat/>
    <w:rsid w:val="003E326C"/>
    <w:pPr>
      <w:widowControl w:val="0"/>
      <w:adjustRightInd w:val="0"/>
      <w:spacing w:after="0" w:line="360" w:lineRule="auto"/>
      <w:ind w:firstLine="709"/>
      <w:jc w:val="both"/>
    </w:pPr>
    <w:rPr>
      <w:rFonts w:ascii="Times New Roman" w:hAnsi="Times New Roman" w:cs="Times New Roman"/>
      <w:color w:val="000000"/>
      <w:sz w:val="24"/>
      <w:szCs w:val="24"/>
      <w:shd w:val="clear" w:color="auto" w:fill="FFFFFF"/>
      <w:lang w:eastAsia="en-US"/>
    </w:rPr>
  </w:style>
  <w:style w:type="character" w:customStyle="1" w:styleId="CorpoChar">
    <w:name w:val="Corpo Char"/>
    <w:basedOn w:val="Fontepargpadro"/>
    <w:link w:val="Corpo"/>
    <w:qFormat/>
    <w:rsid w:val="003E326C"/>
    <w:rPr>
      <w:rFonts w:ascii="Times New Roman" w:hAnsi="Times New Roman" w:cs="Times New Roman"/>
      <w:color w:val="000000"/>
      <w:sz w:val="24"/>
      <w:szCs w:val="24"/>
      <w:lang w:val="pt-BR" w:eastAsia="en-US"/>
    </w:rPr>
  </w:style>
  <w:style w:type="character" w:customStyle="1" w:styleId="Ttulo1Char">
    <w:name w:val="Título 1 Char"/>
    <w:basedOn w:val="Fontepargpadro"/>
    <w:link w:val="Ttulo1"/>
    <w:uiPriority w:val="9"/>
    <w:qFormat/>
    <w:rsid w:val="00935509"/>
    <w:rPr>
      <w:rFonts w:ascii="Times New Roman" w:eastAsiaTheme="majorEastAsia" w:hAnsi="Times New Roman" w:cs="Times New Roman"/>
      <w:b/>
      <w:bCs/>
      <w:color w:val="000000" w:themeColor="text1"/>
      <w:sz w:val="24"/>
      <w:szCs w:val="24"/>
      <w:lang w:val="pt-BR"/>
    </w:rPr>
  </w:style>
  <w:style w:type="paragraph" w:styleId="Bibliografia">
    <w:name w:val="Bibliography"/>
    <w:basedOn w:val="Normal"/>
    <w:next w:val="Normal"/>
    <w:uiPriority w:val="37"/>
    <w:unhideWhenUsed/>
    <w:rsid w:val="003E326C"/>
  </w:style>
  <w:style w:type="character" w:styleId="Refdenotaderodap">
    <w:name w:val="footnote reference"/>
    <w:basedOn w:val="Fontepargpadro"/>
    <w:uiPriority w:val="99"/>
    <w:unhideWhenUsed/>
    <w:rsid w:val="003E326C"/>
    <w:rPr>
      <w:vertAlign w:val="superscript"/>
    </w:rPr>
  </w:style>
  <w:style w:type="paragraph" w:styleId="SemEspaamento">
    <w:name w:val="No Spacing"/>
    <w:aliases w:val="Nota de rodapé"/>
    <w:basedOn w:val="Textodenotaderodap"/>
    <w:uiPriority w:val="1"/>
    <w:qFormat/>
    <w:rsid w:val="003E326C"/>
    <w:pPr>
      <w:jc w:val="both"/>
    </w:pPr>
    <w:rPr>
      <w:rFonts w:ascii="Times New Roman" w:hAnsi="Times New Roman" w:cs="Times New Roman"/>
      <w:color w:val="000000" w:themeColor="text1"/>
      <w:lang w:eastAsia="en-US"/>
    </w:rPr>
  </w:style>
  <w:style w:type="character" w:customStyle="1" w:styleId="notaderodapChar">
    <w:name w:val="nota de rodapé Char"/>
    <w:basedOn w:val="Fontepargpadro"/>
    <w:link w:val="notaderodap"/>
    <w:qFormat/>
    <w:rsid w:val="003E326C"/>
    <w:rPr>
      <w:rFonts w:ascii="Times New Roman" w:hAnsi="Times New Roman" w:cs="Times New Roman"/>
      <w:sz w:val="20"/>
      <w:szCs w:val="20"/>
    </w:rPr>
  </w:style>
  <w:style w:type="paragraph" w:customStyle="1" w:styleId="notaderodap">
    <w:name w:val="nota de rodapé"/>
    <w:basedOn w:val="Textodenotaderodap"/>
    <w:link w:val="notaderodapChar"/>
    <w:qFormat/>
    <w:rsid w:val="003E326C"/>
    <w:pPr>
      <w:suppressAutoHyphens/>
      <w:jc w:val="both"/>
    </w:pPr>
    <w:rPr>
      <w:rFonts w:ascii="Times New Roman" w:hAnsi="Times New Roman" w:cs="Times New Roman"/>
      <w:lang w:val="pt-PT"/>
    </w:rPr>
  </w:style>
  <w:style w:type="paragraph" w:styleId="Textodenotaderodap">
    <w:name w:val="footnote text"/>
    <w:basedOn w:val="Normal"/>
    <w:link w:val="TextodenotaderodapChar"/>
    <w:uiPriority w:val="99"/>
    <w:semiHidden/>
    <w:unhideWhenUsed/>
    <w:rsid w:val="003E326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E326C"/>
    <w:rPr>
      <w:sz w:val="20"/>
      <w:szCs w:val="20"/>
      <w:lang w:val="pt-BR"/>
    </w:rPr>
  </w:style>
  <w:style w:type="paragraph" w:customStyle="1" w:styleId="corpodotexto">
    <w:name w:val="corpo do texto"/>
    <w:basedOn w:val="Normal"/>
    <w:link w:val="corpodotextoChar"/>
    <w:qFormat/>
    <w:rsid w:val="003E326C"/>
    <w:pPr>
      <w:spacing w:after="0" w:line="360" w:lineRule="auto"/>
      <w:jc w:val="both"/>
    </w:pPr>
    <w:rPr>
      <w:rFonts w:ascii="Times New Roman" w:hAnsi="Times New Roman" w:cs="Times New Roman"/>
      <w:color w:val="000000" w:themeColor="text1"/>
      <w:sz w:val="24"/>
      <w:szCs w:val="24"/>
      <w:lang w:eastAsia="en-US"/>
    </w:rPr>
  </w:style>
  <w:style w:type="character" w:customStyle="1" w:styleId="corpodotextoChar">
    <w:name w:val="corpo do texto Char"/>
    <w:basedOn w:val="Fontepargpadro"/>
    <w:link w:val="corpodotexto"/>
    <w:qFormat/>
    <w:rsid w:val="003E326C"/>
    <w:rPr>
      <w:rFonts w:ascii="Times New Roman" w:hAnsi="Times New Roman" w:cs="Times New Roman"/>
      <w:color w:val="000000" w:themeColor="text1"/>
      <w:sz w:val="24"/>
      <w:szCs w:val="24"/>
      <w:lang w:val="pt-BR" w:eastAsia="en-US"/>
    </w:rPr>
  </w:style>
  <w:style w:type="character" w:customStyle="1" w:styleId="CORPODOTEXTOABNTChar">
    <w:name w:val="CORPO DO TEXTO ABNT Char"/>
    <w:basedOn w:val="Fontepargpadro"/>
    <w:link w:val="CORPODOTEXTOABNT"/>
    <w:qFormat/>
    <w:locked/>
    <w:rsid w:val="00EC5D09"/>
    <w:rPr>
      <w:rFonts w:ascii="Times New Roman" w:hAnsi="Times New Roman" w:cs="Times New Roman"/>
      <w:color w:val="000000" w:themeColor="text1"/>
      <w:sz w:val="24"/>
      <w:szCs w:val="24"/>
    </w:rPr>
  </w:style>
  <w:style w:type="paragraph" w:customStyle="1" w:styleId="CORPODOTEXTOABNT">
    <w:name w:val="CORPO DO TEXTO ABNT"/>
    <w:basedOn w:val="Normal"/>
    <w:link w:val="CORPODOTEXTOABNTChar"/>
    <w:qFormat/>
    <w:rsid w:val="00EC5D09"/>
    <w:pPr>
      <w:spacing w:after="0" w:line="360" w:lineRule="auto"/>
      <w:ind w:firstLine="709"/>
      <w:jc w:val="both"/>
    </w:pPr>
    <w:rPr>
      <w:rFonts w:ascii="Times New Roman" w:hAnsi="Times New Roman" w:cs="Times New Roman"/>
      <w:color w:val="000000" w:themeColor="text1"/>
      <w:sz w:val="24"/>
      <w:szCs w:val="24"/>
      <w:lang w:val="pt-PT"/>
    </w:rPr>
  </w:style>
  <w:style w:type="character" w:customStyle="1" w:styleId="CorpodoTextoABNTChar0">
    <w:name w:val="Corpo do Texto ABNT Char"/>
    <w:basedOn w:val="Fontepargpadro"/>
    <w:link w:val="CorpodoTextoABNT0"/>
    <w:locked/>
    <w:rsid w:val="00D14C9A"/>
    <w:rPr>
      <w:rFonts w:ascii="Times New Roman" w:hAnsi="Times New Roman" w:cs="Times New Roman"/>
      <w:sz w:val="24"/>
      <w:szCs w:val="24"/>
    </w:rPr>
  </w:style>
  <w:style w:type="paragraph" w:customStyle="1" w:styleId="CorpodoTextoABNT0">
    <w:name w:val="Corpo do Texto ABNT"/>
    <w:basedOn w:val="Normal"/>
    <w:link w:val="CorpodoTextoABNTChar0"/>
    <w:qFormat/>
    <w:rsid w:val="00D14C9A"/>
    <w:pPr>
      <w:spacing w:after="0" w:line="360" w:lineRule="auto"/>
      <w:ind w:firstLine="709"/>
      <w:jc w:val="both"/>
    </w:pPr>
    <w:rPr>
      <w:rFonts w:ascii="Times New Roman" w:hAnsi="Times New Roman" w:cs="Times New Roman"/>
      <w:sz w:val="24"/>
      <w:szCs w:val="24"/>
      <w:lang w:val="pt-PT"/>
    </w:rPr>
  </w:style>
  <w:style w:type="character" w:customStyle="1" w:styleId="Caracteresdenotaderodap">
    <w:name w:val="Caracteres de nota de rodapé"/>
    <w:qFormat/>
    <w:rsid w:val="00064D40"/>
  </w:style>
  <w:style w:type="paragraph" w:styleId="Textodecomentrio">
    <w:name w:val="annotation text"/>
    <w:basedOn w:val="Normal"/>
    <w:link w:val="TextodecomentrioChar"/>
    <w:uiPriority w:val="99"/>
    <w:semiHidden/>
    <w:unhideWhenUsed/>
    <w:rsid w:val="0059744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97446"/>
    <w:rPr>
      <w:sz w:val="20"/>
      <w:szCs w:val="20"/>
      <w:lang w:val="pt-BR"/>
    </w:rPr>
  </w:style>
  <w:style w:type="paragraph" w:styleId="Assuntodocomentrio">
    <w:name w:val="annotation subject"/>
    <w:basedOn w:val="Textodecomentrio"/>
    <w:next w:val="Textodecomentrio"/>
    <w:link w:val="AssuntodocomentrioChar"/>
    <w:uiPriority w:val="99"/>
    <w:semiHidden/>
    <w:unhideWhenUsed/>
    <w:qFormat/>
    <w:rsid w:val="00597446"/>
    <w:rPr>
      <w:b/>
      <w:bCs/>
      <w:lang w:eastAsia="en-US"/>
    </w:rPr>
  </w:style>
  <w:style w:type="character" w:customStyle="1" w:styleId="AssuntodocomentrioChar">
    <w:name w:val="Assunto do comentário Char"/>
    <w:basedOn w:val="TextodecomentrioChar"/>
    <w:link w:val="Assuntodocomentrio"/>
    <w:uiPriority w:val="99"/>
    <w:semiHidden/>
    <w:qFormat/>
    <w:rsid w:val="00597446"/>
    <w:rPr>
      <w:b/>
      <w:bCs/>
      <w:sz w:val="20"/>
      <w:szCs w:val="20"/>
      <w:lang w:val="pt-BR" w:eastAsia="en-US"/>
    </w:rPr>
  </w:style>
  <w:style w:type="character" w:customStyle="1" w:styleId="Ttulo2Char">
    <w:name w:val="Título 2 Char"/>
    <w:basedOn w:val="Fontepargpadro"/>
    <w:link w:val="Ttulo2"/>
    <w:uiPriority w:val="9"/>
    <w:rsid w:val="00597446"/>
    <w:rPr>
      <w:rFonts w:asciiTheme="majorHAnsi" w:eastAsiaTheme="majorEastAsia" w:hAnsiTheme="majorHAnsi" w:cstheme="majorBidi"/>
      <w:color w:val="2F5496" w:themeColor="accent1" w:themeShade="BF"/>
      <w:sz w:val="26"/>
      <w:szCs w:val="26"/>
      <w:lang w:val="pt-BR"/>
    </w:rPr>
  </w:style>
  <w:style w:type="paragraph" w:styleId="PargrafodaLista">
    <w:name w:val="List Paragraph"/>
    <w:basedOn w:val="Normal"/>
    <w:uiPriority w:val="34"/>
    <w:qFormat/>
    <w:rsid w:val="0006493C"/>
    <w:pPr>
      <w:ind w:left="720"/>
      <w:contextualSpacing/>
    </w:pPr>
  </w:style>
  <w:style w:type="character" w:styleId="Hyperlink">
    <w:name w:val="Hyperlink"/>
    <w:basedOn w:val="Fontepargpadro"/>
    <w:uiPriority w:val="99"/>
    <w:unhideWhenUsed/>
    <w:rsid w:val="0006493C"/>
    <w:rPr>
      <w:color w:val="0563C1" w:themeColor="hyperlink"/>
      <w:u w:val="single"/>
    </w:rPr>
  </w:style>
  <w:style w:type="paragraph" w:styleId="NormalWeb">
    <w:name w:val="Normal (Web)"/>
    <w:basedOn w:val="Normal"/>
    <w:uiPriority w:val="99"/>
    <w:unhideWhenUsed/>
    <w:rsid w:val="00E231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Fontepargpadro"/>
    <w:rsid w:val="00E2315C"/>
  </w:style>
  <w:style w:type="paragraph" w:customStyle="1" w:styleId="not-prose">
    <w:name w:val="not-prose"/>
    <w:basedOn w:val="Normal"/>
    <w:rsid w:val="00E2315C"/>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4438B9"/>
    <w:rPr>
      <w:b/>
      <w:bCs/>
    </w:rPr>
  </w:style>
  <w:style w:type="paragraph" w:customStyle="1" w:styleId="abnt">
    <w:name w:val="abnt"/>
    <w:basedOn w:val="Normal"/>
    <w:link w:val="abntChar"/>
    <w:qFormat/>
    <w:rsid w:val="004438B9"/>
    <w:pPr>
      <w:autoSpaceDE w:val="0"/>
      <w:autoSpaceDN w:val="0"/>
      <w:adjustRightInd w:val="0"/>
      <w:spacing w:after="0" w:line="360" w:lineRule="auto"/>
      <w:ind w:firstLine="709"/>
      <w:jc w:val="both"/>
    </w:pPr>
    <w:rPr>
      <w:rFonts w:ascii="Times New Roman" w:hAnsi="Times New Roman" w:cs="Times New Roman"/>
      <w:color w:val="000000" w:themeColor="text1"/>
      <w:sz w:val="24"/>
      <w:szCs w:val="24"/>
      <w:lang w:eastAsia="en-US"/>
    </w:rPr>
  </w:style>
  <w:style w:type="character" w:customStyle="1" w:styleId="abntChar">
    <w:name w:val="abnt Char"/>
    <w:basedOn w:val="Fontepargpadro"/>
    <w:link w:val="abnt"/>
    <w:rsid w:val="004438B9"/>
    <w:rPr>
      <w:rFonts w:ascii="Times New Roman" w:hAnsi="Times New Roman" w:cs="Times New Roman"/>
      <w:color w:val="000000" w:themeColor="text1"/>
      <w:sz w:val="24"/>
      <w:szCs w:val="24"/>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813">
      <w:bodyDiv w:val="1"/>
      <w:marLeft w:val="0"/>
      <w:marRight w:val="0"/>
      <w:marTop w:val="0"/>
      <w:marBottom w:val="0"/>
      <w:divBdr>
        <w:top w:val="none" w:sz="0" w:space="0" w:color="auto"/>
        <w:left w:val="none" w:sz="0" w:space="0" w:color="auto"/>
        <w:bottom w:val="none" w:sz="0" w:space="0" w:color="auto"/>
        <w:right w:val="none" w:sz="0" w:space="0" w:color="auto"/>
      </w:divBdr>
    </w:div>
    <w:div w:id="37244525">
      <w:bodyDiv w:val="1"/>
      <w:marLeft w:val="0"/>
      <w:marRight w:val="0"/>
      <w:marTop w:val="0"/>
      <w:marBottom w:val="0"/>
      <w:divBdr>
        <w:top w:val="none" w:sz="0" w:space="0" w:color="auto"/>
        <w:left w:val="none" w:sz="0" w:space="0" w:color="auto"/>
        <w:bottom w:val="none" w:sz="0" w:space="0" w:color="auto"/>
        <w:right w:val="none" w:sz="0" w:space="0" w:color="auto"/>
      </w:divBdr>
    </w:div>
    <w:div w:id="93016645">
      <w:bodyDiv w:val="1"/>
      <w:marLeft w:val="0"/>
      <w:marRight w:val="0"/>
      <w:marTop w:val="0"/>
      <w:marBottom w:val="0"/>
      <w:divBdr>
        <w:top w:val="none" w:sz="0" w:space="0" w:color="auto"/>
        <w:left w:val="none" w:sz="0" w:space="0" w:color="auto"/>
        <w:bottom w:val="none" w:sz="0" w:space="0" w:color="auto"/>
        <w:right w:val="none" w:sz="0" w:space="0" w:color="auto"/>
      </w:divBdr>
    </w:div>
    <w:div w:id="169225441">
      <w:bodyDiv w:val="1"/>
      <w:marLeft w:val="0"/>
      <w:marRight w:val="0"/>
      <w:marTop w:val="0"/>
      <w:marBottom w:val="0"/>
      <w:divBdr>
        <w:top w:val="none" w:sz="0" w:space="0" w:color="auto"/>
        <w:left w:val="none" w:sz="0" w:space="0" w:color="auto"/>
        <w:bottom w:val="none" w:sz="0" w:space="0" w:color="auto"/>
        <w:right w:val="none" w:sz="0" w:space="0" w:color="auto"/>
      </w:divBdr>
    </w:div>
    <w:div w:id="204487930">
      <w:bodyDiv w:val="1"/>
      <w:marLeft w:val="0"/>
      <w:marRight w:val="0"/>
      <w:marTop w:val="0"/>
      <w:marBottom w:val="0"/>
      <w:divBdr>
        <w:top w:val="none" w:sz="0" w:space="0" w:color="auto"/>
        <w:left w:val="none" w:sz="0" w:space="0" w:color="auto"/>
        <w:bottom w:val="none" w:sz="0" w:space="0" w:color="auto"/>
        <w:right w:val="none" w:sz="0" w:space="0" w:color="auto"/>
      </w:divBdr>
    </w:div>
    <w:div w:id="210851178">
      <w:bodyDiv w:val="1"/>
      <w:marLeft w:val="0"/>
      <w:marRight w:val="0"/>
      <w:marTop w:val="0"/>
      <w:marBottom w:val="0"/>
      <w:divBdr>
        <w:top w:val="none" w:sz="0" w:space="0" w:color="auto"/>
        <w:left w:val="none" w:sz="0" w:space="0" w:color="auto"/>
        <w:bottom w:val="none" w:sz="0" w:space="0" w:color="auto"/>
        <w:right w:val="none" w:sz="0" w:space="0" w:color="auto"/>
      </w:divBdr>
    </w:div>
    <w:div w:id="215820886">
      <w:bodyDiv w:val="1"/>
      <w:marLeft w:val="0"/>
      <w:marRight w:val="0"/>
      <w:marTop w:val="0"/>
      <w:marBottom w:val="0"/>
      <w:divBdr>
        <w:top w:val="none" w:sz="0" w:space="0" w:color="auto"/>
        <w:left w:val="none" w:sz="0" w:space="0" w:color="auto"/>
        <w:bottom w:val="none" w:sz="0" w:space="0" w:color="auto"/>
        <w:right w:val="none" w:sz="0" w:space="0" w:color="auto"/>
      </w:divBdr>
    </w:div>
    <w:div w:id="248734050">
      <w:bodyDiv w:val="1"/>
      <w:marLeft w:val="0"/>
      <w:marRight w:val="0"/>
      <w:marTop w:val="0"/>
      <w:marBottom w:val="0"/>
      <w:divBdr>
        <w:top w:val="none" w:sz="0" w:space="0" w:color="auto"/>
        <w:left w:val="none" w:sz="0" w:space="0" w:color="auto"/>
        <w:bottom w:val="none" w:sz="0" w:space="0" w:color="auto"/>
        <w:right w:val="none" w:sz="0" w:space="0" w:color="auto"/>
      </w:divBdr>
    </w:div>
    <w:div w:id="258491035">
      <w:bodyDiv w:val="1"/>
      <w:marLeft w:val="0"/>
      <w:marRight w:val="0"/>
      <w:marTop w:val="0"/>
      <w:marBottom w:val="0"/>
      <w:divBdr>
        <w:top w:val="none" w:sz="0" w:space="0" w:color="auto"/>
        <w:left w:val="none" w:sz="0" w:space="0" w:color="auto"/>
        <w:bottom w:val="none" w:sz="0" w:space="0" w:color="auto"/>
        <w:right w:val="none" w:sz="0" w:space="0" w:color="auto"/>
      </w:divBdr>
    </w:div>
    <w:div w:id="275328055">
      <w:bodyDiv w:val="1"/>
      <w:marLeft w:val="0"/>
      <w:marRight w:val="0"/>
      <w:marTop w:val="0"/>
      <w:marBottom w:val="0"/>
      <w:divBdr>
        <w:top w:val="none" w:sz="0" w:space="0" w:color="auto"/>
        <w:left w:val="none" w:sz="0" w:space="0" w:color="auto"/>
        <w:bottom w:val="none" w:sz="0" w:space="0" w:color="auto"/>
        <w:right w:val="none" w:sz="0" w:space="0" w:color="auto"/>
      </w:divBdr>
    </w:div>
    <w:div w:id="281159506">
      <w:bodyDiv w:val="1"/>
      <w:marLeft w:val="0"/>
      <w:marRight w:val="0"/>
      <w:marTop w:val="0"/>
      <w:marBottom w:val="0"/>
      <w:divBdr>
        <w:top w:val="none" w:sz="0" w:space="0" w:color="auto"/>
        <w:left w:val="none" w:sz="0" w:space="0" w:color="auto"/>
        <w:bottom w:val="none" w:sz="0" w:space="0" w:color="auto"/>
        <w:right w:val="none" w:sz="0" w:space="0" w:color="auto"/>
      </w:divBdr>
    </w:div>
    <w:div w:id="290677299">
      <w:bodyDiv w:val="1"/>
      <w:marLeft w:val="0"/>
      <w:marRight w:val="0"/>
      <w:marTop w:val="0"/>
      <w:marBottom w:val="0"/>
      <w:divBdr>
        <w:top w:val="none" w:sz="0" w:space="0" w:color="auto"/>
        <w:left w:val="none" w:sz="0" w:space="0" w:color="auto"/>
        <w:bottom w:val="none" w:sz="0" w:space="0" w:color="auto"/>
        <w:right w:val="none" w:sz="0" w:space="0" w:color="auto"/>
      </w:divBdr>
    </w:div>
    <w:div w:id="315646015">
      <w:bodyDiv w:val="1"/>
      <w:marLeft w:val="0"/>
      <w:marRight w:val="0"/>
      <w:marTop w:val="0"/>
      <w:marBottom w:val="0"/>
      <w:divBdr>
        <w:top w:val="none" w:sz="0" w:space="0" w:color="auto"/>
        <w:left w:val="none" w:sz="0" w:space="0" w:color="auto"/>
        <w:bottom w:val="none" w:sz="0" w:space="0" w:color="auto"/>
        <w:right w:val="none" w:sz="0" w:space="0" w:color="auto"/>
      </w:divBdr>
    </w:div>
    <w:div w:id="364063810">
      <w:bodyDiv w:val="1"/>
      <w:marLeft w:val="0"/>
      <w:marRight w:val="0"/>
      <w:marTop w:val="0"/>
      <w:marBottom w:val="0"/>
      <w:divBdr>
        <w:top w:val="none" w:sz="0" w:space="0" w:color="auto"/>
        <w:left w:val="none" w:sz="0" w:space="0" w:color="auto"/>
        <w:bottom w:val="none" w:sz="0" w:space="0" w:color="auto"/>
        <w:right w:val="none" w:sz="0" w:space="0" w:color="auto"/>
      </w:divBdr>
    </w:div>
    <w:div w:id="373891106">
      <w:bodyDiv w:val="1"/>
      <w:marLeft w:val="0"/>
      <w:marRight w:val="0"/>
      <w:marTop w:val="0"/>
      <w:marBottom w:val="0"/>
      <w:divBdr>
        <w:top w:val="none" w:sz="0" w:space="0" w:color="auto"/>
        <w:left w:val="none" w:sz="0" w:space="0" w:color="auto"/>
        <w:bottom w:val="none" w:sz="0" w:space="0" w:color="auto"/>
        <w:right w:val="none" w:sz="0" w:space="0" w:color="auto"/>
      </w:divBdr>
    </w:div>
    <w:div w:id="398983858">
      <w:bodyDiv w:val="1"/>
      <w:marLeft w:val="0"/>
      <w:marRight w:val="0"/>
      <w:marTop w:val="0"/>
      <w:marBottom w:val="0"/>
      <w:divBdr>
        <w:top w:val="none" w:sz="0" w:space="0" w:color="auto"/>
        <w:left w:val="none" w:sz="0" w:space="0" w:color="auto"/>
        <w:bottom w:val="none" w:sz="0" w:space="0" w:color="auto"/>
        <w:right w:val="none" w:sz="0" w:space="0" w:color="auto"/>
      </w:divBdr>
    </w:div>
    <w:div w:id="412776728">
      <w:bodyDiv w:val="1"/>
      <w:marLeft w:val="0"/>
      <w:marRight w:val="0"/>
      <w:marTop w:val="0"/>
      <w:marBottom w:val="0"/>
      <w:divBdr>
        <w:top w:val="none" w:sz="0" w:space="0" w:color="auto"/>
        <w:left w:val="none" w:sz="0" w:space="0" w:color="auto"/>
        <w:bottom w:val="none" w:sz="0" w:space="0" w:color="auto"/>
        <w:right w:val="none" w:sz="0" w:space="0" w:color="auto"/>
      </w:divBdr>
    </w:div>
    <w:div w:id="458450073">
      <w:bodyDiv w:val="1"/>
      <w:marLeft w:val="0"/>
      <w:marRight w:val="0"/>
      <w:marTop w:val="0"/>
      <w:marBottom w:val="0"/>
      <w:divBdr>
        <w:top w:val="none" w:sz="0" w:space="0" w:color="auto"/>
        <w:left w:val="none" w:sz="0" w:space="0" w:color="auto"/>
        <w:bottom w:val="none" w:sz="0" w:space="0" w:color="auto"/>
        <w:right w:val="none" w:sz="0" w:space="0" w:color="auto"/>
      </w:divBdr>
    </w:div>
    <w:div w:id="464395123">
      <w:bodyDiv w:val="1"/>
      <w:marLeft w:val="0"/>
      <w:marRight w:val="0"/>
      <w:marTop w:val="0"/>
      <w:marBottom w:val="0"/>
      <w:divBdr>
        <w:top w:val="none" w:sz="0" w:space="0" w:color="auto"/>
        <w:left w:val="none" w:sz="0" w:space="0" w:color="auto"/>
        <w:bottom w:val="none" w:sz="0" w:space="0" w:color="auto"/>
        <w:right w:val="none" w:sz="0" w:space="0" w:color="auto"/>
      </w:divBdr>
    </w:div>
    <w:div w:id="471480522">
      <w:bodyDiv w:val="1"/>
      <w:marLeft w:val="0"/>
      <w:marRight w:val="0"/>
      <w:marTop w:val="0"/>
      <w:marBottom w:val="0"/>
      <w:divBdr>
        <w:top w:val="none" w:sz="0" w:space="0" w:color="auto"/>
        <w:left w:val="none" w:sz="0" w:space="0" w:color="auto"/>
        <w:bottom w:val="none" w:sz="0" w:space="0" w:color="auto"/>
        <w:right w:val="none" w:sz="0" w:space="0" w:color="auto"/>
      </w:divBdr>
    </w:div>
    <w:div w:id="557514814">
      <w:bodyDiv w:val="1"/>
      <w:marLeft w:val="0"/>
      <w:marRight w:val="0"/>
      <w:marTop w:val="0"/>
      <w:marBottom w:val="0"/>
      <w:divBdr>
        <w:top w:val="none" w:sz="0" w:space="0" w:color="auto"/>
        <w:left w:val="none" w:sz="0" w:space="0" w:color="auto"/>
        <w:bottom w:val="none" w:sz="0" w:space="0" w:color="auto"/>
        <w:right w:val="none" w:sz="0" w:space="0" w:color="auto"/>
      </w:divBdr>
    </w:div>
    <w:div w:id="602306860">
      <w:bodyDiv w:val="1"/>
      <w:marLeft w:val="0"/>
      <w:marRight w:val="0"/>
      <w:marTop w:val="0"/>
      <w:marBottom w:val="0"/>
      <w:divBdr>
        <w:top w:val="none" w:sz="0" w:space="0" w:color="auto"/>
        <w:left w:val="none" w:sz="0" w:space="0" w:color="auto"/>
        <w:bottom w:val="none" w:sz="0" w:space="0" w:color="auto"/>
        <w:right w:val="none" w:sz="0" w:space="0" w:color="auto"/>
      </w:divBdr>
    </w:div>
    <w:div w:id="617571209">
      <w:bodyDiv w:val="1"/>
      <w:marLeft w:val="0"/>
      <w:marRight w:val="0"/>
      <w:marTop w:val="0"/>
      <w:marBottom w:val="0"/>
      <w:divBdr>
        <w:top w:val="none" w:sz="0" w:space="0" w:color="auto"/>
        <w:left w:val="none" w:sz="0" w:space="0" w:color="auto"/>
        <w:bottom w:val="none" w:sz="0" w:space="0" w:color="auto"/>
        <w:right w:val="none" w:sz="0" w:space="0" w:color="auto"/>
      </w:divBdr>
    </w:div>
    <w:div w:id="669523952">
      <w:bodyDiv w:val="1"/>
      <w:marLeft w:val="0"/>
      <w:marRight w:val="0"/>
      <w:marTop w:val="0"/>
      <w:marBottom w:val="0"/>
      <w:divBdr>
        <w:top w:val="none" w:sz="0" w:space="0" w:color="auto"/>
        <w:left w:val="none" w:sz="0" w:space="0" w:color="auto"/>
        <w:bottom w:val="none" w:sz="0" w:space="0" w:color="auto"/>
        <w:right w:val="none" w:sz="0" w:space="0" w:color="auto"/>
      </w:divBdr>
    </w:div>
    <w:div w:id="680861397">
      <w:bodyDiv w:val="1"/>
      <w:marLeft w:val="0"/>
      <w:marRight w:val="0"/>
      <w:marTop w:val="0"/>
      <w:marBottom w:val="0"/>
      <w:divBdr>
        <w:top w:val="none" w:sz="0" w:space="0" w:color="auto"/>
        <w:left w:val="none" w:sz="0" w:space="0" w:color="auto"/>
        <w:bottom w:val="none" w:sz="0" w:space="0" w:color="auto"/>
        <w:right w:val="none" w:sz="0" w:space="0" w:color="auto"/>
      </w:divBdr>
    </w:div>
    <w:div w:id="687756620">
      <w:bodyDiv w:val="1"/>
      <w:marLeft w:val="0"/>
      <w:marRight w:val="0"/>
      <w:marTop w:val="0"/>
      <w:marBottom w:val="0"/>
      <w:divBdr>
        <w:top w:val="none" w:sz="0" w:space="0" w:color="auto"/>
        <w:left w:val="none" w:sz="0" w:space="0" w:color="auto"/>
        <w:bottom w:val="none" w:sz="0" w:space="0" w:color="auto"/>
        <w:right w:val="none" w:sz="0" w:space="0" w:color="auto"/>
      </w:divBdr>
    </w:div>
    <w:div w:id="737704064">
      <w:bodyDiv w:val="1"/>
      <w:marLeft w:val="0"/>
      <w:marRight w:val="0"/>
      <w:marTop w:val="0"/>
      <w:marBottom w:val="0"/>
      <w:divBdr>
        <w:top w:val="none" w:sz="0" w:space="0" w:color="auto"/>
        <w:left w:val="none" w:sz="0" w:space="0" w:color="auto"/>
        <w:bottom w:val="none" w:sz="0" w:space="0" w:color="auto"/>
        <w:right w:val="none" w:sz="0" w:space="0" w:color="auto"/>
      </w:divBdr>
    </w:div>
    <w:div w:id="779489052">
      <w:bodyDiv w:val="1"/>
      <w:marLeft w:val="0"/>
      <w:marRight w:val="0"/>
      <w:marTop w:val="0"/>
      <w:marBottom w:val="0"/>
      <w:divBdr>
        <w:top w:val="none" w:sz="0" w:space="0" w:color="auto"/>
        <w:left w:val="none" w:sz="0" w:space="0" w:color="auto"/>
        <w:bottom w:val="none" w:sz="0" w:space="0" w:color="auto"/>
        <w:right w:val="none" w:sz="0" w:space="0" w:color="auto"/>
      </w:divBdr>
    </w:div>
    <w:div w:id="854420522">
      <w:bodyDiv w:val="1"/>
      <w:marLeft w:val="0"/>
      <w:marRight w:val="0"/>
      <w:marTop w:val="0"/>
      <w:marBottom w:val="0"/>
      <w:divBdr>
        <w:top w:val="none" w:sz="0" w:space="0" w:color="auto"/>
        <w:left w:val="none" w:sz="0" w:space="0" w:color="auto"/>
        <w:bottom w:val="none" w:sz="0" w:space="0" w:color="auto"/>
        <w:right w:val="none" w:sz="0" w:space="0" w:color="auto"/>
      </w:divBdr>
    </w:div>
    <w:div w:id="863254740">
      <w:bodyDiv w:val="1"/>
      <w:marLeft w:val="0"/>
      <w:marRight w:val="0"/>
      <w:marTop w:val="0"/>
      <w:marBottom w:val="0"/>
      <w:divBdr>
        <w:top w:val="none" w:sz="0" w:space="0" w:color="auto"/>
        <w:left w:val="none" w:sz="0" w:space="0" w:color="auto"/>
        <w:bottom w:val="none" w:sz="0" w:space="0" w:color="auto"/>
        <w:right w:val="none" w:sz="0" w:space="0" w:color="auto"/>
      </w:divBdr>
    </w:div>
    <w:div w:id="873536947">
      <w:bodyDiv w:val="1"/>
      <w:marLeft w:val="0"/>
      <w:marRight w:val="0"/>
      <w:marTop w:val="0"/>
      <w:marBottom w:val="0"/>
      <w:divBdr>
        <w:top w:val="none" w:sz="0" w:space="0" w:color="auto"/>
        <w:left w:val="none" w:sz="0" w:space="0" w:color="auto"/>
        <w:bottom w:val="none" w:sz="0" w:space="0" w:color="auto"/>
        <w:right w:val="none" w:sz="0" w:space="0" w:color="auto"/>
      </w:divBdr>
    </w:div>
    <w:div w:id="891036142">
      <w:bodyDiv w:val="1"/>
      <w:marLeft w:val="0"/>
      <w:marRight w:val="0"/>
      <w:marTop w:val="0"/>
      <w:marBottom w:val="0"/>
      <w:divBdr>
        <w:top w:val="none" w:sz="0" w:space="0" w:color="auto"/>
        <w:left w:val="none" w:sz="0" w:space="0" w:color="auto"/>
        <w:bottom w:val="none" w:sz="0" w:space="0" w:color="auto"/>
        <w:right w:val="none" w:sz="0" w:space="0" w:color="auto"/>
      </w:divBdr>
    </w:div>
    <w:div w:id="916094725">
      <w:bodyDiv w:val="1"/>
      <w:marLeft w:val="0"/>
      <w:marRight w:val="0"/>
      <w:marTop w:val="0"/>
      <w:marBottom w:val="0"/>
      <w:divBdr>
        <w:top w:val="none" w:sz="0" w:space="0" w:color="auto"/>
        <w:left w:val="none" w:sz="0" w:space="0" w:color="auto"/>
        <w:bottom w:val="none" w:sz="0" w:space="0" w:color="auto"/>
        <w:right w:val="none" w:sz="0" w:space="0" w:color="auto"/>
      </w:divBdr>
    </w:div>
    <w:div w:id="929847619">
      <w:bodyDiv w:val="1"/>
      <w:marLeft w:val="0"/>
      <w:marRight w:val="0"/>
      <w:marTop w:val="0"/>
      <w:marBottom w:val="0"/>
      <w:divBdr>
        <w:top w:val="none" w:sz="0" w:space="0" w:color="auto"/>
        <w:left w:val="none" w:sz="0" w:space="0" w:color="auto"/>
        <w:bottom w:val="none" w:sz="0" w:space="0" w:color="auto"/>
        <w:right w:val="none" w:sz="0" w:space="0" w:color="auto"/>
      </w:divBdr>
    </w:div>
    <w:div w:id="936788595">
      <w:bodyDiv w:val="1"/>
      <w:marLeft w:val="0"/>
      <w:marRight w:val="0"/>
      <w:marTop w:val="0"/>
      <w:marBottom w:val="0"/>
      <w:divBdr>
        <w:top w:val="none" w:sz="0" w:space="0" w:color="auto"/>
        <w:left w:val="none" w:sz="0" w:space="0" w:color="auto"/>
        <w:bottom w:val="none" w:sz="0" w:space="0" w:color="auto"/>
        <w:right w:val="none" w:sz="0" w:space="0" w:color="auto"/>
      </w:divBdr>
    </w:div>
    <w:div w:id="936866751">
      <w:bodyDiv w:val="1"/>
      <w:marLeft w:val="0"/>
      <w:marRight w:val="0"/>
      <w:marTop w:val="0"/>
      <w:marBottom w:val="0"/>
      <w:divBdr>
        <w:top w:val="none" w:sz="0" w:space="0" w:color="auto"/>
        <w:left w:val="none" w:sz="0" w:space="0" w:color="auto"/>
        <w:bottom w:val="none" w:sz="0" w:space="0" w:color="auto"/>
        <w:right w:val="none" w:sz="0" w:space="0" w:color="auto"/>
      </w:divBdr>
    </w:div>
    <w:div w:id="966278245">
      <w:bodyDiv w:val="1"/>
      <w:marLeft w:val="0"/>
      <w:marRight w:val="0"/>
      <w:marTop w:val="0"/>
      <w:marBottom w:val="0"/>
      <w:divBdr>
        <w:top w:val="none" w:sz="0" w:space="0" w:color="auto"/>
        <w:left w:val="none" w:sz="0" w:space="0" w:color="auto"/>
        <w:bottom w:val="none" w:sz="0" w:space="0" w:color="auto"/>
        <w:right w:val="none" w:sz="0" w:space="0" w:color="auto"/>
      </w:divBdr>
    </w:div>
    <w:div w:id="985012506">
      <w:bodyDiv w:val="1"/>
      <w:marLeft w:val="0"/>
      <w:marRight w:val="0"/>
      <w:marTop w:val="0"/>
      <w:marBottom w:val="0"/>
      <w:divBdr>
        <w:top w:val="none" w:sz="0" w:space="0" w:color="auto"/>
        <w:left w:val="none" w:sz="0" w:space="0" w:color="auto"/>
        <w:bottom w:val="none" w:sz="0" w:space="0" w:color="auto"/>
        <w:right w:val="none" w:sz="0" w:space="0" w:color="auto"/>
      </w:divBdr>
    </w:div>
    <w:div w:id="1009406765">
      <w:bodyDiv w:val="1"/>
      <w:marLeft w:val="0"/>
      <w:marRight w:val="0"/>
      <w:marTop w:val="0"/>
      <w:marBottom w:val="0"/>
      <w:divBdr>
        <w:top w:val="none" w:sz="0" w:space="0" w:color="auto"/>
        <w:left w:val="none" w:sz="0" w:space="0" w:color="auto"/>
        <w:bottom w:val="none" w:sz="0" w:space="0" w:color="auto"/>
        <w:right w:val="none" w:sz="0" w:space="0" w:color="auto"/>
      </w:divBdr>
    </w:div>
    <w:div w:id="1009790281">
      <w:bodyDiv w:val="1"/>
      <w:marLeft w:val="0"/>
      <w:marRight w:val="0"/>
      <w:marTop w:val="0"/>
      <w:marBottom w:val="0"/>
      <w:divBdr>
        <w:top w:val="none" w:sz="0" w:space="0" w:color="auto"/>
        <w:left w:val="none" w:sz="0" w:space="0" w:color="auto"/>
        <w:bottom w:val="none" w:sz="0" w:space="0" w:color="auto"/>
        <w:right w:val="none" w:sz="0" w:space="0" w:color="auto"/>
      </w:divBdr>
    </w:div>
    <w:div w:id="1058743376">
      <w:bodyDiv w:val="1"/>
      <w:marLeft w:val="0"/>
      <w:marRight w:val="0"/>
      <w:marTop w:val="0"/>
      <w:marBottom w:val="0"/>
      <w:divBdr>
        <w:top w:val="none" w:sz="0" w:space="0" w:color="auto"/>
        <w:left w:val="none" w:sz="0" w:space="0" w:color="auto"/>
        <w:bottom w:val="none" w:sz="0" w:space="0" w:color="auto"/>
        <w:right w:val="none" w:sz="0" w:space="0" w:color="auto"/>
      </w:divBdr>
    </w:div>
    <w:div w:id="1093548945">
      <w:bodyDiv w:val="1"/>
      <w:marLeft w:val="0"/>
      <w:marRight w:val="0"/>
      <w:marTop w:val="0"/>
      <w:marBottom w:val="0"/>
      <w:divBdr>
        <w:top w:val="none" w:sz="0" w:space="0" w:color="auto"/>
        <w:left w:val="none" w:sz="0" w:space="0" w:color="auto"/>
        <w:bottom w:val="none" w:sz="0" w:space="0" w:color="auto"/>
        <w:right w:val="none" w:sz="0" w:space="0" w:color="auto"/>
      </w:divBdr>
    </w:div>
    <w:div w:id="1096175594">
      <w:bodyDiv w:val="1"/>
      <w:marLeft w:val="0"/>
      <w:marRight w:val="0"/>
      <w:marTop w:val="0"/>
      <w:marBottom w:val="0"/>
      <w:divBdr>
        <w:top w:val="none" w:sz="0" w:space="0" w:color="auto"/>
        <w:left w:val="none" w:sz="0" w:space="0" w:color="auto"/>
        <w:bottom w:val="none" w:sz="0" w:space="0" w:color="auto"/>
        <w:right w:val="none" w:sz="0" w:space="0" w:color="auto"/>
      </w:divBdr>
    </w:div>
    <w:div w:id="1153137210">
      <w:bodyDiv w:val="1"/>
      <w:marLeft w:val="0"/>
      <w:marRight w:val="0"/>
      <w:marTop w:val="0"/>
      <w:marBottom w:val="0"/>
      <w:divBdr>
        <w:top w:val="none" w:sz="0" w:space="0" w:color="auto"/>
        <w:left w:val="none" w:sz="0" w:space="0" w:color="auto"/>
        <w:bottom w:val="none" w:sz="0" w:space="0" w:color="auto"/>
        <w:right w:val="none" w:sz="0" w:space="0" w:color="auto"/>
      </w:divBdr>
    </w:div>
    <w:div w:id="1178733731">
      <w:bodyDiv w:val="1"/>
      <w:marLeft w:val="0"/>
      <w:marRight w:val="0"/>
      <w:marTop w:val="0"/>
      <w:marBottom w:val="0"/>
      <w:divBdr>
        <w:top w:val="none" w:sz="0" w:space="0" w:color="auto"/>
        <w:left w:val="none" w:sz="0" w:space="0" w:color="auto"/>
        <w:bottom w:val="none" w:sz="0" w:space="0" w:color="auto"/>
        <w:right w:val="none" w:sz="0" w:space="0" w:color="auto"/>
      </w:divBdr>
    </w:div>
    <w:div w:id="1183324697">
      <w:bodyDiv w:val="1"/>
      <w:marLeft w:val="0"/>
      <w:marRight w:val="0"/>
      <w:marTop w:val="0"/>
      <w:marBottom w:val="0"/>
      <w:divBdr>
        <w:top w:val="none" w:sz="0" w:space="0" w:color="auto"/>
        <w:left w:val="none" w:sz="0" w:space="0" w:color="auto"/>
        <w:bottom w:val="none" w:sz="0" w:space="0" w:color="auto"/>
        <w:right w:val="none" w:sz="0" w:space="0" w:color="auto"/>
      </w:divBdr>
    </w:div>
    <w:div w:id="1204634872">
      <w:bodyDiv w:val="1"/>
      <w:marLeft w:val="0"/>
      <w:marRight w:val="0"/>
      <w:marTop w:val="0"/>
      <w:marBottom w:val="0"/>
      <w:divBdr>
        <w:top w:val="none" w:sz="0" w:space="0" w:color="auto"/>
        <w:left w:val="none" w:sz="0" w:space="0" w:color="auto"/>
        <w:bottom w:val="none" w:sz="0" w:space="0" w:color="auto"/>
        <w:right w:val="none" w:sz="0" w:space="0" w:color="auto"/>
      </w:divBdr>
    </w:div>
    <w:div w:id="1218980024">
      <w:bodyDiv w:val="1"/>
      <w:marLeft w:val="0"/>
      <w:marRight w:val="0"/>
      <w:marTop w:val="0"/>
      <w:marBottom w:val="0"/>
      <w:divBdr>
        <w:top w:val="none" w:sz="0" w:space="0" w:color="auto"/>
        <w:left w:val="none" w:sz="0" w:space="0" w:color="auto"/>
        <w:bottom w:val="none" w:sz="0" w:space="0" w:color="auto"/>
        <w:right w:val="none" w:sz="0" w:space="0" w:color="auto"/>
      </w:divBdr>
    </w:div>
    <w:div w:id="1223635599">
      <w:bodyDiv w:val="1"/>
      <w:marLeft w:val="0"/>
      <w:marRight w:val="0"/>
      <w:marTop w:val="0"/>
      <w:marBottom w:val="0"/>
      <w:divBdr>
        <w:top w:val="none" w:sz="0" w:space="0" w:color="auto"/>
        <w:left w:val="none" w:sz="0" w:space="0" w:color="auto"/>
        <w:bottom w:val="none" w:sz="0" w:space="0" w:color="auto"/>
        <w:right w:val="none" w:sz="0" w:space="0" w:color="auto"/>
      </w:divBdr>
    </w:div>
    <w:div w:id="1237472278">
      <w:bodyDiv w:val="1"/>
      <w:marLeft w:val="0"/>
      <w:marRight w:val="0"/>
      <w:marTop w:val="0"/>
      <w:marBottom w:val="0"/>
      <w:divBdr>
        <w:top w:val="none" w:sz="0" w:space="0" w:color="auto"/>
        <w:left w:val="none" w:sz="0" w:space="0" w:color="auto"/>
        <w:bottom w:val="none" w:sz="0" w:space="0" w:color="auto"/>
        <w:right w:val="none" w:sz="0" w:space="0" w:color="auto"/>
      </w:divBdr>
    </w:div>
    <w:div w:id="1299645875">
      <w:bodyDiv w:val="1"/>
      <w:marLeft w:val="0"/>
      <w:marRight w:val="0"/>
      <w:marTop w:val="0"/>
      <w:marBottom w:val="0"/>
      <w:divBdr>
        <w:top w:val="none" w:sz="0" w:space="0" w:color="auto"/>
        <w:left w:val="none" w:sz="0" w:space="0" w:color="auto"/>
        <w:bottom w:val="none" w:sz="0" w:space="0" w:color="auto"/>
        <w:right w:val="none" w:sz="0" w:space="0" w:color="auto"/>
      </w:divBdr>
    </w:div>
    <w:div w:id="1338966699">
      <w:bodyDiv w:val="1"/>
      <w:marLeft w:val="0"/>
      <w:marRight w:val="0"/>
      <w:marTop w:val="0"/>
      <w:marBottom w:val="0"/>
      <w:divBdr>
        <w:top w:val="none" w:sz="0" w:space="0" w:color="auto"/>
        <w:left w:val="none" w:sz="0" w:space="0" w:color="auto"/>
        <w:bottom w:val="none" w:sz="0" w:space="0" w:color="auto"/>
        <w:right w:val="none" w:sz="0" w:space="0" w:color="auto"/>
      </w:divBdr>
    </w:div>
    <w:div w:id="1436906167">
      <w:bodyDiv w:val="1"/>
      <w:marLeft w:val="0"/>
      <w:marRight w:val="0"/>
      <w:marTop w:val="0"/>
      <w:marBottom w:val="0"/>
      <w:divBdr>
        <w:top w:val="none" w:sz="0" w:space="0" w:color="auto"/>
        <w:left w:val="none" w:sz="0" w:space="0" w:color="auto"/>
        <w:bottom w:val="none" w:sz="0" w:space="0" w:color="auto"/>
        <w:right w:val="none" w:sz="0" w:space="0" w:color="auto"/>
      </w:divBdr>
    </w:div>
    <w:div w:id="1484078050">
      <w:bodyDiv w:val="1"/>
      <w:marLeft w:val="0"/>
      <w:marRight w:val="0"/>
      <w:marTop w:val="0"/>
      <w:marBottom w:val="0"/>
      <w:divBdr>
        <w:top w:val="none" w:sz="0" w:space="0" w:color="auto"/>
        <w:left w:val="none" w:sz="0" w:space="0" w:color="auto"/>
        <w:bottom w:val="none" w:sz="0" w:space="0" w:color="auto"/>
        <w:right w:val="none" w:sz="0" w:space="0" w:color="auto"/>
      </w:divBdr>
    </w:div>
    <w:div w:id="1488937500">
      <w:bodyDiv w:val="1"/>
      <w:marLeft w:val="0"/>
      <w:marRight w:val="0"/>
      <w:marTop w:val="0"/>
      <w:marBottom w:val="0"/>
      <w:divBdr>
        <w:top w:val="none" w:sz="0" w:space="0" w:color="auto"/>
        <w:left w:val="none" w:sz="0" w:space="0" w:color="auto"/>
        <w:bottom w:val="none" w:sz="0" w:space="0" w:color="auto"/>
        <w:right w:val="none" w:sz="0" w:space="0" w:color="auto"/>
      </w:divBdr>
    </w:div>
    <w:div w:id="1554003066">
      <w:bodyDiv w:val="1"/>
      <w:marLeft w:val="0"/>
      <w:marRight w:val="0"/>
      <w:marTop w:val="0"/>
      <w:marBottom w:val="0"/>
      <w:divBdr>
        <w:top w:val="none" w:sz="0" w:space="0" w:color="auto"/>
        <w:left w:val="none" w:sz="0" w:space="0" w:color="auto"/>
        <w:bottom w:val="none" w:sz="0" w:space="0" w:color="auto"/>
        <w:right w:val="none" w:sz="0" w:space="0" w:color="auto"/>
      </w:divBdr>
    </w:div>
    <w:div w:id="1554580602">
      <w:bodyDiv w:val="1"/>
      <w:marLeft w:val="0"/>
      <w:marRight w:val="0"/>
      <w:marTop w:val="0"/>
      <w:marBottom w:val="0"/>
      <w:divBdr>
        <w:top w:val="none" w:sz="0" w:space="0" w:color="auto"/>
        <w:left w:val="none" w:sz="0" w:space="0" w:color="auto"/>
        <w:bottom w:val="none" w:sz="0" w:space="0" w:color="auto"/>
        <w:right w:val="none" w:sz="0" w:space="0" w:color="auto"/>
      </w:divBdr>
    </w:div>
    <w:div w:id="1562986589">
      <w:bodyDiv w:val="1"/>
      <w:marLeft w:val="0"/>
      <w:marRight w:val="0"/>
      <w:marTop w:val="0"/>
      <w:marBottom w:val="0"/>
      <w:divBdr>
        <w:top w:val="none" w:sz="0" w:space="0" w:color="auto"/>
        <w:left w:val="none" w:sz="0" w:space="0" w:color="auto"/>
        <w:bottom w:val="none" w:sz="0" w:space="0" w:color="auto"/>
        <w:right w:val="none" w:sz="0" w:space="0" w:color="auto"/>
      </w:divBdr>
    </w:div>
    <w:div w:id="1652251341">
      <w:bodyDiv w:val="1"/>
      <w:marLeft w:val="0"/>
      <w:marRight w:val="0"/>
      <w:marTop w:val="0"/>
      <w:marBottom w:val="0"/>
      <w:divBdr>
        <w:top w:val="none" w:sz="0" w:space="0" w:color="auto"/>
        <w:left w:val="none" w:sz="0" w:space="0" w:color="auto"/>
        <w:bottom w:val="none" w:sz="0" w:space="0" w:color="auto"/>
        <w:right w:val="none" w:sz="0" w:space="0" w:color="auto"/>
      </w:divBdr>
    </w:div>
    <w:div w:id="1674262612">
      <w:bodyDiv w:val="1"/>
      <w:marLeft w:val="0"/>
      <w:marRight w:val="0"/>
      <w:marTop w:val="0"/>
      <w:marBottom w:val="0"/>
      <w:divBdr>
        <w:top w:val="none" w:sz="0" w:space="0" w:color="auto"/>
        <w:left w:val="none" w:sz="0" w:space="0" w:color="auto"/>
        <w:bottom w:val="none" w:sz="0" w:space="0" w:color="auto"/>
        <w:right w:val="none" w:sz="0" w:space="0" w:color="auto"/>
      </w:divBdr>
    </w:div>
    <w:div w:id="1697343798">
      <w:bodyDiv w:val="1"/>
      <w:marLeft w:val="0"/>
      <w:marRight w:val="0"/>
      <w:marTop w:val="0"/>
      <w:marBottom w:val="0"/>
      <w:divBdr>
        <w:top w:val="none" w:sz="0" w:space="0" w:color="auto"/>
        <w:left w:val="none" w:sz="0" w:space="0" w:color="auto"/>
        <w:bottom w:val="none" w:sz="0" w:space="0" w:color="auto"/>
        <w:right w:val="none" w:sz="0" w:space="0" w:color="auto"/>
      </w:divBdr>
    </w:div>
    <w:div w:id="1698654085">
      <w:bodyDiv w:val="1"/>
      <w:marLeft w:val="0"/>
      <w:marRight w:val="0"/>
      <w:marTop w:val="0"/>
      <w:marBottom w:val="0"/>
      <w:divBdr>
        <w:top w:val="none" w:sz="0" w:space="0" w:color="auto"/>
        <w:left w:val="none" w:sz="0" w:space="0" w:color="auto"/>
        <w:bottom w:val="none" w:sz="0" w:space="0" w:color="auto"/>
        <w:right w:val="none" w:sz="0" w:space="0" w:color="auto"/>
      </w:divBdr>
    </w:div>
    <w:div w:id="1760370135">
      <w:bodyDiv w:val="1"/>
      <w:marLeft w:val="0"/>
      <w:marRight w:val="0"/>
      <w:marTop w:val="0"/>
      <w:marBottom w:val="0"/>
      <w:divBdr>
        <w:top w:val="none" w:sz="0" w:space="0" w:color="auto"/>
        <w:left w:val="none" w:sz="0" w:space="0" w:color="auto"/>
        <w:bottom w:val="none" w:sz="0" w:space="0" w:color="auto"/>
        <w:right w:val="none" w:sz="0" w:space="0" w:color="auto"/>
      </w:divBdr>
    </w:div>
    <w:div w:id="1810855699">
      <w:bodyDiv w:val="1"/>
      <w:marLeft w:val="0"/>
      <w:marRight w:val="0"/>
      <w:marTop w:val="0"/>
      <w:marBottom w:val="0"/>
      <w:divBdr>
        <w:top w:val="none" w:sz="0" w:space="0" w:color="auto"/>
        <w:left w:val="none" w:sz="0" w:space="0" w:color="auto"/>
        <w:bottom w:val="none" w:sz="0" w:space="0" w:color="auto"/>
        <w:right w:val="none" w:sz="0" w:space="0" w:color="auto"/>
      </w:divBdr>
    </w:div>
    <w:div w:id="1915551899">
      <w:bodyDiv w:val="1"/>
      <w:marLeft w:val="0"/>
      <w:marRight w:val="0"/>
      <w:marTop w:val="0"/>
      <w:marBottom w:val="0"/>
      <w:divBdr>
        <w:top w:val="none" w:sz="0" w:space="0" w:color="auto"/>
        <w:left w:val="none" w:sz="0" w:space="0" w:color="auto"/>
        <w:bottom w:val="none" w:sz="0" w:space="0" w:color="auto"/>
        <w:right w:val="none" w:sz="0" w:space="0" w:color="auto"/>
      </w:divBdr>
    </w:div>
    <w:div w:id="1916936404">
      <w:bodyDiv w:val="1"/>
      <w:marLeft w:val="0"/>
      <w:marRight w:val="0"/>
      <w:marTop w:val="0"/>
      <w:marBottom w:val="0"/>
      <w:divBdr>
        <w:top w:val="none" w:sz="0" w:space="0" w:color="auto"/>
        <w:left w:val="none" w:sz="0" w:space="0" w:color="auto"/>
        <w:bottom w:val="none" w:sz="0" w:space="0" w:color="auto"/>
        <w:right w:val="none" w:sz="0" w:space="0" w:color="auto"/>
      </w:divBdr>
    </w:div>
    <w:div w:id="1920483041">
      <w:bodyDiv w:val="1"/>
      <w:marLeft w:val="0"/>
      <w:marRight w:val="0"/>
      <w:marTop w:val="0"/>
      <w:marBottom w:val="0"/>
      <w:divBdr>
        <w:top w:val="none" w:sz="0" w:space="0" w:color="auto"/>
        <w:left w:val="none" w:sz="0" w:space="0" w:color="auto"/>
        <w:bottom w:val="none" w:sz="0" w:space="0" w:color="auto"/>
        <w:right w:val="none" w:sz="0" w:space="0" w:color="auto"/>
      </w:divBdr>
    </w:div>
    <w:div w:id="1964386528">
      <w:bodyDiv w:val="1"/>
      <w:marLeft w:val="0"/>
      <w:marRight w:val="0"/>
      <w:marTop w:val="0"/>
      <w:marBottom w:val="0"/>
      <w:divBdr>
        <w:top w:val="none" w:sz="0" w:space="0" w:color="auto"/>
        <w:left w:val="none" w:sz="0" w:space="0" w:color="auto"/>
        <w:bottom w:val="none" w:sz="0" w:space="0" w:color="auto"/>
        <w:right w:val="none" w:sz="0" w:space="0" w:color="auto"/>
      </w:divBdr>
    </w:div>
    <w:div w:id="1988972409">
      <w:bodyDiv w:val="1"/>
      <w:marLeft w:val="0"/>
      <w:marRight w:val="0"/>
      <w:marTop w:val="0"/>
      <w:marBottom w:val="0"/>
      <w:divBdr>
        <w:top w:val="none" w:sz="0" w:space="0" w:color="auto"/>
        <w:left w:val="none" w:sz="0" w:space="0" w:color="auto"/>
        <w:bottom w:val="none" w:sz="0" w:space="0" w:color="auto"/>
        <w:right w:val="none" w:sz="0" w:space="0" w:color="auto"/>
      </w:divBdr>
    </w:div>
    <w:div w:id="2073844013">
      <w:bodyDiv w:val="1"/>
      <w:marLeft w:val="0"/>
      <w:marRight w:val="0"/>
      <w:marTop w:val="0"/>
      <w:marBottom w:val="0"/>
      <w:divBdr>
        <w:top w:val="none" w:sz="0" w:space="0" w:color="auto"/>
        <w:left w:val="none" w:sz="0" w:space="0" w:color="auto"/>
        <w:bottom w:val="none" w:sz="0" w:space="0" w:color="auto"/>
        <w:right w:val="none" w:sz="0" w:space="0" w:color="auto"/>
      </w:divBdr>
    </w:div>
    <w:div w:id="20960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 (3).XSL" StyleName="ABNT NBR 6023:2002*" Version="10">
  <b:Source>
    <b:Tag>Buc06</b:Tag>
    <b:SourceType>BookSection</b:SourceType>
    <b:Guid>{AB555EEB-FFA3-4B5F-89C5-5A09C5219988}</b:Guid>
    <b:Author>
      <b:Author>
        <b:NameList>
          <b:Person>
            <b:Last>Bucci</b:Last>
            <b:First>Maria</b:First>
            <b:Middle>Paula Dallari</b:Middle>
          </b:Person>
        </b:NameList>
      </b:Author>
      <b:BookAuthor>
        <b:NameList>
          <b:Person>
            <b:Last>Bucci</b:Last>
            <b:First>Maria</b:First>
            <b:Middle>Paula Dallari</b:Middle>
          </b:Person>
        </b:NameList>
      </b:BookAuthor>
    </b:Author>
    <b:Title>O conceito de política pública em direito</b:Title>
    <b:Year>2006</b:Year>
    <b:City>São Paulo</b:City>
    <b:Publisher>Saraiva</b:Publisher>
    <b:BookTitle>Políticas Públicas. Reflexões sobre o Conceito.</b:BookTitle>
    <b:RefOrder>1</b:RefOrder>
  </b:Source>
  <b:Source>
    <b:Tag>Mar21</b:Tag>
    <b:SourceType>Book</b:SourceType>
    <b:Guid>{8CDF0B54-A445-40C1-A816-6FBB061BEE54}</b:Guid>
    <b:Title>Fundamentos para uma teoria jurídica das políticas públicas</b:Title>
    <b:Year>2021</b:Year>
    <b:City>São Paulo</b:City>
    <b:Publisher>Saraiva Educação</b:Publisher>
    <b:Edition>2ª</b:Edition>
    <b:Author>
      <b:Author>
        <b:NameList>
          <b:Person>
            <b:Last>Bucci</b:Last>
            <b:First>Maria</b:First>
            <b:Middle>Paula Dallari</b:Middle>
          </b:Person>
        </b:NameList>
      </b:Author>
    </b:Author>
    <b:RefOrder>2</b:RefOrder>
  </b:Source>
  <b:Source>
    <b:Tag>Erm97</b:Tag>
    <b:SourceType>Book</b:SourceType>
    <b:Guid>{327CE6E7-ADF8-4B32-9FF9-274B54B01DB9}</b:Guid>
    <b:Author>
      <b:Author>
        <b:NameList>
          <b:Person>
            <b:Last>Maricato</b:Last>
            <b:First>Ermínia</b:First>
          </b:Person>
        </b:NameList>
      </b:Author>
    </b:Author>
    <b:Title>Habitação e cidade</b:Title>
    <b:Year>1997</b:Year>
    <b:City>São Paulo</b:City>
    <b:Publisher>Atual</b:Publisher>
    <b:RefOrder>3</b:RefOrder>
  </b:Source>
  <b:Source>
    <b:Tag>Mor02</b:Tag>
    <b:SourceType>ArticleInAPeriodical</b:SourceType>
    <b:Guid>{322CADC1-3F8E-4D89-8C9E-80F2AA539F4D}</b:Guid>
    <b:Author>
      <b:Author>
        <b:NameList>
          <b:Person>
            <b:Last>Morais</b:Last>
            <b:First>Maria</b:First>
            <b:Middle>da Piedade</b:Middle>
          </b:Person>
        </b:NameList>
      </b:Author>
    </b:Author>
    <b:Title>Breve diagnóstico sobre o quadro atual da habitação no Brasil</b:Title>
    <b:PeriodicalTitle>Políticas sociais: acompanhamento e análise</b:PeriodicalTitle>
    <b:City>Brasília, IPEA, n. 4</b:City>
    <b:Year>2002</b:Year>
    <b:Pages>109-118</b:Pages>
    <b:YearAccessed>2023</b:YearAccessed>
    <b:MonthAccessed>ago. </b:MonthAccessed>
    <b:DayAccessed>06</b:DayAccessed>
    <b:URL>https://portalantigo.ipea.gov.br/agencia/images/stories/PDFs/politicas_sociais/BREVE4.pdf</b:URL>
    <b:RefOrder>4</b:RefOrder>
  </b:Source>
  <b:Source>
    <b:Tag>Mar14</b:Tag>
    <b:SourceType>Book</b:SourceType>
    <b:Guid>{ED99BE6F-4E43-4164-9C77-29F1A083D413}</b:Guid>
    <b:Title>O impasse da política urbana no Brasil</b:Title>
    <b:City>Rio de Janeiro</b:City>
    <b:Year>2014</b:Year>
    <b:Author>
      <b:Author>
        <b:NameList>
          <b:Person>
            <b:Last>Maricato</b:Last>
            <b:First>Ermínia</b:First>
          </b:Person>
        </b:NameList>
      </b:Author>
    </b:Author>
    <b:Publisher>Vozes</b:Publisher>
    <b:Edition>3.</b:Edition>
    <b:Comments>(Edição do Kindle)</b:Comments>
    <b:RefOrder>45</b:RefOrder>
  </b:Source>
  <b:Source>
    <b:Tag>Ada13</b:Tag>
    <b:SourceType>BookSection</b:SourceType>
    <b:Guid>{74B9BBEF-D67E-407A-B015-EC5F0B169C7E}</b:Guid>
    <b:Author>
      <b:Author>
        <b:NameList>
          <b:Person>
            <b:Last>Cardoso</b:Last>
            <b:First>Adauto</b:First>
            <b:Middle>Lúcio</b:Middle>
          </b:Person>
          <b:Person>
            <b:Last>Aragão</b:Last>
            <b:First>Thêmis</b:First>
            <b:Middle>Amorim</b:Middle>
          </b:Person>
        </b:NameList>
      </b:Author>
      <b:BookAuthor>
        <b:NameList>
          <b:Person>
            <b:Last>Cardoso</b:Last>
            <b:First>Adauto</b:First>
            <b:Middle>Lúcio</b:Middle>
          </b:Person>
        </b:NameList>
      </b:BookAuthor>
    </b:Author>
    <b:Title>Do fim do BNH ao Programa Minha Casa Minha Vida: 25 anos da política habitacional no Brasil</b:Title>
    <b:BookTitle>O Programa Minha Casa Minha Vida e seus Efeitos Territoriais</b:BookTitle>
    <b:Year>2013</b:Year>
    <b:Pages>17-65</b:Pages>
    <b:City>Rio de Janeiro</b:City>
    <b:Publisher>Letra Capital</b:Publisher>
    <b:RefOrder>5</b:RefOrder>
  </b:Source>
  <b:Source>
    <b:Tag>alR15</b:Tag>
    <b:SourceType>ArticleInAPeriodical</b:SourceType>
    <b:Guid>{22663F31-C228-4452-9E43-18F428B2D057}</b:Guid>
    <b:Author>
      <b:Author>
        <b:NameList>
          <b:Person>
            <b:Last>Rolnik</b:Last>
            <b:First>Raquel</b:First>
          </b:Person>
          <b:Person>
            <b:Last>Pereira</b:Last>
            <b:First>Alvaro</b:First>
            <b:Middle>Luis dos Santos</b:Middle>
          </b:Person>
          <b:Person>
            <b:Last>Moreira</b:Last>
            <b:First>Fernanda</b:First>
            <b:Middle>Accioly</b:Middle>
          </b:Person>
          <b:Person>
            <b:Last>Royer</b:Last>
            <b:First>Luciana</b:First>
            <b:Middle>de Oliveira</b:Middle>
          </b:Person>
          <b:Person>
            <b:Last>Iacovini</b:Last>
            <b:First>Rodrigo</b:First>
            <b:Middle>Faria Gonçalves</b:Middle>
          </b:Person>
          <b:Person>
            <b:Last>Nisida</b:Last>
            <b:First>Vitor</b:First>
            <b:Middle>Coelho</b:Middle>
          </b:Person>
        </b:NameList>
      </b:Author>
    </b:Author>
    <b:Title>O Programa Minha Casa Minha Vida nas regiões metropolitanas de São Paulo e Campinas: aspectos socioespaciais e segregação</b:Title>
    <b:Year>2015</b:Year>
    <b:City>São Paulo, v. 17</b:City>
    <b:PeriodicalTitle>Cadernos Metrópole</b:PeriodicalTitle>
    <b:Month>mai.</b:Month>
    <b:Pages>127-154</b:Pages>
    <b:RefOrder>6</b:RefOrder>
  </b:Source>
  <b:Source>
    <b:Tag>SOU18</b:Tag>
    <b:SourceType>ArticleInAPeriodical</b:SourceType>
    <b:Guid>{CEF8FA84-B231-44EA-A421-611A536DDDC1}</b:Guid>
    <b:Title>Minha Casa Minha Vida: periferização, segregação e mobilidade intraurbana na área conurbada de Florianópolis</b:Title>
    <b:Year>2018</b:Year>
    <b:City>São Paulo, v. 20, n. 41</b:City>
    <b:Author>
      <b:Author>
        <b:NameList>
          <b:Person>
            <b:Last>SOUZA</b:Last>
            <b:First>Eduardo</b:First>
            <b:Middle>Leite</b:Middle>
          </b:Person>
          <b:Person>
            <b:Last>SUGAI</b:Last>
            <b:First>Maria</b:First>
            <b:Middle>Inês</b:Middle>
          </b:Person>
        </b:NameList>
      </b:Author>
    </b:Author>
    <b:PeriodicalTitle>Cadernos Metrópole</b:PeriodicalTitle>
    <b:Month>abr.</b:Month>
    <b:Pages>75-98</b:Pages>
    <b:RefOrder>7</b:RefOrder>
  </b:Source>
  <b:Source>
    <b:Tag>BUO18</b:Tag>
    <b:SourceType>ArticleInAPeriodical</b:SourceType>
    <b:Guid>{72C229FD-A354-49D1-B0C0-C93DF2DECB59}</b:Guid>
    <b:Author>
      <b:Author>
        <b:NameList>
          <b:Person>
            <b:Last>BUONFIGLIO</b:Last>
            <b:First>Leda</b:First>
            <b:Middle>Velloso</b:Middle>
          </b:Person>
        </b:NameList>
      </b:Author>
    </b:Author>
    <b:Title>Habitação de interesse social</b:Title>
    <b:PeriodicalTitle>Mercator</b:PeriodicalTitle>
    <b:City>Fortaleza, v. 17</b:City>
    <b:Year>2018</b:Year>
    <b:RefOrder>8</b:RefOrder>
  </b:Source>
  <b:Source>
    <b:Tag>SIL18</b:Tag>
    <b:SourceType>ArticleInAPeriodical</b:SourceType>
    <b:Guid>{7769062A-F319-4A2E-97C2-2C683A63B872}</b:Guid>
    <b:Author>
      <b:Author>
        <b:NameList>
          <b:Person>
            <b:Last>SILVA</b:Last>
            <b:First>Matheus</b:First>
            <b:Middle>Santos</b:Middle>
          </b:Person>
          <b:Person>
            <b:Last>COSTA</b:Last>
            <b:First>Silvia</b:First>
            <b:Middle>Kimo</b:Middle>
          </b:Person>
        </b:NameList>
      </b:Author>
    </b:Author>
    <b:Title>Cartografia preliminar dos vínculos sociais no processo morador: moradia no Condomínio São José, Itabuna, BA</b:Title>
    <b:PeriodicalTitle>Revista Cesumar</b:PeriodicalTitle>
    <b:City>v. 23, n. 2</b:City>
    <b:Year>2018</b:Year>
    <b:Pages>267-289</b:Pages>
    <b:RefOrder>9</b:RefOrder>
  </b:Source>
  <b:Source>
    <b:Tag>Ros16</b:Tag>
    <b:SourceType>Book</b:SourceType>
    <b:Guid>{F0FFEEC5-2214-4FA7-A985-305022486C96}</b:Guid>
    <b:Title>O urbano como negócio: habitação de interesse social </b:Title>
    <b:City>Curitiba</b:City>
    <b:Year>2016</b:Year>
    <b:Author>
      <b:Author>
        <b:NameList>
          <b:Person>
            <b:Last>Vieira</b:Last>
            <b:First>Rosângela</b:First>
            <b:Middle>Viana</b:Middle>
          </b:Person>
        </b:NameList>
      </b:Author>
    </b:Author>
    <b:Publisher>Appris Editora</b:Publisher>
    <b:RefOrder>46</b:RefOrder>
  </b:Source>
  <b:Source>
    <b:Tag>GOM18</b:Tag>
    <b:SourceType>ArticleInAPeriodical</b:SourceType>
    <b:Guid>{48193D27-F0E2-47DF-B98F-92652DAD2A8E}</b:Guid>
    <b:Author>
      <b:Author>
        <b:NameList>
          <b:Person>
            <b:Last>GOMES</b:Last>
            <b:First>Ana</b:First>
            <b:Middle>Maria Isar dos Santos</b:Middle>
          </b:Person>
        </b:NameList>
      </b:Author>
    </b:Author>
    <b:Title>O direito à cidade sob uma perspectiva jurídico-sociológica</b:Title>
    <b:PeriodicalTitle>Revista Direito GV</b:PeriodicalTitle>
    <b:City>v. 14, n. 2</b:City>
    <b:Year>2018</b:Year>
    <b:Pages>459-512</b:Pages>
    <b:RefOrder>47</b:RefOrder>
  </b:Source>
  <b:Source>
    <b:Tag>MEN19</b:Tag>
    <b:SourceType>BookSection</b:SourceType>
    <b:Guid>{6CC64C4C-2CE0-4B5D-9794-B92CEF63DCA2}</b:Guid>
    <b:Author>
      <b:Author>
        <b:NameList>
          <b:Person>
            <b:Last>MENDES</b:Last>
            <b:First>Alexandre</b:First>
            <b:Middle>Fabiano</b:Middle>
          </b:Person>
        </b:NameList>
      </b:Author>
      <b:BookAuthor>
        <b:NameList>
          <b:Person>
            <b:Last>BELLO</b:Last>
            <b:First>Enzo</b:First>
          </b:Person>
          <b:Person>
            <b:Last>KELLER</b:Last>
            <b:First>Rene</b:First>
            <b:Middle>José</b:Middle>
          </b:Person>
        </b:NameList>
      </b:BookAuthor>
    </b:Author>
    <b:Title>Ciência Política: O conceito de direito à cidade entre o estável e o efêmero</b:Title>
    <b:BookTitle>Curso de direito à cidade: teoria e prática</b:BookTitle>
    <b:Year>2019</b:Year>
    <b:Pages>53-69</b:Pages>
    <b:City>Rio de Janeiro</b:City>
    <b:Publisher>Lumen Juris</b:Publisher>
    <b:Edition>2.</b:Edition>
    <b:RefOrder>48</b:RefOrder>
  </b:Source>
  <b:Source>
    <b:Tag>Mar15</b:Tag>
    <b:SourceType>BookSection</b:SourceType>
    <b:Guid>{082A2176-85B8-4C03-B16A-E659866AD304}</b:Guid>
    <b:Author>
      <b:Author>
        <b:NameList>
          <b:Person>
            <b:Last>Bucci</b:Last>
            <b:First>Maria</b:First>
            <b:Middle>Paula Dallari</b:Middle>
          </b:Person>
        </b:NameList>
      </b:Author>
      <b:BookAuthor>
        <b:NameList>
          <b:Person>
            <b:Last>Smanio</b:Last>
            <b:First>Gianpaolo</b:First>
            <b:Middle>Poggio</b:Middle>
          </b:Person>
          <b:Person>
            <b:Last>Bertolin</b:Last>
            <b:First>Patrícia</b:First>
            <b:Middle>Tuma</b:Middle>
          </b:Person>
          <b:Person>
            <b:Last>Massmann</b:Last>
            <b:First>Patrícia</b:First>
            <b:Middle>Brasil</b:Middle>
          </b:Person>
        </b:NameList>
      </b:BookAuthor>
    </b:Author>
    <b:Title>Quadro de Referência de uma Política Pública: primeiras linhas de uma visão jurídico-institucional</b:Title>
    <b:BookTitle>O Direito na Fronteira das Políticas Públicas</b:BookTitle>
    <b:Year>2015</b:Year>
    <b:City>São Paulo</b:City>
    <b:Publisher>Páginas e Letras Editora e Gráfica</b:Publisher>
    <b:Edition>2ª</b:Edition>
    <b:RefOrder>49</b:RefOrder>
  </b:Source>
  <b:Source>
    <b:Tag>IPE14</b:Tag>
    <b:SourceType>ArticleInAPeriodical</b:SourceType>
    <b:Guid>{8DC83AD3-9D71-4889-A84D-B8A01B16471A}</b:Guid>
    <b:Title>Muito mais do que um teto</b:Title>
    <b:Year>2014</b:Year>
    <b:City>Edição 79</b:City>
    <b:Author>
      <b:Author>
        <b:Corporate>IPEA</b:Corporate>
      </b:Author>
    </b:Author>
    <b:PeriodicalTitle>Desafios do desenvolvimento</b:PeriodicalTitle>
    <b:Month>mai.</b:Month>
    <b:Day>23</b:Day>
    <b:YearAccessed>2023</b:YearAccessed>
    <b:MonthAccessed>jul.</b:MonthAccessed>
    <b:DayAccessed>13</b:DayAccessed>
    <b:URL>https://www.ipea.gov.br/desafios/index.php?option=com_content&amp;view=article&amp;id=3027:catid=28&amp;</b:URL>
    <b:RefOrder>50</b:RefOrder>
  </b:Source>
  <b:Source>
    <b:Tag>Thu18</b:Tag>
    <b:SourceType>ArticleInAPeriodical</b:SourceType>
    <b:Guid>{109E7773-F52F-46A0-BF9B-59DF598B6C57}</b:Guid>
    <b:Title>Racializando o debate sobre direitos humanos</b:Title>
    <b:Year>2018</b:Year>
    <b:City>v. 15, n. 28</b:City>
    <b:Author>
      <b:Author>
        <b:NameList>
          <b:Person>
            <b:Last>Pires</b:Last>
            <b:First>Thula</b:First>
          </b:Person>
        </b:NameList>
      </b:Author>
    </b:Author>
    <b:PeriodicalTitle>SUR-Revista Internacional de Direitos Humanos</b:PeriodicalTitle>
    <b:Pages>65-75</b:Pages>
    <b:YearAccessed>2023</b:YearAccessed>
    <b:MonthAccessed>jul.</b:MonthAccessed>
    <b:DayAccessed>21</b:DayAccessed>
    <b:URL>https://sur.conectas.org/wp-content/uploads/2019/05/sur-28-portugues-thula-pires.pdf</b:URL>
    <b:RefOrder>51</b:RefOrder>
  </b:Source>
  <b:Source>
    <b:Tag>Pau07</b:Tag>
    <b:SourceType>BookSection</b:SourceType>
    <b:Guid>{4D8E1CD5-3EAD-44A3-B96D-E06DA7FE85FE}</b:Guid>
    <b:Author>
      <b:Author>
        <b:NameList>
          <b:Person>
            <b:Last>Sabatier</b:Last>
            <b:First>Paul</b:First>
            <b:Middle>A.</b:Middle>
          </b:Person>
        </b:NameList>
      </b:Author>
      <b:BookAuthor>
        <b:NameList>
          <b:Person>
            <b:Last>Sabatier</b:Last>
            <b:First>Paul</b:First>
            <b:Middle>A.</b:Middle>
          </b:Person>
        </b:NameList>
      </b:BookAuthor>
    </b:Author>
    <b:Title>The Need for Better Theories</b:Title>
    <b:BookTitle>Theories of the Policy Process</b:BookTitle>
    <b:Year>2007</b:Year>
    <b:City>Colorado</b:City>
    <b:Publisher>Westview Press</b:Publisher>
    <b:RefOrder>10</b:RefOrder>
  </b:Source>
  <b:Source>
    <b:Tag>Luc98</b:Tag>
    <b:SourceType>BookSection</b:SourceType>
    <b:Guid>{AB1E5BB4-00F9-415A-9C8A-4A614772BC55}</b:Guid>
    <b:Title>Verbete "Governo"</b:Title>
    <b:Year>1998</b:Year>
    <b:City>Brasília</b:City>
    <b:Publisher>Universidade de Brasília</b:Publisher>
    <b:Edition>1ª</b:Edition>
    <b:Author>
      <b:Author>
        <b:NameList>
          <b:Person>
            <b:Last>Levi</b:Last>
            <b:First>Lucio</b:First>
          </b:Person>
        </b:NameList>
      </b:Author>
      <b:BookAuthor>
        <b:NameList>
          <b:Person>
            <b:Last>Bobbio</b:Last>
            <b:First>Norberto</b:First>
          </b:Person>
          <b:Person>
            <b:Last>Matteucci</b:Last>
            <b:First>Nicola</b:First>
          </b:Person>
          <b:Person>
            <b:Last>Pasquino</b:Last>
            <b:First>Gianfranco</b:First>
          </b:Person>
        </b:NameList>
      </b:BookAuthor>
    </b:Author>
    <b:BookTitle>Dicionário de política</b:BookTitle>
    <b:Pages>553-555</b:Pages>
    <b:RefOrder>11</b:RefOrder>
  </b:Source>
  <b:Source>
    <b:Tag>Hel96</b:Tag>
    <b:SourceType>Book</b:SourceType>
    <b:Guid>{B629F0E4-188C-474C-ACAC-9EDFD3EC387E}</b:Guid>
    <b:Author>
      <b:Author>
        <b:NameList>
          <b:Person>
            <b:Last>Meirelles</b:Last>
            <b:First>Hely</b:First>
            <b:Middle>Lopes</b:Middle>
          </b:Person>
        </b:NameList>
      </b:Author>
    </b:Author>
    <b:Title>Direito Administrativo Brasileiro</b:Title>
    <b:Year>1996</b:Year>
    <b:City>São Paulo</b:City>
    <b:Publisher>Malheiros</b:Publisher>
    <b:Edition>21</b:Edition>
    <b:RefOrder>12</b:RefOrder>
  </b:Source>
  <b:Source>
    <b:Tag>Dal98</b:Tag>
    <b:SourceType>Book</b:SourceType>
    <b:Guid>{EFE46FC1-FFE1-42B0-97EC-9EEF298401EF}</b:Guid>
    <b:Author>
      <b:Author>
        <b:NameList>
          <b:Person>
            <b:Last>Dallari</b:Last>
            <b:First>Dalmo</b:First>
          </b:Person>
        </b:NameList>
      </b:Author>
    </b:Author>
    <b:Title>Elementos de Teoria Geral do Estado</b:Title>
    <b:Year>1998</b:Year>
    <b:City>São Paulo</b:City>
    <b:Publisher>Saraiva</b:Publisher>
    <b:Edition>20</b:Edition>
    <b:RefOrder>13</b:RefOrder>
  </b:Source>
  <b:Source>
    <b:Tag>Mar131</b:Tag>
    <b:SourceType>Book</b:SourceType>
    <b:Guid>{9B7D2162-B389-49C8-9B9A-BA35508196A4}</b:Guid>
    <b:Author>
      <b:Author>
        <b:NameList>
          <b:Person>
            <b:Last>Pietro</b:Last>
            <b:First>Maria</b:First>
            <b:Middle>Sylvia Zanella Di</b:Middle>
          </b:Person>
        </b:NameList>
      </b:Author>
    </b:Author>
    <b:Title>Direito administrativo</b:Title>
    <b:Year>2013</b:Year>
    <b:City>São Paulo</b:City>
    <b:Publisher>Atlas</b:Publisher>
    <b:Edition>26</b:Edition>
    <b:RefOrder>14</b:RefOrder>
  </b:Source>
  <b:Source>
    <b:Tag>Vin02</b:Tag>
    <b:SourceType>Book</b:SourceType>
    <b:Guid>{CDC1CF28-9C30-4C99-9334-C2A49CB92AD7}</b:Guid>
    <b:Title>A conceituação de governabilidade e governança, da sua relação entre si e com o conjunto da reforma do Estado e do seu aparelho</b:Title>
    <b:City>Brasília</b:City>
    <b:Year>2002</b:Year>
    <b:Author>
      <b:Author>
        <b:NameList>
          <b:Person>
            <b:Last>Araújo</b:Last>
            <b:First>Vinícius</b:First>
            <b:Middle>de Carvalho</b:Middle>
          </b:Person>
        </b:NameList>
      </b:Author>
    </b:Author>
    <b:Publisher>ENAP</b:Publisher>
    <b:RefOrder>15</b:RefOrder>
  </b:Source>
  <b:Source>
    <b:Tag>Sec09</b:Tag>
    <b:SourceType>ArticleInAPeriodical</b:SourceType>
    <b:Guid>{957C3110-CDBA-4F47-9CC5-839912CDE283}</b:Guid>
    <b:Author>
      <b:Author>
        <b:NameList>
          <b:Person>
            <b:Last>Secchi</b:Last>
            <b:First>Leonardo</b:First>
          </b:Person>
        </b:NameList>
      </b:Author>
    </b:Author>
    <b:Title>Modelos organizacionais e reformas da administração pública</b:Title>
    <b:Year>2009</b:Year>
    <b:City>Rio de Janeiro, n. 43</b:City>
    <b:PeriodicalTitle>Revista de Administração Pública</b:PeriodicalTitle>
    <b:Month>mar./abr.</b:Month>
    <b:Pages>347-369</b:Pages>
    <b:RefOrder>16</b:RefOrder>
  </b:Source>
  <b:Source>
    <b:Tag>All15</b:Tag>
    <b:SourceType>Book</b:SourceType>
    <b:Guid>{D59BD32C-C542-44E5-BB82-4C0D0CA5276C}</b:Guid>
    <b:Title>DIREITO, DESENVOLVIMENTO E POLÍTICAS PÚBLICAS: uma análise jurídica do Programa Brasil Quilombola</b:Title>
    <b:Year>2015</b:Year>
    <b:City>Faculdade de Direito, Universidade de São Paulo, São Paulo</b:City>
    <b:Author>
      <b:Author>
        <b:NameList>
          <b:Person>
            <b:Last>Silva</b:Last>
            <b:First>Allyne</b:First>
            <b:Middle>Andrade e</b:Middle>
          </b:Person>
        </b:NameList>
      </b:Author>
    </b:Author>
    <b:PublicationTitle>Dissertação (Mestrado em Direito)</b:PublicationTitle>
    <b:Pages>253f.</b:Pages>
    <b:RefOrder>17</b:RefOrder>
  </b:Source>
  <b:Source>
    <b:Tag>Dio13</b:Tag>
    <b:SourceType>BookSection</b:SourceType>
    <b:Guid>{70BE969B-1006-410A-A6CE-5D66D62FB4C5}</b:Guid>
    <b:Author>
      <b:Author>
        <b:NameList>
          <b:Person>
            <b:Last>Coutinho</b:Last>
            <b:First>Diogo</b:First>
            <b:Middle>R.</b:Middle>
          </b:Person>
        </b:NameList>
      </b:Author>
      <b:BookAuthor>
        <b:NameList>
          <b:Person>
            <b:Last>Eduardo Marques</b:Last>
            <b:First>Carlos</b:First>
            <b:Middle>Aurélio Pimenta de Faria</b:Middle>
          </b:Person>
        </b:NameList>
      </b:BookAuthor>
    </b:Author>
    <b:Title>O direito nas políticas públicas</b:Title>
    <b:BookTitle>A política pública como campo multidisciplinar</b:BookTitle>
    <b:Year>2013</b:Year>
    <b:Pages>181-200</b:Pages>
    <b:City>Rio de Janeiro</b:City>
    <b:Publisher>Editora Fiocruz</b:Publisher>
    <b:RefOrder>18</b:RefOrder>
  </b:Source>
  <b:Source>
    <b:Tag>BUC22</b:Tag>
    <b:SourceType>ArticleInAPeriodical</b:SourceType>
    <b:Guid>{60F98B99-1333-4D9D-8EE3-DE1373FE187D}</b:Guid>
    <b:Title>A abordagem Direito e políticas públicas: temas para uma agenda de pesquisa</b:Title>
    <b:Year>2022</b:Year>
    <b:City>Florianópolis, v. 43, n. 90</b:City>
    <b:Volume>43</b:Volume>
    <b:Author>
      <b:Author>
        <b:NameList>
          <b:Person>
            <b:Last>BUCCI</b:Last>
            <b:First>Maria</b:First>
            <b:Middle>Paula Dallari</b:Middle>
          </b:Person>
          <b:Person>
            <b:Last>SOUZA</b:Last>
            <b:First>Matheus</b:First>
            <b:Middle>Silveira de</b:Middle>
          </b:Person>
        </b:NameList>
      </b:Author>
    </b:Author>
    <b:PeriodicalTitle>Sequência</b:PeriodicalTitle>
    <b:Pages>1-28</b:Pages>
    <b:YearAccessed>2023</b:YearAccessed>
    <b:MonthAccessed>04</b:MonthAccessed>
    <b:DayAccessed>11</b:DayAccessed>
    <b:URL>https://www.scielo.br/j/seq/a/VZ9b5j6chf7tPL3RB3qXsxh/abstract/?lang=pt</b:URL>
    <b:RefOrder>19</b:RefOrder>
  </b:Source>
  <b:Source>
    <b:Tag>Buc19</b:Tag>
    <b:SourceType>ArticleInAPeriodical</b:SourceType>
    <b:Guid>{B88BC753-D808-4110-8A7F-79B01774ABD7}</b:Guid>
    <b:Author>
      <b:Author>
        <b:NameList>
          <b:Person>
            <b:Last>Bucci</b:Last>
            <b:First>Maria</b:First>
            <b:Middle>Paula Dallari</b:Middle>
          </b:Person>
        </b:NameList>
      </b:Author>
    </b:Author>
    <b:Title>Método e aplicações da abordagem Direito e Políticas Públicas (DPP)</b:Title>
    <b:Year>2019</b:Year>
    <b:Pages>791-832</b:Pages>
    <b:City>v. 9, n. 3</b:City>
    <b:PeriodicalTitle>Revista Estudos Institucionais</b:PeriodicalTitle>
    <b:Month>set./dez.</b:Month>
    <b:RefOrder>20</b:RefOrder>
  </b:Source>
  <b:Source>
    <b:Tag>Sér11</b:Tag>
    <b:SourceType>Book</b:SourceType>
    <b:Guid>{527D4D8D-42FB-43FB-B4E9-A90C365DC57E}</b:Guid>
    <b:Author>
      <b:Author>
        <b:NameList>
          <b:Person>
            <b:Last>Azevedo</b:Last>
            <b:First>Sérgio</b:First>
            <b:Middle>de</b:Middle>
          </b:Person>
          <b:Person>
            <b:Last>Andrade</b:Last>
            <b:First>Luís</b:First>
            <b:Middle>Aureliano Gama de</b:Middle>
          </b:Person>
        </b:NameList>
      </b:Author>
    </b:Author>
    <b:Title>Habitação e poder: da Fundação da Casa Popular ao Banco Nacional Habitação</b:Title>
    <b:Year>2011</b:Year>
    <b:City>Rio de Janeiro</b:City>
    <b:Publisher>Centro Edelstein de Pesquisas Sociais</b:Publisher>
    <b:RefOrder>21</b:RefOrder>
  </b:Source>
  <b:Source>
    <b:Tag>Mau86</b:Tag>
    <b:SourceType>BookSection</b:SourceType>
    <b:Guid>{F510F3A2-F7B4-433F-9E99-F1C69F6208DB}</b:Guid>
    <b:Author>
      <b:Author>
        <b:NameList>
          <b:Person>
            <b:Last>Veras</b:Last>
            <b:First>Maura</b:First>
            <b:Middle>Pardini Bicudo</b:Middle>
          </b:Person>
          <b:Person>
            <b:Last>Bonduki</b:Last>
            <b:First>Nabil</b:First>
            <b:Middle>G.</b:Middle>
          </b:Person>
        </b:NameList>
      </b:Author>
      <b:BookAuthor>
        <b:NameList>
          <b:Person>
            <b:Last>Covre</b:Last>
            <b:First>Maria</b:First>
            <b:Middle>de Lourdes M.</b:Middle>
          </b:Person>
        </b:NameList>
      </b:BookAuthor>
    </b:Author>
    <b:Title>Política habitacional e a luta pelo direito à habitação</b:Title>
    <b:BookTitle>A cidadania que não temos</b:BookTitle>
    <b:Year>1986</b:Year>
    <b:Pages>40-72</b:Pages>
    <b:City>São Paulo</b:City>
    <b:Publisher>Brasiliense</b:Publisher>
    <b:RefOrder>22</b:RefOrder>
  </b:Source>
  <b:Source>
    <b:Tag>Nab08</b:Tag>
    <b:SourceType>ArticleInAPeriodical</b:SourceType>
    <b:Guid>{1FD501F8-B708-4AFD-BB9C-8111EF87201B}</b:Guid>
    <b:Author>
      <b:Author>
        <b:NameList>
          <b:Person>
            <b:Last>Bonduki</b:Last>
            <b:First>Nabil</b:First>
            <b:Middle>G.</b:Middle>
          </b:Person>
        </b:NameList>
      </b:Author>
    </b:Author>
    <b:Title>Política habitacional e inclusão social no Brasil: revisão histórica e novas perspectivas no governo Lula</b:Title>
    <b:PeriodicalTitle>Arq.urb</b:PeriodicalTitle>
    <b:City>n. 1</b:City>
    <b:Year>2008</b:Year>
    <b:Pages>70-104</b:Pages>
    <b:RefOrder>23</b:RefOrder>
  </b:Source>
  <b:Source>
    <b:Tag>Bas02</b:Tag>
    <b:SourceType>ArticleInAPeriodical</b:SourceType>
    <b:Guid>{6C97201A-A8B8-458A-9BDD-25AACDA77335}</b:Guid>
    <b:Author>
      <b:Author>
        <b:NameList>
          <b:Person>
            <b:Last>Bassul</b:Last>
            <b:First>José</b:First>
            <b:Middle>Roberto</b:Middle>
          </b:Person>
        </b:NameList>
      </b:Author>
    </b:Author>
    <b:Title>Reforma urbana e Estatuto da Cidade</b:Title>
    <b:Year>2002</b:Year>
    <b:Pages>133-144</b:Pages>
    <b:City>Santiago, v. 28, n. 84</b:City>
    <b:PeriodicalTitle>EURE (Santiago)</b:PeriodicalTitle>
    <b:Month>set.</b:Month>
    <b:YearAccessed>2022</b:YearAccessed>
    <b:MonthAccessed>jan.</b:MonthAccessed>
    <b:DayAccessed>20</b:DayAccessed>
    <b:URL>https://www.scielo.cl/scielo.php?pid=S0250-71612002008400008&amp;script=sci_arttext&amp;tlng=pt</b:URL>
    <b:RefOrder>24</b:RefOrder>
  </b:Source>
  <b:Source>
    <b:Tag>Gom12</b:Tag>
    <b:SourceType>ArticleInAPeriodical</b:SourceType>
    <b:Guid>{1B25ADA9-8BF5-45E0-80C5-4C5C1081CEE1}</b:Guid>
    <b:Author>
      <b:Author>
        <b:NameList>
          <b:Person>
            <b:Last>Gomide</b:Last>
            <b:First>Alexandre</b:First>
            <b:Middle>de Ávila</b:Middle>
          </b:Person>
          <b:Person>
            <b:Last>Pires</b:Last>
            <b:First>Roberto</b:First>
            <b:Middle>Rocha Coelho</b:Middle>
          </b:Person>
        </b:NameList>
      </b:Author>
    </b:Author>
    <b:Title>Capacidades estatais para o desenvolvimento no século XXI</b:Title>
    <b:PeriodicalTitle>Boletim de análise político-institucional</b:PeriodicalTitle>
    <b:City>Brasília, n. 2</b:City>
    <b:Year>2012</b:Year>
    <b:Pages>25-30</b:Pages>
    <b:YearAccessed>2023</b:YearAccessed>
    <b:MonthAccessed>jan.</b:MonthAccessed>
    <b:DayAccessed>25</b:DayAccessed>
    <b:URL>https://repositorio.ipea.gov.br/bitstream/11058/6760/2/BAPI_n02_p25-30_RD_Capacidades-estatais_Diest_2012-ago.pdf</b:URL>
    <b:RefOrder>41</b:RefOrder>
  </b:Source>
  <b:Source>
    <b:Tag>Cha04</b:Tag>
    <b:SourceType>BookSection</b:SourceType>
    <b:Guid>{6DFDC0D0-710E-4DBE-824D-083D5BA1A5C4}</b:Guid>
    <b:Title>Beyond principal-agent governance: experimentalist organizations, learning and accountability</b:Title>
    <b:City>Amsterdam</b:City>
    <b:Year>2004</b:Year>
    <b:Pages>173-195</b:Pages>
    <b:BookTitle>De Staat van de Democratie. Democratie voorbij de Staat.</b:BookTitle>
    <b:Publisher>Amsterdam University Press</b:Publisher>
    <b:Author>
      <b:Author>
        <b:NameList>
          <b:Person>
            <b:Last>Sabel</b:Last>
            <b:First>Charles</b:First>
            <b:Middle>F.</b:Middle>
          </b:Person>
        </b:NameList>
      </b:Author>
      <b:BookAuthor>
        <b:NameList>
          <b:Person>
            <b:Last>Engelen</b:Last>
            <b:First>E.</b:First>
            <b:Middle>R.</b:Middle>
          </b:Person>
          <b:Person>
            <b:Last>Ho</b:Last>
            <b:First>M.</b:First>
            <b:Middle>Sie Dhian</b:Middle>
          </b:Person>
        </b:NameList>
      </b:BookAuthor>
    </b:Author>
    <b:Comments>(WRR Verkenning, n. 3)</b:Comments>
    <b:RefOrder>42</b:RefOrder>
  </b:Source>
  <b:Source>
    <b:Tag>Kli16</b:Tag>
    <b:SourceType>ArticleInAPeriodical</b:SourceType>
    <b:Guid>{A6026DC8-06FC-487E-8554-DCFBA187FA06}</b:Guid>
    <b:Title>Por que o Programa Minha Casa Minha Vida só poderia acontecer em um governo petista?</b:Title>
    <b:Year>2016</b:Year>
    <b:Pages>165-190</b:Pages>
    <b:City>São Paulo, v. 18, n. 35</b:City>
    <b:Author>
      <b:Author>
        <b:NameList>
          <b:Person>
            <b:Last>Klintowitz</b:Last>
            <b:First>Danielle</b:First>
          </b:Person>
        </b:NameList>
      </b:Author>
    </b:Author>
    <b:PeriodicalTitle>Cad. Metrop.</b:PeriodicalTitle>
    <b:Month>abr.</b:Month>
    <b:YearAccessed>2023</b:YearAccessed>
    <b:MonthAccessed>jan.</b:MonthAccessed>
    <b:DayAccessed>25</b:DayAccessed>
    <b:URL>https://www.scielo.br/j/cm/a/WPBGnhjVhxLdzGXGNFTdYRQ/?lang=pt</b:URL>
    <b:RefOrder>39</b:RefOrder>
  </b:Source>
  <b:Source>
    <b:Tag>Mar11</b:Tag>
    <b:SourceType>Book</b:SourceType>
    <b:Guid>{6C83B1DD-62DC-41A1-AC91-0929C76DC436}</b:Guid>
    <b:Title>Financeirização e transformações recentes no circuito imobiliário no Brasil. 2011. Tese (Doutorado em Desenvolvimento Econômico), Instituto de Economia</b:Title>
    <b:Year>2011</b:Year>
    <b:City>Campinas</b:City>
    <b:Author>
      <b:Author>
        <b:NameList>
          <b:Person>
            <b:Last>Fix</b:Last>
            <b:First>Mariana</b:First>
          </b:Person>
        </b:NameList>
      </b:Author>
    </b:Author>
    <b:RefOrder>43</b:RefOrder>
  </b:Source>
  <b:Source>
    <b:Tag>Cel83</b:Tag>
    <b:SourceType>BookSection</b:SourceType>
    <b:Guid>{AD04DC14-9DDE-4489-9C1F-51F79A37895B}</b:Guid>
    <b:Title>Auto-retrato intelectual</b:Title>
    <b:City>São Paulo</b:City>
    <b:Year>1983</b:Year>
    <b:Pages>30-41</b:Pages>
    <b:Author>
      <b:Author>
        <b:NameList>
          <b:Person>
            <b:Last>Furtado</b:Last>
            <b:First>Celso</b:First>
          </b:Person>
        </b:NameList>
      </b:Author>
      <b:BookAuthor>
        <b:NameList>
          <b:Person>
            <b:Last>Oliveira</b:Last>
            <b:First>Francisco</b:First>
            <b:Middle>de</b:Middle>
          </b:Person>
        </b:NameList>
      </b:BookAuthor>
    </b:Author>
    <b:BookTitle>Celso Furtado</b:BookTitle>
    <b:Publisher>Ática</b:Publisher>
    <b:RefOrder>44</b:RefOrder>
  </b:Source>
  <b:Source>
    <b:Tag>San02</b:Tag>
    <b:SourceType>Book</b:SourceType>
    <b:Guid>{F9E1DEE4-36B8-4FBD-A08B-47F09B808047}</b:Guid>
    <b:Author>
      <b:Author>
        <b:NameList>
          <b:Person>
            <b:Last>Santos</b:Last>
            <b:First>Boaventura</b:First>
            <b:Middle>de Sousa</b:Middle>
          </b:Person>
        </b:NameList>
      </b:Author>
    </b:Author>
    <b:Title>A crítica da razão indolente: contra o desperdício da experiência</b:Title>
    <b:Year>2002</b:Year>
    <b:City>São Paulo</b:City>
    <b:Publisher>Cortez</b:Publisher>
    <b:RefOrder>52</b:RefOrder>
  </b:Source>
  <b:Source>
    <b:Tag>Raf17</b:Tag>
    <b:SourceType>Book</b:SourceType>
    <b:Guid>{6E9F1383-7010-4D1B-A667-59DB7231D6DF}</b:Guid>
    <b:Title>Crítica do direito à moradia e das políticas habitacionais</b:Title>
    <b:City>Rio de Janeiro</b:City>
    <b:Year>2017</b:Year>
    <b:Author>
      <b:Author>
        <b:NameList>
          <b:Person>
            <b:Last>Menezes</b:Last>
            <b:First>Rafael</b:First>
            <b:Middle>Lessa V. de Sá</b:Middle>
          </b:Person>
        </b:NameList>
      </b:Author>
    </b:Author>
    <b:Publisher>Lumen Juris</b:Publisher>
    <b:RefOrder>53</b:RefOrder>
  </b:Source>
  <b:Source>
    <b:Tag>BRA091</b:Tag>
    <b:SourceType>Book</b:SourceType>
    <b:Guid>{4DF9289F-D844-4144-A96B-5DA291F3B60E}</b:Guid>
    <b:Title>Exposição de motivos da Medida Provisória nº 459, de 25 de março de 2009.</b:Title>
    <b:Year>2009a</b:Year>
    <b:Author>
      <b:Author>
        <b:NameList>
          <b:Person>
            <b:Last>BRASIL</b:Last>
          </b:Person>
        </b:NameList>
      </b:Author>
    </b:Author>
    <b:YearAccessed>2023</b:YearAccessed>
    <b:MonthAccessed>jan.</b:MonthAccessed>
    <b:DayAccessed>26</b:DayAccessed>
    <b:URL>https://www.planalto.gov.br/ccivil_03/_ato2007-2010/2009/Exm/EMI-33-MF-MJ-MP-MMA-Mcidades-09-Mpv-459.htm</b:URL>
    <b:RefOrder>54</b:RefOrder>
  </b:Source>
  <b:Source>
    <b:Tag>Mar171</b:Tag>
    <b:SourceType>Book</b:SourceType>
    <b:Guid>{6882A848-87DB-4E96-B9D2-08AE06172F70}</b:Guid>
    <b:Title>O impasse da política urbana no Brasil</b:Title>
    <b:Year>2017</b:Year>
    <b:City>Petrópolis, RJ</b:City>
    <b:Publisher>Vozes</b:Publisher>
    <b:Author>
      <b:Author>
        <b:NameList>
          <b:Person>
            <b:Last>Maricato</b:Last>
            <b:First>Ermínia</b:First>
          </b:Person>
        </b:NameList>
      </b:Author>
    </b:Author>
    <b:Comments>(Edição digital)</b:Comments>
    <b:RefOrder>27</b:RefOrder>
  </b:Source>
  <b:Source>
    <b:Tag>BRA</b:Tag>
    <b:SourceType>Book</b:SourceType>
    <b:Guid>{17FD2259-F35C-4B46-8420-760FFEB08360}</b:Guid>
    <b:Title>Plano plurianual 2004-2007: projeto de lei de revisão</b:Title>
    <b:Volume>II</b:Volume>
    <b:Author>
      <b:Author>
        <b:NameList>
          <b:Person>
            <b:Last>BRASIL</b:Last>
          </b:Person>
        </b:NameList>
      </b:Author>
    </b:Author>
    <b:Year>2004</b:Year>
    <b:City>Brasília</b:City>
    <b:Pages>v. II</b:Pages>
    <b:RefOrder>25</b:RefOrder>
  </b:Source>
  <b:Source>
    <b:Tag>Mar03</b:Tag>
    <b:SourceType>ArticleInAPeriodical</b:SourceType>
    <b:Guid>{BC4976EC-ED9F-41A5-94F5-544730DC808A}</b:Guid>
    <b:Author>
      <b:Author>
        <b:NameList>
          <b:Person>
            <b:Last>Maricato</b:Last>
            <b:First>Ermínia</b:First>
          </b:Person>
        </b:NameList>
      </b:Author>
    </b:Author>
    <b:Title>Política urbana e o ministério das cidades: algumas diretrizes de implementação</b:Title>
    <b:PeriodicalTitle>Pós: Revista do Programa de Pós-Graduação da Faculdade de Arquitetura e Urbanismo</b:PeriodicalTitle>
    <b:City>São Paulo, n. 14</b:City>
    <b:Year>2003</b:Year>
    <b:Pages>10-23</b:Pages>
    <b:RefOrder>26</b:RefOrder>
  </b:Source>
  <b:Source>
    <b:Tag>BRA23</b:Tag>
    <b:SourceType>Report</b:SourceType>
    <b:Guid>{768BFB39-7BA9-49CB-9B30-6A7A46C6C337}</b:Guid>
    <b:Title>Decreto nº 4.665, de 3 de abril de 2003</b:Title>
    <b:YearAccessed>2023</b:YearAccessed>
    <b:MonthAccessed>jan.</b:MonthAccessed>
    <b:DayAccessed>24</b:DayAccessed>
    <b:URL>http://www.planalto.gov.br/ccivil_03/decreto/2003/d4665.htm#:~:text=DECRETO%20N%C2%BA%204.665%2C%20DE%203%20DE%20ABRIL%20DE%202003.&amp;text=Aprova%20a%20Estrutura%20Regimental%20e,que%20lhe%20confere%20o%20art.</b:URL>
    <b:City>Aprova a Estrutura Regimental e o Quadro Demonstrativo dos Cargos em Comissão do Ministério das Cidades, e dá outras providências</b:City>
    <b:Author>
      <b:Author>
        <b:NameList>
          <b:Person>
            <b:Last>BRASIL</b:Last>
          </b:Person>
        </b:NameList>
      </b:Author>
    </b:Author>
    <b:Year>2003</b:Year>
    <b:RefOrder>55</b:RefOrder>
  </b:Source>
  <b:Source>
    <b:Tag>And12</b:Tag>
    <b:SourceType>Book</b:SourceType>
    <b:Guid>{F3A1EB54-DEBF-4B7F-AC71-9E4325CA3135}</b:Guid>
    <b:Author>
      <b:Author>
        <b:NameList>
          <b:Person>
            <b:Last>Singer</b:Last>
            <b:First>André</b:First>
          </b:Person>
        </b:NameList>
      </b:Author>
    </b:Author>
    <b:Title>Os sentidos do lulismo: reforma gradual e pacto conservador</b:Title>
    <b:Year>2012</b:Year>
    <b:City>São Paulo</b:City>
    <b:Publisher>Companhia das Letras</b:Publisher>
    <b:RefOrder>28</b:RefOrder>
  </b:Source>
  <b:Source>
    <b:Tag>Rol19</b:Tag>
    <b:SourceType>Book</b:SourceType>
    <b:Guid>{94CA576A-2FAB-4BA8-9943-448001AA266E}</b:Guid>
    <b:Author>
      <b:Author>
        <b:NameList>
          <b:Person>
            <b:Last>Rolnik</b:Last>
            <b:First>Raquel</b:First>
          </b:Person>
        </b:NameList>
      </b:Author>
    </b:Author>
    <b:Title>Guerra dos Lugares</b:Title>
    <b:City>São Paulo</b:City>
    <b:Year>2019</b:Year>
    <b:Publisher>Boitempo</b:Publisher>
    <b:Edition>2ª</b:Edition>
    <b:RefOrder>29</b:RefOrder>
  </b:Source>
  <b:Source>
    <b:Tag>Sér98</b:Tag>
    <b:SourceType>ArticleInAPeriodical</b:SourceType>
    <b:Guid>{9E25495A-CD4B-4C1D-B47A-2A2732EA7433}</b:Guid>
    <b:Author>
      <b:Author>
        <b:NameList>
          <b:Person>
            <b:Last>Abranches</b:Last>
            <b:First>Sérgio</b:First>
            <b:Middle>Henrique Hudson de</b:Middle>
          </b:Person>
        </b:NameList>
      </b:Author>
    </b:Author>
    <b:Title>Presidencialismo de coalizão: o dilema institucional brasileiro</b:Title>
    <b:PeriodicalTitle>dados - Revista de Ciências Sociais</b:PeriodicalTitle>
    <b:City>Rio de Janeiro, v. 31, n. 1</b:City>
    <b:Year>1988</b:Year>
    <b:Pages>5-34</b:Pages>
    <b:RefOrder>30</b:RefOrder>
  </b:Source>
  <b:Source>
    <b:Tag>Bon08</b:Tag>
    <b:SourceType>ArticleInAPeriodical</b:SourceType>
    <b:Guid>{6A5E7442-AAF1-4E9D-BC0D-45EC6BAFA7E9}</b:Guid>
    <b:Author>
      <b:Author>
        <b:NameList>
          <b:Person>
            <b:Last>Bonduki</b:Last>
            <b:First>Nabil</b:First>
            <b:Middle>G.</b:Middle>
          </b:Person>
          <b:Person>
            <b:Last>Rossetto</b:Last>
            <b:First>Rossella</b:First>
            <b:Middle>O.</b:Middle>
          </b:Person>
        </b:NameList>
      </b:Author>
    </b:Author>
    <b:Title>Plano Nacional de Habitação e os recursos para financiar a autogestão</b:Title>
    <b:PeriodicalTitle>Proposta: Revista Trimestral de Debate da Fase</b:PeriodicalTitle>
    <b:City>v. 116</b:City>
    <b:Year>2008</b:Year>
    <b:Pages>33-38</b:Pages>
    <b:YearAccessed>2023</b:YearAccessed>
    <b:MonthAccessed>jan.</b:MonthAccessed>
    <b:DayAccessed>21</b:DayAccessed>
    <b:URL>https://autogestao.unmp.org.br/wp-content/uploads/2014/11/ART-12_-O-PLANO-NACIONAL-DE-HABITACAO-E-OS-RECURSOS-PARA-FINANCIAR-A-AUTOGESTAO.pdf</b:URL>
    <b:RefOrder>31</b:RefOrder>
  </b:Source>
  <b:Source>
    <b:Tag>Fer14</b:Tag>
    <b:SourceType>Book</b:SourceType>
    <b:Guid>{9F08D05B-3A34-4E51-A505-CAF06B25852D}</b:Guid>
    <b:Author>
      <b:Author>
        <b:NameList>
          <b:Person>
            <b:Last>Silva</b:Last>
            <b:First>Fernanda</b:First>
            <b:Middle>Lima</b:Middle>
          </b:Person>
        </b:NameList>
      </b:Author>
    </b:Author>
    <b:Title>Coordenação governamental no presidencialismo de coalizão brasileiro: estudo de caso sobre o Ministério das Cidades no Governo Lula. 2014.</b:Title>
    <b:Year>2014</b:Year>
    <b:City>Dissertação (Mestrado em Administração Pública e Governo) – FGV, São Paulo</b:City>
    <b:RefOrder>32</b:RefOrder>
  </b:Source>
  <b:Source>
    <b:Tag>Nab13</b:Tag>
    <b:SourceType>BookSection</b:SourceType>
    <b:Guid>{2E047294-2B88-489A-863B-3E2A6092B34C}</b:Guid>
    <b:Title>Planos Locais de Habitação: das origens aos dilemas atuais nas regiões metropolitanas</b:Title>
    <b:City>São Paulo</b:City>
    <b:Year>2013</b:Year>
    <b:Pages>29-43</b:Pages>
    <b:Author>
      <b:Author>
        <b:NameList>
          <b:Person>
            <b:Last>Bonduki</b:Last>
            <b:First>Nabil</b:First>
            <b:Middle>G.</b:Middle>
          </b:Person>
        </b:NameList>
      </b:Author>
      <b:BookAuthor>
        <b:NameList>
          <b:Person>
            <b:Last>Denaldi</b:Last>
            <b:First>Rosana</b:First>
          </b:Person>
        </b:NameList>
      </b:BookAuthor>
    </b:Author>
    <b:BookTitle>Planejamento habitacional: notas sobre a precariedade e terra nos Planos Locais de Habitação</b:BookTitle>
    <b:Publisher>Annablume</b:Publisher>
    <b:RefOrder>33</b:RefOrder>
  </b:Source>
  <b:Source>
    <b:Tag>Lou11</b:Tag>
    <b:SourceType>ArticleInAPeriodical</b:SourceType>
    <b:Guid>{DC16A17E-81C4-4199-9CFC-DF100490272D}</b:Guid>
    <b:Title>Democracia, arenas decisórias e política econômica no governo Lula</b:Title>
    <b:Year>2011</b:Year>
    <b:City>v. 26, n. 76</b:City>
    <b:Author>
      <b:Author>
        <b:NameList>
          <b:Person>
            <b:Last>Loureiro</b:Last>
            <b:First>Maria</b:First>
            <b:Middle>Rita</b:Middle>
          </b:Person>
          <b:Person>
            <b:Last>Santos</b:Last>
            <b:First>Fábio</b:First>
            <b:Middle>Pereira dos</b:Middle>
          </b:Person>
          <b:Person>
            <b:Last>Gomide</b:Last>
            <b:First>Alexandre</b:First>
            <b:Middle>de Ávila</b:Middle>
          </b:Person>
        </b:NameList>
      </b:Author>
    </b:Author>
    <b:PeriodicalTitle>Revista Brasileira de Ciências Sociais</b:PeriodicalTitle>
    <b:Month>jun.</b:Month>
    <b:Pages>63-76</b:Pages>
    <b:YearAccessed>2023</b:YearAccessed>
    <b:MonthAccessed>jan.</b:MonthAccessed>
    <b:DayAccessed>24</b:DayAccessed>
    <b:URL>https://www.scielo.br/j/rbcsoc/a/gqpmmN4TDyNFXk7Z7BSvGqx/abstract/?lang=pt</b:URL>
    <b:RefOrder>56</b:RefOrder>
  </b:Source>
  <b:Source>
    <b:Tag>Már12</b:Tag>
    <b:SourceType>BookSection</b:SourceType>
    <b:Guid>{FFC82D07-99C6-412D-83E9-D595A66D6700}</b:Guid>
    <b:Title>Novo desenvolvimentismo como resposta à crise global</b:Title>
    <b:City>Brasília</b:City>
    <b:Year>2012</b:Year>
    <b:Pages>15-28</b:Pages>
    <b:Author>
      <b:Author>
        <b:NameList>
          <b:Person>
            <b:Last>Pochmann</b:Last>
            <b:First>Márcio</b:First>
          </b:Person>
        </b:NameList>
      </b:Author>
      <b:BookAuthor>
        <b:NameList>
          <b:Person>
            <b:Last>Castro</b:Last>
            <b:First>Daniel</b:First>
          </b:Person>
          <b:Person>
            <b:Last>Melo</b:Last>
            <b:First>José</b:First>
            <b:Middle>M.</b:Middle>
          </b:Person>
        </b:NameList>
      </b:BookAuthor>
    </b:Author>
    <b:BookTitle>Panorama da comunicação e das telecomunicações no Brasil</b:BookTitle>
    <b:Publisher>Ipea</b:Publisher>
    <b:RefOrder>34</b:RefOrder>
  </b:Source>
  <b:Source>
    <b:Tag>Mar13</b:Tag>
    <b:SourceType>Book</b:SourceType>
    <b:Guid>{AF97B0A6-CCB2-4823-AE64-100D2BD9B813}</b:Guid>
    <b:Title>Democracia, arenas decisórias e políticas públicas: o Programa Minha Casa Minha Vida</b:Title>
    <b:City>Brasília</b:City>
    <b:Year>2013</b:Year>
    <b:Author>
      <b:Author>
        <b:NameList>
          <b:Person>
            <b:Last>Loureiro</b:Last>
            <b:First>Maria</b:First>
            <b:Middle>Rita</b:Middle>
          </b:Person>
          <b:Person>
            <b:Last>Macário</b:Last>
            <b:First>Vinicius</b:First>
          </b:Person>
          <b:Person>
            <b:Last>Guerra</b:Last>
            <b:First>Pedro</b:First>
          </b:Person>
        </b:NameList>
      </b:Author>
    </b:Author>
    <b:Publisher>Instituto de Pesquisa Econômica Aplicada</b:Publisher>
    <b:RefOrder>37</b:RefOrder>
  </b:Source>
  <b:Source>
    <b:Tag>Nab14</b:Tag>
    <b:SourceType>Book</b:SourceType>
    <b:Guid>{7AB4C224-1133-4F99-AF8F-EC1610F4CF7E}</b:Guid>
    <b:Author>
      <b:Author>
        <b:NameList>
          <b:Person>
            <b:Last>Bonduki</b:Last>
            <b:First>Nabil</b:First>
            <b:Middle>G.</b:Middle>
          </b:Person>
        </b:NameList>
      </b:Author>
    </b:Author>
    <b:Title>Os pioneiros da habitação social: cem anos de política pública no Brasil</b:Title>
    <b:Year>2014</b:Year>
    <b:City>São Paulo</b:City>
    <b:Publisher>Editora UNESP; Edições Sesc</b:Publisher>
    <b:Volume>1</b:Volume>
    <b:RefOrder>35</b:RefOrder>
  </b:Source>
  <b:Source>
    <b:Tag>Thê12</b:Tag>
    <b:SourceType>BookSection</b:SourceType>
    <b:Guid>{EFC3F172-4DA3-4B01-9D0F-823D00AC5F46}</b:Guid>
    <b:Title>A reestruturação do setor imobiliário e o Programa Minha Casa Minha Vida</b:Title>
    <b:Year>2012</b:Year>
    <b:City>Belo Horizonte</b:City>
    <b:Publisher>C/Arte</b:Publisher>
    <b:Author>
      <b:Author>
        <b:NameList>
          <b:Person>
            <b:Last>Aragão</b:Last>
            <b:First>Thêmis</b:First>
            <b:Middle>Amorim</b:Middle>
          </b:Person>
          <b:Person>
            <b:Last>Cardoso</b:Last>
            <b:First>Adauto</b:First>
            <b:Middle>Lúcio</b:Middle>
          </b:Person>
        </b:NameList>
      </b:Author>
      <b:BookAuthor>
        <b:NameList>
          <b:Person>
            <b:Last>Mendonça</b:Last>
            <b:First>Jupira</b:First>
            <b:Middle>Gomes de</b:Middle>
          </b:Person>
          <b:Person>
            <b:Last>Costa</b:Last>
            <b:First>Heloísa</b:First>
            <b:Middle>Soares de Moura</b:Middle>
          </b:Person>
        </b:NameList>
      </b:BookAuthor>
    </b:Author>
    <b:BookTitle>Estado e capital imobiliário: convergências atuais na produção do espaço brasileiro</b:BookTitle>
    <b:Pages>81-106</b:Pages>
    <b:RefOrder>36</b:RefOrder>
  </b:Source>
  <b:Source>
    <b:Tag>Joh77</b:Tag>
    <b:SourceType>ArticleInAPeriodical</b:SourceType>
    <b:Guid>{30FA6ACA-379C-4347-8B5C-0C4218075129}</b:Guid>
    <b:Title>Institutionalized organizations: formal structure as myth and ceremony</b:Title>
    <b:Year>1977</b:Year>
    <b:City>n. 83</b:City>
    <b:Author>
      <b:Author>
        <b:NameList>
          <b:Person>
            <b:Last>Meyer</b:Last>
            <b:First>John</b:First>
            <b:Middle>W.</b:Middle>
          </b:Person>
          <b:Person>
            <b:Last>Rowan</b:Last>
            <b:First>Brian</b:First>
          </b:Person>
        </b:NameList>
      </b:Author>
    </b:Author>
    <b:PeriodicalTitle>American Journal of Sociology</b:PeriodicalTitle>
    <b:Pages>340-363</b:Pages>
    <b:RefOrder>38</b:RefOrder>
  </b:Source>
  <b:Source>
    <b:Tag>Lou15</b:Tag>
    <b:SourceType>ArticleInAPeriodical</b:SourceType>
    <b:Guid>{8B25BAE5-367A-4D22-A3BC-CC88065F5E7C}</b:Guid>
    <b:Author>
      <b:Author>
        <b:NameList>
          <b:Person>
            <b:Last>Loureiro</b:Last>
            <b:First>Maria</b:First>
            <b:Middle>Rita</b:Middle>
          </b:Person>
          <b:Person>
            <b:Last>Macário</b:Last>
            <b:First>Vinicius</b:First>
          </b:Person>
          <b:Person>
            <b:Last>Guerra</b:Last>
            <b:First>Pedro</b:First>
            <b:Middle>Henrique</b:Middle>
          </b:Person>
        </b:NameList>
      </b:Author>
    </b:Author>
    <b:Title>Legitimidade e efetividade em arranjos institucionais de políticas públicas: o Programa Minha Casa Minha Vida</b:Title>
    <b:PeriodicalTitle>Revista de Administração Pública</b:PeriodicalTitle>
    <b:City>Rio de Janeiro, v. 49, n. 6</b:City>
    <b:Year>2015</b:Year>
    <b:Month>nov./dez.</b:Month>
    <b:Pages>1531-1554</b:Pages>
    <b:YearAccessed>2023</b:YearAccessed>
    <b:MonthAccessed>jan.</b:MonthAccessed>
    <b:DayAccessed>25</b:DayAccessed>
    <b:URL>https://www.scielo.br/j/rap/a/HT4QJ3TtgvD76MS39wprB3L/?format=html&amp;lang=pt</b:URL>
    <b:RefOrder>40</b:RefOrder>
  </b:Source>
</b:Sources>
</file>

<file path=customXml/itemProps1.xml><?xml version="1.0" encoding="utf-8"?>
<ds:datastoreItem xmlns:ds="http://schemas.openxmlformats.org/officeDocument/2006/customXml" ds:itemID="{E26385DC-1F96-42CA-98B5-7578A0FA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12771</Words>
  <Characters>68966</Characters>
  <Application>Microsoft Office Word</Application>
  <DocSecurity>0</DocSecurity>
  <Lines>574</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Likem Edson Silva de Jesus</dc:creator>
  <cp:keywords/>
  <dc:description/>
  <cp:lastModifiedBy>Likem Edson Silva de Jesus</cp:lastModifiedBy>
  <cp:revision>3</cp:revision>
  <dcterms:created xsi:type="dcterms:W3CDTF">2026-03-10T02:48:00Z</dcterms:created>
  <dcterms:modified xsi:type="dcterms:W3CDTF">2026-03-10T02:49:00Z</dcterms:modified>
</cp:coreProperties>
</file>