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1AA9F" w14:textId="005EA33C" w:rsidR="00823DB9" w:rsidRDefault="00823DB9" w:rsidP="00823DB9">
      <w:pPr>
        <w:spacing w:after="0" w:line="360" w:lineRule="auto"/>
        <w:ind w:firstLine="709"/>
        <w:jc w:val="center"/>
        <w:rPr>
          <w:rFonts w:ascii="Times New Roman" w:hAnsi="Times New Roman" w:cs="Times New Roman"/>
        </w:rPr>
      </w:pPr>
      <w:r w:rsidRPr="00823DB9">
        <w:rPr>
          <w:rFonts w:ascii="Times New Roman" w:hAnsi="Times New Roman" w:cs="Times New Roman"/>
        </w:rPr>
        <w:t xml:space="preserve">MECANISMOS DE INDUÇÃO DE COMPORTAMENTOS </w:t>
      </w:r>
      <w:r w:rsidRPr="00B300EE">
        <w:rPr>
          <w:rFonts w:ascii="Times New Roman" w:hAnsi="Times New Roman" w:cs="Times New Roman"/>
        </w:rPr>
        <w:t>REGULATÓRIOS E SUA APLICAÇÃO</w:t>
      </w:r>
      <w:r w:rsidRPr="00823DB9">
        <w:rPr>
          <w:rFonts w:ascii="Times New Roman" w:hAnsi="Times New Roman" w:cs="Times New Roman"/>
        </w:rPr>
        <w:t xml:space="preserve"> AOS CONTRATOS DE</w:t>
      </w:r>
      <w:r w:rsidRPr="00B300EE">
        <w:rPr>
          <w:rFonts w:ascii="Times New Roman" w:hAnsi="Times New Roman" w:cs="Times New Roman"/>
        </w:rPr>
        <w:t xml:space="preserve"> DELEGAÇÃO DA PRESTAÇÃO DE SERVIÇOS PÚBLICOS</w:t>
      </w:r>
      <w:r w:rsidR="00130AD0">
        <w:rPr>
          <w:rStyle w:val="Refdenotaderodap"/>
          <w:rFonts w:ascii="Times New Roman" w:hAnsi="Times New Roman" w:cs="Times New Roman"/>
        </w:rPr>
        <w:footnoteReference w:id="1"/>
      </w:r>
    </w:p>
    <w:p w14:paraId="57088C43" w14:textId="21FB206C" w:rsidR="00130AD0" w:rsidRDefault="00130AD0" w:rsidP="00F22B56">
      <w:pPr>
        <w:spacing w:after="0" w:line="360" w:lineRule="auto"/>
        <w:ind w:firstLine="709"/>
        <w:jc w:val="right"/>
        <w:rPr>
          <w:rFonts w:ascii="Times New Roman" w:hAnsi="Times New Roman" w:cs="Times New Roman"/>
        </w:rPr>
      </w:pPr>
      <w:r>
        <w:rPr>
          <w:rFonts w:ascii="Times New Roman" w:hAnsi="Times New Roman" w:cs="Times New Roman"/>
        </w:rPr>
        <w:t xml:space="preserve">Eixo Temático: </w:t>
      </w:r>
      <w:r w:rsidR="00F22B56" w:rsidRPr="00F22B56">
        <w:rPr>
          <w:rFonts w:ascii="Times New Roman" w:hAnsi="Times New Roman" w:cs="Times New Roman"/>
        </w:rPr>
        <w:t>Políticas de Estado e de Governo</w:t>
      </w:r>
    </w:p>
    <w:p w14:paraId="58BA327C" w14:textId="77777777" w:rsidR="00A933A3" w:rsidRPr="00B300EE" w:rsidRDefault="00A933A3" w:rsidP="00823DB9">
      <w:pPr>
        <w:spacing w:after="0" w:line="360" w:lineRule="auto"/>
        <w:ind w:firstLine="709"/>
        <w:jc w:val="center"/>
        <w:rPr>
          <w:rFonts w:ascii="Times New Roman" w:hAnsi="Times New Roman" w:cs="Times New Roman"/>
        </w:rPr>
      </w:pPr>
    </w:p>
    <w:p w14:paraId="1F0D70CC" w14:textId="2CE22610" w:rsidR="00823DB9" w:rsidRPr="00B300EE" w:rsidRDefault="008F7522" w:rsidP="00823DB9">
      <w:pPr>
        <w:spacing w:after="0" w:line="360" w:lineRule="auto"/>
        <w:ind w:firstLine="709"/>
        <w:jc w:val="both"/>
        <w:rPr>
          <w:rFonts w:ascii="Times New Roman" w:hAnsi="Times New Roman" w:cs="Times New Roman"/>
        </w:rPr>
      </w:pPr>
      <w:r w:rsidRPr="00B300EE">
        <w:rPr>
          <w:rStyle w:val="Ttulo1Char"/>
        </w:rPr>
        <w:t>RESUMO</w:t>
      </w:r>
      <w:r w:rsidR="00823DB9" w:rsidRPr="00B300EE">
        <w:rPr>
          <w:rFonts w:ascii="Times New Roman" w:hAnsi="Times New Roman" w:cs="Times New Roman"/>
        </w:rPr>
        <w:t xml:space="preserve"> </w:t>
      </w:r>
    </w:p>
    <w:p w14:paraId="4B48AD46" w14:textId="27699B1A" w:rsidR="00823DB9" w:rsidRDefault="00852826" w:rsidP="00823DB9">
      <w:pPr>
        <w:spacing w:after="0" w:line="360" w:lineRule="auto"/>
        <w:ind w:firstLine="709"/>
        <w:jc w:val="both"/>
        <w:rPr>
          <w:rFonts w:ascii="Times New Roman" w:hAnsi="Times New Roman" w:cs="Times New Roman"/>
        </w:rPr>
      </w:pPr>
      <w:r>
        <w:rPr>
          <w:rFonts w:ascii="Times New Roman" w:hAnsi="Times New Roman" w:cs="Times New Roman"/>
        </w:rPr>
        <w:t xml:space="preserve">A pesquisa desenvolvida busca analisar </w:t>
      </w:r>
      <w:r w:rsidR="002213FE">
        <w:rPr>
          <w:rFonts w:ascii="Times New Roman" w:hAnsi="Times New Roman" w:cs="Times New Roman"/>
        </w:rPr>
        <w:t xml:space="preserve">ferramentas a serem inseridas </w:t>
      </w:r>
      <w:r w:rsidR="00BB1093">
        <w:rPr>
          <w:rFonts w:ascii="Times New Roman" w:hAnsi="Times New Roman" w:cs="Times New Roman"/>
        </w:rPr>
        <w:t xml:space="preserve">em contratos de concessão de serviços públicos que corroborem para a prestação eficiente de serviços. </w:t>
      </w:r>
      <w:r w:rsidR="00D86D5B">
        <w:rPr>
          <w:rFonts w:ascii="Times New Roman" w:hAnsi="Times New Roman" w:cs="Times New Roman"/>
        </w:rPr>
        <w:t xml:space="preserve">A hipótese que se pretende analisar é a do uso de mecanismos de incentivo </w:t>
      </w:r>
      <w:r w:rsidR="0080469A">
        <w:rPr>
          <w:rFonts w:ascii="Times New Roman" w:hAnsi="Times New Roman" w:cs="Times New Roman"/>
        </w:rPr>
        <w:t xml:space="preserve">como sanções premiais, </w:t>
      </w:r>
      <w:r w:rsidR="00D86D5B">
        <w:rPr>
          <w:rFonts w:ascii="Times New Roman" w:hAnsi="Times New Roman" w:cs="Times New Roman"/>
        </w:rPr>
        <w:t>previstos nas teorias de Regulação Responsiva</w:t>
      </w:r>
      <w:r w:rsidR="009A42AB">
        <w:rPr>
          <w:rFonts w:ascii="Times New Roman" w:hAnsi="Times New Roman" w:cs="Times New Roman"/>
        </w:rPr>
        <w:t>.</w:t>
      </w:r>
    </w:p>
    <w:p w14:paraId="57CC4C1E" w14:textId="7568759D" w:rsidR="00677DDB" w:rsidRDefault="00677DDB" w:rsidP="00823DB9">
      <w:pPr>
        <w:spacing w:after="0" w:line="360" w:lineRule="auto"/>
        <w:ind w:firstLine="709"/>
        <w:jc w:val="both"/>
        <w:rPr>
          <w:rFonts w:ascii="Times New Roman" w:hAnsi="Times New Roman" w:cs="Times New Roman"/>
        </w:rPr>
      </w:pPr>
      <w:r>
        <w:rPr>
          <w:rFonts w:ascii="Times New Roman" w:hAnsi="Times New Roman" w:cs="Times New Roman"/>
        </w:rPr>
        <w:t>Contratos de concessão tem se mostrado essenciais ao cumprimento dos objetivos do Estado, dentre eles a prestação eficiente de serviços públicos. Contudo, nem sempre se mostram eficientes como deveriam</w:t>
      </w:r>
      <w:r w:rsidR="00016160">
        <w:rPr>
          <w:rFonts w:ascii="Times New Roman" w:hAnsi="Times New Roman" w:cs="Times New Roman"/>
        </w:rPr>
        <w:t>.</w:t>
      </w:r>
    </w:p>
    <w:p w14:paraId="326F5041" w14:textId="7A8FEE4A" w:rsidR="00677DDB" w:rsidRDefault="00677DDB" w:rsidP="00823DB9">
      <w:pPr>
        <w:spacing w:after="0" w:line="360" w:lineRule="auto"/>
        <w:ind w:firstLine="709"/>
        <w:jc w:val="both"/>
        <w:rPr>
          <w:rFonts w:ascii="Times New Roman" w:hAnsi="Times New Roman" w:cs="Times New Roman"/>
        </w:rPr>
      </w:pPr>
      <w:r>
        <w:rPr>
          <w:rFonts w:ascii="Times New Roman" w:hAnsi="Times New Roman" w:cs="Times New Roman"/>
        </w:rPr>
        <w:t xml:space="preserve">O setor de saneamento básico no Brasil enfrenta uma fase de altos investimentos, considerando as recentes alterações no arcabouço normativo, o que tem feito a Administração Pública recorrer a essa forma de contratação. Por essa razão, </w:t>
      </w:r>
      <w:r w:rsidR="00016160">
        <w:rPr>
          <w:rFonts w:ascii="Times New Roman" w:hAnsi="Times New Roman" w:cs="Times New Roman"/>
        </w:rPr>
        <w:t>justifica-se esse tipo de estudo no próprio momento em que vive o setor</w:t>
      </w:r>
      <w:r>
        <w:rPr>
          <w:rFonts w:ascii="Times New Roman" w:hAnsi="Times New Roman" w:cs="Times New Roman"/>
        </w:rPr>
        <w:t xml:space="preserve">. </w:t>
      </w:r>
    </w:p>
    <w:p w14:paraId="006750E3" w14:textId="100FBD13" w:rsidR="0080469A" w:rsidRDefault="00D86D5B" w:rsidP="009F6E9C">
      <w:pPr>
        <w:spacing w:after="0" w:line="360" w:lineRule="auto"/>
        <w:ind w:firstLine="709"/>
        <w:jc w:val="both"/>
        <w:rPr>
          <w:rFonts w:ascii="Times New Roman" w:hAnsi="Times New Roman" w:cs="Times New Roman"/>
        </w:rPr>
      </w:pPr>
      <w:r>
        <w:rPr>
          <w:rFonts w:ascii="Times New Roman" w:hAnsi="Times New Roman" w:cs="Times New Roman"/>
        </w:rPr>
        <w:t>Busc</w:t>
      </w:r>
      <w:r w:rsidR="00AE6BA0">
        <w:rPr>
          <w:rFonts w:ascii="Times New Roman" w:hAnsi="Times New Roman" w:cs="Times New Roman"/>
        </w:rPr>
        <w:t>a</w:t>
      </w:r>
      <w:r>
        <w:rPr>
          <w:rFonts w:ascii="Times New Roman" w:hAnsi="Times New Roman" w:cs="Times New Roman"/>
        </w:rPr>
        <w:t xml:space="preserve">-se, portanto, a </w:t>
      </w:r>
      <w:r w:rsidR="005A78A4">
        <w:rPr>
          <w:rFonts w:ascii="Times New Roman" w:hAnsi="Times New Roman" w:cs="Times New Roman"/>
        </w:rPr>
        <w:t xml:space="preserve">análise de instrumentos contratuais que prevejam mecanismos </w:t>
      </w:r>
      <w:r w:rsidR="00677DDB">
        <w:rPr>
          <w:rFonts w:ascii="Times New Roman" w:hAnsi="Times New Roman" w:cs="Times New Roman"/>
        </w:rPr>
        <w:t>próximos às sanções premiais</w:t>
      </w:r>
      <w:r w:rsidR="005A78A4">
        <w:rPr>
          <w:rFonts w:ascii="Times New Roman" w:hAnsi="Times New Roman" w:cs="Times New Roman"/>
        </w:rPr>
        <w:t xml:space="preserve">, tendo sido encontrados majoritariamente no setor de transportes, para posterior análise de viabilidade de sua inclusão nos contratos do setor de saneamento básico. Ainda, considerando as </w:t>
      </w:r>
      <w:r w:rsidR="00D6664A">
        <w:rPr>
          <w:rFonts w:ascii="Times New Roman" w:hAnsi="Times New Roman" w:cs="Times New Roman"/>
        </w:rPr>
        <w:t>particularidades</w:t>
      </w:r>
      <w:r w:rsidR="005A78A4">
        <w:rPr>
          <w:rFonts w:ascii="Times New Roman" w:hAnsi="Times New Roman" w:cs="Times New Roman"/>
        </w:rPr>
        <w:t xml:space="preserve"> do </w:t>
      </w:r>
      <w:r w:rsidR="00D6664A">
        <w:rPr>
          <w:rFonts w:ascii="Times New Roman" w:hAnsi="Times New Roman" w:cs="Times New Roman"/>
        </w:rPr>
        <w:t>setor</w:t>
      </w:r>
      <w:r w:rsidR="005A78A4">
        <w:rPr>
          <w:rFonts w:ascii="Times New Roman" w:hAnsi="Times New Roman" w:cs="Times New Roman"/>
        </w:rPr>
        <w:t xml:space="preserve">, </w:t>
      </w:r>
      <w:r w:rsidR="00AE6BA0">
        <w:rPr>
          <w:rFonts w:ascii="Times New Roman" w:hAnsi="Times New Roman" w:cs="Times New Roman"/>
        </w:rPr>
        <w:t>é</w:t>
      </w:r>
      <w:r w:rsidR="005A78A4">
        <w:rPr>
          <w:rFonts w:ascii="Times New Roman" w:hAnsi="Times New Roman" w:cs="Times New Roman"/>
        </w:rPr>
        <w:t xml:space="preserve"> também necessária uma </w:t>
      </w:r>
      <w:r w:rsidR="0080469A">
        <w:rPr>
          <w:rFonts w:ascii="Times New Roman" w:hAnsi="Times New Roman" w:cs="Times New Roman"/>
        </w:rPr>
        <w:t>análise</w:t>
      </w:r>
      <w:r w:rsidR="005A78A4">
        <w:rPr>
          <w:rFonts w:ascii="Times New Roman" w:hAnsi="Times New Roman" w:cs="Times New Roman"/>
        </w:rPr>
        <w:t xml:space="preserve"> da regulação vigente, de forma a </w:t>
      </w:r>
      <w:r w:rsidR="00D6664A">
        <w:rPr>
          <w:rFonts w:ascii="Times New Roman" w:hAnsi="Times New Roman" w:cs="Times New Roman"/>
        </w:rPr>
        <w:t xml:space="preserve">examinar </w:t>
      </w:r>
      <w:r w:rsidR="0080469A">
        <w:rPr>
          <w:rFonts w:ascii="Times New Roman" w:hAnsi="Times New Roman" w:cs="Times New Roman"/>
        </w:rPr>
        <w:t xml:space="preserve">a melhor forma de transposição desses mecanismos. </w:t>
      </w:r>
    </w:p>
    <w:p w14:paraId="1B1BAF2E" w14:textId="7C455DB8" w:rsidR="005C0959" w:rsidRDefault="00CA2973" w:rsidP="00823DB9">
      <w:pPr>
        <w:spacing w:after="0" w:line="360" w:lineRule="auto"/>
        <w:ind w:firstLine="709"/>
        <w:jc w:val="both"/>
        <w:rPr>
          <w:rFonts w:ascii="Times New Roman" w:hAnsi="Times New Roman" w:cs="Times New Roman"/>
        </w:rPr>
      </w:pPr>
      <w:r>
        <w:rPr>
          <w:rFonts w:ascii="Times New Roman" w:hAnsi="Times New Roman" w:cs="Times New Roman"/>
        </w:rPr>
        <w:t>O</w:t>
      </w:r>
      <w:r w:rsidR="005C0959">
        <w:rPr>
          <w:rFonts w:ascii="Times New Roman" w:hAnsi="Times New Roman" w:cs="Times New Roman"/>
        </w:rPr>
        <w:t xml:space="preserve"> que a pesquisa visa propor é justamente a reflexão sobre quais mecanismos de sanção </w:t>
      </w:r>
      <w:proofErr w:type="spellStart"/>
      <w:r w:rsidR="005C0959">
        <w:rPr>
          <w:rFonts w:ascii="Times New Roman" w:hAnsi="Times New Roman" w:cs="Times New Roman"/>
        </w:rPr>
        <w:t>premial</w:t>
      </w:r>
      <w:proofErr w:type="spellEnd"/>
      <w:r w:rsidR="005C0959">
        <w:rPr>
          <w:rFonts w:ascii="Times New Roman" w:hAnsi="Times New Roman" w:cs="Times New Roman"/>
        </w:rPr>
        <w:t xml:space="preserve"> poderiam de fato ser utilizados no setor de saneamento básico, considerando uma necessidade alta de investimentos até 2033 – para o cumprimento da universalização demandada pela legislação – mas, ao mesmo tempo, a sensibilidade do usuário à tarifa e a essencialidade do serviço, o que em muito o distingue do setor de transportes. </w:t>
      </w:r>
    </w:p>
    <w:p w14:paraId="32BCD8B6" w14:textId="53CDFF0A" w:rsidR="005C0959" w:rsidRDefault="005C0959" w:rsidP="00823DB9">
      <w:pPr>
        <w:spacing w:after="0" w:line="360" w:lineRule="auto"/>
        <w:ind w:firstLine="709"/>
        <w:jc w:val="both"/>
        <w:rPr>
          <w:rFonts w:ascii="Times New Roman" w:hAnsi="Times New Roman" w:cs="Times New Roman"/>
        </w:rPr>
      </w:pPr>
      <w:r>
        <w:rPr>
          <w:rFonts w:ascii="Times New Roman" w:hAnsi="Times New Roman" w:cs="Times New Roman"/>
        </w:rPr>
        <w:t>Atualmente, a pesquisa se encontra madura, tendo encontrado referenciais teóricos e empíricos, pendente a elaboração aprofundada das reflexões acerca do grau de transposição possível desse modelo regulatório a um setor complexo, essencial e que compartilha de um</w:t>
      </w:r>
      <w:r w:rsidR="00677DDB">
        <w:rPr>
          <w:rFonts w:ascii="Times New Roman" w:hAnsi="Times New Roman" w:cs="Times New Roman"/>
        </w:rPr>
        <w:t xml:space="preserve">a </w:t>
      </w:r>
      <w:r w:rsidR="005F5F0B">
        <w:rPr>
          <w:rFonts w:ascii="Times New Roman" w:hAnsi="Times New Roman" w:cs="Times New Roman"/>
        </w:rPr>
        <w:t>coexistência</w:t>
      </w:r>
      <w:r w:rsidR="00677DDB">
        <w:rPr>
          <w:rFonts w:ascii="Times New Roman" w:hAnsi="Times New Roman" w:cs="Times New Roman"/>
        </w:rPr>
        <w:t xml:space="preserve"> entre a regulação discricionária e a contratual. </w:t>
      </w:r>
    </w:p>
    <w:p w14:paraId="23724026" w14:textId="77777777" w:rsidR="00852826" w:rsidRPr="00B300EE" w:rsidRDefault="00852826" w:rsidP="00823DB9">
      <w:pPr>
        <w:spacing w:after="0" w:line="360" w:lineRule="auto"/>
        <w:ind w:firstLine="709"/>
        <w:jc w:val="both"/>
        <w:rPr>
          <w:rFonts w:ascii="Times New Roman" w:hAnsi="Times New Roman" w:cs="Times New Roman"/>
        </w:rPr>
      </w:pPr>
    </w:p>
    <w:p w14:paraId="42EC08F4" w14:textId="41E0B780" w:rsidR="00823DB9" w:rsidRPr="00A933A3" w:rsidRDefault="008F7522" w:rsidP="008F7522">
      <w:pPr>
        <w:pStyle w:val="Ttulo1"/>
        <w:rPr>
          <w:b w:val="0"/>
          <w:bCs w:val="0"/>
        </w:rPr>
      </w:pPr>
      <w:r w:rsidRPr="00B300EE">
        <w:lastRenderedPageBreak/>
        <w:t>PALAVRAS-CHAVES:</w:t>
      </w:r>
      <w:r w:rsidR="00A933A3">
        <w:t xml:space="preserve"> </w:t>
      </w:r>
      <w:r w:rsidR="00A933A3">
        <w:rPr>
          <w:b w:val="0"/>
          <w:bCs w:val="0"/>
        </w:rPr>
        <w:t xml:space="preserve">Concessão; Saneamento Básico; Regulação Responsiva; Sanção </w:t>
      </w:r>
      <w:proofErr w:type="spellStart"/>
      <w:r w:rsidR="00A933A3">
        <w:rPr>
          <w:b w:val="0"/>
          <w:bCs w:val="0"/>
        </w:rPr>
        <w:t>Premial</w:t>
      </w:r>
      <w:proofErr w:type="spellEnd"/>
      <w:r w:rsidR="00A933A3">
        <w:rPr>
          <w:b w:val="0"/>
          <w:bCs w:val="0"/>
        </w:rPr>
        <w:t>; Serviço Público.</w:t>
      </w:r>
    </w:p>
    <w:p w14:paraId="0FB3874D" w14:textId="77777777" w:rsidR="00823DB9" w:rsidRPr="00B300EE" w:rsidRDefault="00823DB9" w:rsidP="00823DB9">
      <w:pPr>
        <w:spacing w:after="0" w:line="360" w:lineRule="auto"/>
        <w:ind w:firstLine="709"/>
        <w:jc w:val="both"/>
        <w:rPr>
          <w:rFonts w:ascii="Times New Roman" w:hAnsi="Times New Roman" w:cs="Times New Roman"/>
        </w:rPr>
      </w:pPr>
    </w:p>
    <w:p w14:paraId="10BEB2B0" w14:textId="17BCB45C" w:rsidR="00823DB9" w:rsidRPr="00B300EE" w:rsidRDefault="008F7522" w:rsidP="008F7522">
      <w:pPr>
        <w:pStyle w:val="Ttulo1"/>
      </w:pPr>
      <w:r w:rsidRPr="00B300EE">
        <w:t>INTRODUÇÃO</w:t>
      </w:r>
    </w:p>
    <w:p w14:paraId="20C6052A" w14:textId="655A1CD1" w:rsidR="00D4705A" w:rsidRPr="00B300EE" w:rsidRDefault="00D4705A" w:rsidP="00D4705A">
      <w:pPr>
        <w:spacing w:after="0" w:line="360" w:lineRule="auto"/>
        <w:ind w:firstLine="709"/>
        <w:jc w:val="both"/>
        <w:rPr>
          <w:rFonts w:ascii="Times New Roman" w:hAnsi="Times New Roman" w:cs="Times New Roman"/>
        </w:rPr>
      </w:pPr>
      <w:r w:rsidRPr="00B300EE">
        <w:rPr>
          <w:rFonts w:ascii="Times New Roman" w:hAnsi="Times New Roman" w:cs="Times New Roman"/>
        </w:rPr>
        <w:t>Est</w:t>
      </w:r>
      <w:r w:rsidR="00BF4FEC" w:rsidRPr="00B300EE">
        <w:rPr>
          <w:rFonts w:ascii="Times New Roman" w:hAnsi="Times New Roman" w:cs="Times New Roman"/>
        </w:rPr>
        <w:t>a</w:t>
      </w:r>
      <w:r w:rsidRPr="00B300EE">
        <w:rPr>
          <w:rFonts w:ascii="Times New Roman" w:hAnsi="Times New Roman" w:cs="Times New Roman"/>
        </w:rPr>
        <w:t xml:space="preserve"> pesquisa adota por tema </w:t>
      </w:r>
      <w:r w:rsidR="00E84BFB">
        <w:rPr>
          <w:rFonts w:ascii="Times New Roman" w:hAnsi="Times New Roman" w:cs="Times New Roman"/>
        </w:rPr>
        <w:t>a possibilidade de uso de</w:t>
      </w:r>
      <w:r w:rsidRPr="00B300EE">
        <w:rPr>
          <w:rFonts w:ascii="Times New Roman" w:hAnsi="Times New Roman" w:cs="Times New Roman"/>
        </w:rPr>
        <w:t xml:space="preserve"> mecanismos de indução de comportamento </w:t>
      </w:r>
      <w:r w:rsidR="00E84BFB">
        <w:rPr>
          <w:rFonts w:ascii="Times New Roman" w:hAnsi="Times New Roman" w:cs="Times New Roman"/>
        </w:rPr>
        <w:t xml:space="preserve">e incentivos, previstos nas teorias de Regulação Responsiva, </w:t>
      </w:r>
      <w:r w:rsidRPr="00B300EE">
        <w:rPr>
          <w:rFonts w:ascii="Times New Roman" w:hAnsi="Times New Roman" w:cs="Times New Roman"/>
        </w:rPr>
        <w:t xml:space="preserve">aplicados a contratos de delegação da prestação de serviços </w:t>
      </w:r>
      <w:r w:rsidR="000644BF" w:rsidRPr="00B300EE">
        <w:rPr>
          <w:rFonts w:ascii="Times New Roman" w:hAnsi="Times New Roman" w:cs="Times New Roman"/>
        </w:rPr>
        <w:t xml:space="preserve">públicos, </w:t>
      </w:r>
      <w:r w:rsidR="000644BF">
        <w:rPr>
          <w:rFonts w:ascii="Times New Roman" w:hAnsi="Times New Roman" w:cs="Times New Roman"/>
        </w:rPr>
        <w:t>principalmente</w:t>
      </w:r>
      <w:r w:rsidR="00DF4EB9" w:rsidRPr="00B300EE">
        <w:rPr>
          <w:rFonts w:ascii="Times New Roman" w:hAnsi="Times New Roman" w:cs="Times New Roman"/>
        </w:rPr>
        <w:t xml:space="preserve"> </w:t>
      </w:r>
      <w:r w:rsidR="00E84BFB">
        <w:rPr>
          <w:rFonts w:ascii="Times New Roman" w:hAnsi="Times New Roman" w:cs="Times New Roman"/>
        </w:rPr>
        <w:t>n</w:t>
      </w:r>
      <w:r w:rsidR="00DF4EB9" w:rsidRPr="00B300EE">
        <w:rPr>
          <w:rFonts w:ascii="Times New Roman" w:hAnsi="Times New Roman" w:cs="Times New Roman"/>
        </w:rPr>
        <w:t>o setor de saneamento básico</w:t>
      </w:r>
      <w:r w:rsidRPr="00B300EE">
        <w:rPr>
          <w:rFonts w:ascii="Times New Roman" w:hAnsi="Times New Roman" w:cs="Times New Roman"/>
        </w:rPr>
        <w:t xml:space="preserve">. </w:t>
      </w:r>
    </w:p>
    <w:p w14:paraId="67C0EFE0" w14:textId="3387D1BE" w:rsidR="00D4705A" w:rsidRPr="00B300EE" w:rsidRDefault="00D4705A" w:rsidP="00D4705A">
      <w:pPr>
        <w:spacing w:after="0" w:line="360" w:lineRule="auto"/>
        <w:ind w:firstLine="709"/>
        <w:jc w:val="both"/>
        <w:rPr>
          <w:rFonts w:ascii="Times New Roman" w:hAnsi="Times New Roman" w:cs="Times New Roman"/>
        </w:rPr>
      </w:pPr>
      <w:r w:rsidRPr="00B300EE">
        <w:rPr>
          <w:rFonts w:ascii="Times New Roman" w:hAnsi="Times New Roman" w:cs="Times New Roman"/>
        </w:rPr>
        <w:t>Partindo do pressuposto da titularidade do Estado sobre os serviços públicos que, por sua natureza, é irrefutável, e, ainda, de sua responsabilidade pela</w:t>
      </w:r>
      <w:r w:rsidR="000644BF">
        <w:rPr>
          <w:rFonts w:ascii="Times New Roman" w:hAnsi="Times New Roman" w:cs="Times New Roman"/>
        </w:rPr>
        <w:t xml:space="preserve"> sua</w:t>
      </w:r>
      <w:r w:rsidRPr="00B300EE">
        <w:rPr>
          <w:rFonts w:ascii="Times New Roman" w:hAnsi="Times New Roman" w:cs="Times New Roman"/>
        </w:rPr>
        <w:t xml:space="preserve"> prestação </w:t>
      </w:r>
      <w:r w:rsidR="000644BF">
        <w:rPr>
          <w:rFonts w:ascii="Times New Roman" w:hAnsi="Times New Roman" w:cs="Times New Roman"/>
        </w:rPr>
        <w:t>de forma eficiente</w:t>
      </w:r>
      <w:r w:rsidRPr="00B300EE">
        <w:rPr>
          <w:rFonts w:ascii="Times New Roman" w:hAnsi="Times New Roman" w:cs="Times New Roman"/>
        </w:rPr>
        <w:t xml:space="preserve">, pretende-se uma análise </w:t>
      </w:r>
      <w:r w:rsidR="000A44EF">
        <w:rPr>
          <w:rFonts w:ascii="Times New Roman" w:hAnsi="Times New Roman" w:cs="Times New Roman"/>
        </w:rPr>
        <w:t>de mecanismos contratuais que corroborem com esse objetivo.</w:t>
      </w:r>
    </w:p>
    <w:p w14:paraId="53B2D867" w14:textId="03553DE2" w:rsidR="00D879AB" w:rsidRPr="00B300EE" w:rsidRDefault="00D879AB" w:rsidP="00D4705A">
      <w:pPr>
        <w:spacing w:after="0" w:line="360" w:lineRule="auto"/>
        <w:ind w:firstLine="709"/>
        <w:jc w:val="both"/>
        <w:rPr>
          <w:rFonts w:ascii="Times New Roman" w:hAnsi="Times New Roman" w:cs="Times New Roman"/>
        </w:rPr>
      </w:pPr>
      <w:r w:rsidRPr="00B300EE">
        <w:rPr>
          <w:rFonts w:ascii="Times New Roman" w:hAnsi="Times New Roman" w:cs="Times New Roman"/>
        </w:rPr>
        <w:t>A premissa de que a prestação de serviços públicos em muitos casos é realizada por particulares, na forma de contratações públicas como as delegações</w:t>
      </w:r>
      <w:r w:rsidR="00614AF3">
        <w:rPr>
          <w:rFonts w:ascii="Times New Roman" w:hAnsi="Times New Roman" w:cs="Times New Roman"/>
        </w:rPr>
        <w:t>,</w:t>
      </w:r>
      <w:r w:rsidRPr="00B300EE">
        <w:rPr>
          <w:rFonts w:ascii="Times New Roman" w:hAnsi="Times New Roman" w:cs="Times New Roman"/>
        </w:rPr>
        <w:t xml:space="preserve"> leva este estudo a buscar elementos que possam contribuir para que a tomada de decisão da Administração Pública quanto à estruturação desses contratos </w:t>
      </w:r>
      <w:r w:rsidR="00E83CA7" w:rsidRPr="00B300EE">
        <w:rPr>
          <w:rFonts w:ascii="Times New Roman" w:hAnsi="Times New Roman" w:cs="Times New Roman"/>
        </w:rPr>
        <w:t xml:space="preserve">tenha por norte sua eficiência. </w:t>
      </w:r>
    </w:p>
    <w:p w14:paraId="6FBF597C" w14:textId="45E94B82" w:rsidR="00D4705A" w:rsidRPr="00B300EE" w:rsidRDefault="00E83CA7" w:rsidP="00D4705A">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Busca-se, portanto, </w:t>
      </w:r>
      <w:r w:rsidR="000B0C44" w:rsidRPr="00B300EE">
        <w:rPr>
          <w:rFonts w:ascii="Times New Roman" w:hAnsi="Times New Roman" w:cs="Times New Roman"/>
        </w:rPr>
        <w:t xml:space="preserve">bases teóricas e empíricas de ferramentas que possam lhe auxiliar na tomada de decisões para a delegação de serviços públicos eficientes a seus usuários. </w:t>
      </w:r>
      <w:r w:rsidR="00D4705A" w:rsidRPr="00B300EE">
        <w:rPr>
          <w:rFonts w:ascii="Times New Roman" w:hAnsi="Times New Roman" w:cs="Times New Roman"/>
        </w:rPr>
        <w:t xml:space="preserve">Ou seja, </w:t>
      </w:r>
      <w:r w:rsidR="00DF4EB9" w:rsidRPr="00B300EE">
        <w:rPr>
          <w:rFonts w:ascii="Times New Roman" w:hAnsi="Times New Roman" w:cs="Times New Roman"/>
        </w:rPr>
        <w:t>pretende-se investigar</w:t>
      </w:r>
      <w:r w:rsidR="00D4705A" w:rsidRPr="00B300EE">
        <w:rPr>
          <w:rFonts w:ascii="Times New Roman" w:hAnsi="Times New Roman" w:cs="Times New Roman"/>
        </w:rPr>
        <w:t xml:space="preserve"> caminhos que partam da análise tanto de mecanismos contratuais quanto normativos, nacionais e internacionais, de forma a obter parâmetros de boas práticas regulatórias e contratuais relativas a esses mecanismos de indução de comportamento. </w:t>
      </w:r>
      <w:r w:rsidR="000B0C44" w:rsidRPr="00B300EE">
        <w:rPr>
          <w:rFonts w:ascii="Times New Roman" w:hAnsi="Times New Roman" w:cs="Times New Roman"/>
        </w:rPr>
        <w:t xml:space="preserve">Inevitavelmente, a regulação é elemento essencial na </w:t>
      </w:r>
    </w:p>
    <w:p w14:paraId="0E129169" w14:textId="77777777" w:rsidR="00D4705A" w:rsidRPr="00B300EE" w:rsidRDefault="00D4705A" w:rsidP="00D4705A">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Como será demonstrado, o modelo de regulação tradicional nem sempre promove a eficiência da prestação de serviços, na medida que a resposta ao regulado é sempre dada na forma de uma sanção para dissuadir a prática de determinadas atividades a partir do receio pela aplicação de sanções. E, no caso das concessões de serviços públicos, essas sanções são, em boa parte, pecuniárias. </w:t>
      </w:r>
    </w:p>
    <w:p w14:paraId="79613438" w14:textId="41FD4630" w:rsidR="00D4705A" w:rsidRPr="00B300EE" w:rsidRDefault="00BF170D" w:rsidP="006E1B0E">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Já a Regulação Responsiva pode, em certos aspectos, trazer alternativas a esse modelo regulatório, ao passo que </w:t>
      </w:r>
      <w:r w:rsidR="00ED69EB" w:rsidRPr="00B300EE">
        <w:rPr>
          <w:rFonts w:ascii="Times New Roman" w:hAnsi="Times New Roman" w:cs="Times New Roman"/>
        </w:rPr>
        <w:t xml:space="preserve">uma de suas facetas inclui a utilização de mecanismos de indução de comportamento – que se assemelham de certa forma a políticas de fomento – de forma a incentivar </w:t>
      </w:r>
      <w:r w:rsidR="006E1B0E" w:rsidRPr="00B300EE">
        <w:rPr>
          <w:rFonts w:ascii="Times New Roman" w:hAnsi="Times New Roman" w:cs="Times New Roman"/>
        </w:rPr>
        <w:t>o resultado pretendido em detrimento da simples punição pelo resultado divergente</w:t>
      </w:r>
      <w:r w:rsidR="00D4705A" w:rsidRPr="00B300EE">
        <w:rPr>
          <w:rFonts w:ascii="Times New Roman" w:hAnsi="Times New Roman" w:cs="Times New Roman"/>
        </w:rPr>
        <w:t xml:space="preserve">. E, como já demonstrado pela doutrina, em muitas circunstâncias a bonificação pode ser mais coercitiva que a adoção da técnica de punibilidade. </w:t>
      </w:r>
    </w:p>
    <w:p w14:paraId="2D659273" w14:textId="4859860A" w:rsidR="00D4705A" w:rsidRPr="00B300EE" w:rsidRDefault="006E1B0E" w:rsidP="00D4705A">
      <w:pPr>
        <w:spacing w:after="0" w:line="360" w:lineRule="auto"/>
        <w:ind w:firstLine="709"/>
        <w:jc w:val="both"/>
        <w:rPr>
          <w:rFonts w:ascii="Times New Roman" w:hAnsi="Times New Roman" w:cs="Times New Roman"/>
        </w:rPr>
      </w:pPr>
      <w:r w:rsidRPr="00B300EE">
        <w:rPr>
          <w:rFonts w:ascii="Times New Roman" w:hAnsi="Times New Roman" w:cs="Times New Roman"/>
        </w:rPr>
        <w:lastRenderedPageBreak/>
        <w:t>Po</w:t>
      </w:r>
      <w:r w:rsidR="00D4705A" w:rsidRPr="00B300EE">
        <w:rPr>
          <w:rFonts w:ascii="Times New Roman" w:hAnsi="Times New Roman" w:cs="Times New Roman"/>
        </w:rPr>
        <w:t xml:space="preserve">r essa razão, este estudo </w:t>
      </w:r>
      <w:r w:rsidRPr="00B300EE">
        <w:rPr>
          <w:rFonts w:ascii="Times New Roman" w:hAnsi="Times New Roman" w:cs="Times New Roman"/>
        </w:rPr>
        <w:t>é</w:t>
      </w:r>
      <w:r w:rsidR="00D4705A" w:rsidRPr="00B300EE">
        <w:rPr>
          <w:rFonts w:ascii="Times New Roman" w:hAnsi="Times New Roman" w:cs="Times New Roman"/>
        </w:rPr>
        <w:t xml:space="preserve"> dedicado à análise do tema. </w:t>
      </w:r>
      <w:r w:rsidR="002D1B0B">
        <w:rPr>
          <w:rFonts w:ascii="Times New Roman" w:hAnsi="Times New Roman" w:cs="Times New Roman"/>
        </w:rPr>
        <w:t>Para isso, s</w:t>
      </w:r>
      <w:r w:rsidR="00D4705A" w:rsidRPr="00B300EE">
        <w:rPr>
          <w:rFonts w:ascii="Times New Roman" w:hAnsi="Times New Roman" w:cs="Times New Roman"/>
        </w:rPr>
        <w:t xml:space="preserve">erão apresentados exemplos de contratos nacionais e internacionais que inseriram, no bojo de suas disposições, aspectos regulatórios como a vinculação da remuneração à performance e a inclusão de elementos persuasivos e indutores de comportamentos dos contratados alinhados com a política pública específica, para que possam ser utilizados como exemplos em busca de outras disposições similares até a sugestão de determinados incentivos que possam ser inseridos tanto nos contratos como em normativas regulatórias, de forma a aprimorar a eficiência da prestação de serviços. </w:t>
      </w:r>
      <w:r w:rsidR="001559C9">
        <w:rPr>
          <w:rFonts w:ascii="Times New Roman" w:hAnsi="Times New Roman" w:cs="Times New Roman"/>
        </w:rPr>
        <w:t>Posteriormente, será avaliada sua utilização nos contratos de saneamento básico.</w:t>
      </w:r>
    </w:p>
    <w:p w14:paraId="79544BCB" w14:textId="77777777" w:rsidR="00D4705A" w:rsidRPr="00B300EE" w:rsidRDefault="00D4705A" w:rsidP="00D4705A">
      <w:pPr>
        <w:spacing w:after="0" w:line="360" w:lineRule="auto"/>
        <w:ind w:firstLine="709"/>
        <w:jc w:val="both"/>
        <w:rPr>
          <w:rFonts w:ascii="Times New Roman" w:hAnsi="Times New Roman" w:cs="Times New Roman"/>
        </w:rPr>
      </w:pPr>
    </w:p>
    <w:p w14:paraId="05E7B348" w14:textId="74DF152D" w:rsidR="00823DB9" w:rsidRPr="00B300EE" w:rsidRDefault="00823DB9" w:rsidP="008F7522">
      <w:pPr>
        <w:pStyle w:val="Ttulo2"/>
      </w:pPr>
      <w:r w:rsidRPr="00B300EE">
        <w:t>Contextualização</w:t>
      </w:r>
    </w:p>
    <w:p w14:paraId="3FE186C1" w14:textId="77777777" w:rsidR="00795F33" w:rsidRPr="00B300EE"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Os contratos de concessão de serviços públicos além de serem uma realidade, sendo ferramentas atualmente utilizadas por governos para além de sua afiliação partidária, são mecanismos eficientes de efetivação de políticas públicas e gestão de ativos de infraestrutura. </w:t>
      </w:r>
    </w:p>
    <w:p w14:paraId="49FB7FB7" w14:textId="77777777" w:rsidR="00795F33" w:rsidRPr="00B300EE"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Portanto, é importante que estudos sejam desenvolvidos de forma a preservar esse instituto e, ao mesmo tempo, aprimorar suas premissas. Dentre as alternativas consideradas para tanto, cogitou-se aspectos específicos de Regulação Responsiva. </w:t>
      </w:r>
    </w:p>
    <w:p w14:paraId="505F7502" w14:textId="77777777" w:rsidR="00795F33" w:rsidRPr="00B300EE"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No que tange à Regulação Responsiva, trata-se de um modelo regulatório que visa propiciar maior diálogo entre a partes em detrimento de uma reação contratual polarizada, visando principalmente, a obtenção de resultados: a prestação de um serviço eficiente.</w:t>
      </w:r>
    </w:p>
    <w:p w14:paraId="74087D7C" w14:textId="77777777" w:rsidR="00E93A0D"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É composta </w:t>
      </w:r>
      <w:r w:rsidR="00E66A5B">
        <w:rPr>
          <w:rFonts w:ascii="Times New Roman" w:hAnsi="Times New Roman" w:cs="Times New Roman"/>
        </w:rPr>
        <w:t>por</w:t>
      </w:r>
      <w:r w:rsidRPr="00B300EE">
        <w:rPr>
          <w:rFonts w:ascii="Times New Roman" w:hAnsi="Times New Roman" w:cs="Times New Roman"/>
        </w:rPr>
        <w:t xml:space="preserve"> dois aspectos principais: a consensualidade </w:t>
      </w:r>
      <w:r w:rsidR="00E93A0D">
        <w:rPr>
          <w:rFonts w:ascii="Times New Roman" w:hAnsi="Times New Roman" w:cs="Times New Roman"/>
        </w:rPr>
        <w:t xml:space="preserve">e eventual substituição de sanções </w:t>
      </w:r>
      <w:r w:rsidRPr="00B300EE">
        <w:rPr>
          <w:rFonts w:ascii="Times New Roman" w:hAnsi="Times New Roman" w:cs="Times New Roman"/>
        </w:rPr>
        <w:t xml:space="preserve">na busca por resultados em detrimento do uso da punibilidade em excesso; e a utilização de formas de fomento e indução de comportamento em busca de uma ação positiva em prol dos resultados pretendidos, também em detrimento da punibilidade excessiva. </w:t>
      </w:r>
    </w:p>
    <w:p w14:paraId="7918AC48" w14:textId="2E93B80C" w:rsidR="00795F33" w:rsidRPr="00B300EE"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Ou seja, a Regulação Responsiva pode ser empregada, a partir de instrumentos persuasivos, para induzir comportamentos dos setores regulados – nesse caso, concessionárias de serviços públicos – que estejam alinhados com o objetivo do Estado quando da constituição daquela determinada política pública. </w:t>
      </w:r>
    </w:p>
    <w:p w14:paraId="7F029183" w14:textId="77777777" w:rsidR="002D6041" w:rsidRPr="00B300EE" w:rsidRDefault="00795F33" w:rsidP="002D6041">
      <w:pPr>
        <w:spacing w:after="0" w:line="360" w:lineRule="auto"/>
        <w:ind w:firstLine="709"/>
        <w:jc w:val="both"/>
        <w:rPr>
          <w:rFonts w:ascii="Times New Roman" w:hAnsi="Times New Roman" w:cs="Times New Roman"/>
        </w:rPr>
      </w:pPr>
      <w:r w:rsidRPr="00B300EE">
        <w:rPr>
          <w:rFonts w:ascii="Times New Roman" w:hAnsi="Times New Roman" w:cs="Times New Roman"/>
        </w:rPr>
        <w:t>Por outro lado, a regulação tradicional, orientada pelo paradigma de comando e controle, tem se mostrado ineficiente em algumas situações</w:t>
      </w:r>
      <w:r w:rsidR="002D6041" w:rsidRPr="00B300EE">
        <w:rPr>
          <w:rFonts w:ascii="Times New Roman" w:hAnsi="Times New Roman" w:cs="Times New Roman"/>
        </w:rPr>
        <w:t>. A título ilustrativo, em 2020 a Controladoria-Geral da União (CGU) elaborou Relatório de Avaliação do Processo Sancionatório da Agência Nacional de Telecomunicações (ANATEL), com vistas a analisar especificamente o modelo regulatório de comando e controle, como descrito:</w:t>
      </w:r>
    </w:p>
    <w:p w14:paraId="1BBA4AF6" w14:textId="77777777" w:rsidR="002D6041" w:rsidRPr="002D6041" w:rsidRDefault="002D6041" w:rsidP="002D6041">
      <w:pPr>
        <w:spacing w:after="0" w:line="240" w:lineRule="auto"/>
        <w:ind w:left="2268"/>
        <w:jc w:val="both"/>
        <w:rPr>
          <w:rFonts w:ascii="Times New Roman" w:hAnsi="Times New Roman" w:cs="Times New Roman"/>
          <w:sz w:val="20"/>
          <w:szCs w:val="20"/>
        </w:rPr>
      </w:pPr>
      <w:r w:rsidRPr="002D6041">
        <w:rPr>
          <w:rFonts w:ascii="Times New Roman" w:hAnsi="Times New Roman" w:cs="Times New Roman"/>
          <w:sz w:val="20"/>
          <w:szCs w:val="20"/>
        </w:rPr>
        <w:t xml:space="preserve">Trata-se de avaliação do processo sancionatório da Anatel, com o intuito de verificar a efetividade do modelo regulatório de Comando e Controle originalmente adotada </w:t>
      </w:r>
      <w:r w:rsidRPr="002D6041">
        <w:rPr>
          <w:rFonts w:ascii="Times New Roman" w:hAnsi="Times New Roman" w:cs="Times New Roman"/>
          <w:sz w:val="20"/>
          <w:szCs w:val="20"/>
        </w:rPr>
        <w:lastRenderedPageBreak/>
        <w:t>pela Agência e a adoção de instrumentos baseados na Teoria da Regulação Responsiva</w:t>
      </w:r>
      <w:r w:rsidRPr="002D6041">
        <w:rPr>
          <w:rFonts w:ascii="Times New Roman" w:hAnsi="Times New Roman" w:cs="Times New Roman"/>
          <w:sz w:val="20"/>
          <w:szCs w:val="20"/>
          <w:vertAlign w:val="superscript"/>
        </w:rPr>
        <w:footnoteReference w:id="2"/>
      </w:r>
      <w:r w:rsidRPr="002D6041">
        <w:rPr>
          <w:rFonts w:ascii="Times New Roman" w:hAnsi="Times New Roman" w:cs="Times New Roman"/>
          <w:sz w:val="20"/>
          <w:szCs w:val="20"/>
        </w:rPr>
        <w:t>.</w:t>
      </w:r>
    </w:p>
    <w:p w14:paraId="54DA75EA" w14:textId="77777777" w:rsidR="002D6041" w:rsidRPr="002D6041" w:rsidRDefault="002D6041" w:rsidP="002D6041">
      <w:pPr>
        <w:spacing w:after="0" w:line="360" w:lineRule="auto"/>
        <w:ind w:firstLine="709"/>
        <w:jc w:val="both"/>
        <w:rPr>
          <w:rFonts w:ascii="Times New Roman" w:hAnsi="Times New Roman" w:cs="Times New Roman"/>
        </w:rPr>
      </w:pPr>
    </w:p>
    <w:p w14:paraId="5BEA74D6" w14:textId="77777777" w:rsidR="002D6041" w:rsidRPr="002D6041" w:rsidRDefault="002D6041" w:rsidP="002D6041">
      <w:pPr>
        <w:spacing w:after="0" w:line="360" w:lineRule="auto"/>
        <w:ind w:firstLine="709"/>
        <w:jc w:val="both"/>
        <w:rPr>
          <w:rFonts w:ascii="Times New Roman" w:hAnsi="Times New Roman" w:cs="Times New Roman"/>
        </w:rPr>
      </w:pPr>
      <w:r w:rsidRPr="002D6041">
        <w:rPr>
          <w:rFonts w:ascii="Times New Roman" w:hAnsi="Times New Roman" w:cs="Times New Roman"/>
        </w:rPr>
        <w:t>E, segundo a CGU, a razão principal que levou ao questionamento do modelo regulatório da Agência foi o fato de, entre 1997 e 2020, a ANATEL ter constituído um montante considerável de multas, que não se mostrou compatível com a arrecadação gerada:</w:t>
      </w:r>
    </w:p>
    <w:p w14:paraId="776B1221" w14:textId="77777777" w:rsidR="002D6041" w:rsidRPr="002D6041" w:rsidRDefault="002D6041" w:rsidP="002D6041">
      <w:pPr>
        <w:spacing w:after="0" w:line="240" w:lineRule="auto"/>
        <w:ind w:left="2268"/>
        <w:jc w:val="both"/>
        <w:rPr>
          <w:rFonts w:ascii="Times New Roman" w:hAnsi="Times New Roman" w:cs="Times New Roman"/>
          <w:sz w:val="20"/>
          <w:szCs w:val="20"/>
        </w:rPr>
      </w:pPr>
      <w:r w:rsidRPr="002D6041">
        <w:rPr>
          <w:rFonts w:ascii="Times New Roman" w:hAnsi="Times New Roman" w:cs="Times New Roman"/>
          <w:sz w:val="20"/>
          <w:szCs w:val="20"/>
        </w:rPr>
        <w:t>Conforme dados da Anatel, desde 1997 a Agência constituiu cerca de 63 mil multas, o equivalente a R$ 6,9 bilhões em termo financeiros. No entanto, a arrecadação foi em torno de R$ 827 milhões. Assim, questionou-se a efetividade do modelo regulatório adotado pela Anatel</w:t>
      </w:r>
      <w:r w:rsidRPr="002D6041">
        <w:rPr>
          <w:rFonts w:ascii="Times New Roman" w:hAnsi="Times New Roman" w:cs="Times New Roman"/>
          <w:sz w:val="20"/>
          <w:szCs w:val="20"/>
          <w:vertAlign w:val="superscript"/>
        </w:rPr>
        <w:footnoteReference w:id="3"/>
      </w:r>
      <w:r w:rsidRPr="002D6041">
        <w:rPr>
          <w:rFonts w:ascii="Times New Roman" w:hAnsi="Times New Roman" w:cs="Times New Roman"/>
          <w:sz w:val="20"/>
          <w:szCs w:val="20"/>
        </w:rPr>
        <w:t>.</w:t>
      </w:r>
    </w:p>
    <w:p w14:paraId="61A3772B" w14:textId="77777777" w:rsidR="002D6041" w:rsidRPr="002D6041" w:rsidRDefault="002D6041" w:rsidP="002D6041">
      <w:pPr>
        <w:spacing w:after="0" w:line="360" w:lineRule="auto"/>
        <w:ind w:firstLine="709"/>
        <w:jc w:val="both"/>
        <w:rPr>
          <w:rFonts w:ascii="Times New Roman" w:hAnsi="Times New Roman" w:cs="Times New Roman"/>
        </w:rPr>
      </w:pPr>
    </w:p>
    <w:p w14:paraId="571F9E23" w14:textId="77777777" w:rsidR="002D6041" w:rsidRPr="002D6041" w:rsidRDefault="002D6041" w:rsidP="002D6041">
      <w:pPr>
        <w:spacing w:after="0" w:line="360" w:lineRule="auto"/>
        <w:ind w:firstLine="709"/>
        <w:jc w:val="both"/>
        <w:rPr>
          <w:rFonts w:ascii="Times New Roman" w:hAnsi="Times New Roman" w:cs="Times New Roman"/>
        </w:rPr>
      </w:pPr>
      <w:r w:rsidRPr="002D6041">
        <w:rPr>
          <w:rFonts w:ascii="Times New Roman" w:hAnsi="Times New Roman" w:cs="Times New Roman"/>
        </w:rPr>
        <w:t xml:space="preserve">E, a título conclusivo, a própria CGU demonstrou a incapacidade, nesse caso, dessa regulação tradicional promover incentivos à prestação adequada de serviços. </w:t>
      </w:r>
    </w:p>
    <w:p w14:paraId="730285AB" w14:textId="034EC8C6" w:rsidR="002D6041" w:rsidRPr="002D6041" w:rsidRDefault="002D6041" w:rsidP="002D6041">
      <w:pPr>
        <w:spacing w:after="0" w:line="360" w:lineRule="auto"/>
        <w:ind w:firstLine="709"/>
        <w:jc w:val="both"/>
        <w:rPr>
          <w:rFonts w:ascii="Times New Roman" w:hAnsi="Times New Roman" w:cs="Times New Roman"/>
        </w:rPr>
      </w:pPr>
      <w:r w:rsidRPr="002D6041">
        <w:rPr>
          <w:rFonts w:ascii="Times New Roman" w:hAnsi="Times New Roman" w:cs="Times New Roman"/>
        </w:rPr>
        <w:t xml:space="preserve">Foi verificado que o modelo regulatório de </w:t>
      </w:r>
      <w:r w:rsidRPr="00B300EE">
        <w:rPr>
          <w:rFonts w:ascii="Times New Roman" w:hAnsi="Times New Roman" w:cs="Times New Roman"/>
        </w:rPr>
        <w:t>c</w:t>
      </w:r>
      <w:r w:rsidRPr="002D6041">
        <w:rPr>
          <w:rFonts w:ascii="Times New Roman" w:hAnsi="Times New Roman" w:cs="Times New Roman"/>
        </w:rPr>
        <w:t xml:space="preserve">omando e </w:t>
      </w:r>
      <w:r w:rsidRPr="00B300EE">
        <w:rPr>
          <w:rFonts w:ascii="Times New Roman" w:hAnsi="Times New Roman" w:cs="Times New Roman"/>
        </w:rPr>
        <w:t>c</w:t>
      </w:r>
      <w:r w:rsidRPr="002D6041">
        <w:rPr>
          <w:rFonts w:ascii="Times New Roman" w:hAnsi="Times New Roman" w:cs="Times New Roman"/>
        </w:rPr>
        <w:t>ontrole tradicionalmente utilizado pela Agência não tem surtido o efeito esperado de induzir os regulados a respeitarem os normativos existentes e contribuir para o desenvolvimento do setor de telecomunicação no país. A Agência já está desenvolvendo mecanismos baseados na Regulação Responsiva, teoria de regulação que visa dotar a Anatel de mais efetividade na busca dos seus objetivos</w:t>
      </w:r>
      <w:r w:rsidRPr="002D6041">
        <w:rPr>
          <w:rFonts w:ascii="Times New Roman" w:hAnsi="Times New Roman" w:cs="Times New Roman"/>
          <w:vertAlign w:val="superscript"/>
        </w:rPr>
        <w:footnoteReference w:id="4"/>
      </w:r>
      <w:r w:rsidRPr="002D6041">
        <w:rPr>
          <w:rFonts w:ascii="Times New Roman" w:hAnsi="Times New Roman" w:cs="Times New Roman"/>
        </w:rPr>
        <w:t>.</w:t>
      </w:r>
    </w:p>
    <w:p w14:paraId="3669CFA8" w14:textId="6ED8D84C" w:rsidR="002D6041" w:rsidRPr="002D6041" w:rsidRDefault="002D6041" w:rsidP="00EB3405">
      <w:pPr>
        <w:spacing w:after="0" w:line="360" w:lineRule="auto"/>
        <w:ind w:firstLine="709"/>
        <w:jc w:val="both"/>
        <w:rPr>
          <w:rFonts w:ascii="Times New Roman" w:hAnsi="Times New Roman" w:cs="Times New Roman"/>
        </w:rPr>
      </w:pPr>
      <w:r w:rsidRPr="002D6041">
        <w:rPr>
          <w:rFonts w:ascii="Times New Roman" w:hAnsi="Times New Roman" w:cs="Times New Roman"/>
        </w:rPr>
        <w:t>E, dentre os principais resultado obtidos pelo Relatório, destacam-se</w:t>
      </w:r>
      <w:r w:rsidRPr="00B300EE">
        <w:rPr>
          <w:rFonts w:ascii="Times New Roman" w:hAnsi="Times New Roman" w:cs="Times New Roman"/>
        </w:rPr>
        <w:t>: (i) o</w:t>
      </w:r>
      <w:r w:rsidRPr="002D6041">
        <w:rPr>
          <w:rFonts w:ascii="Times New Roman" w:hAnsi="Times New Roman" w:cs="Times New Roman"/>
        </w:rPr>
        <w:t xml:space="preserve"> modelo não tem surtido os efeitos esperados;</w:t>
      </w:r>
      <w:r w:rsidRPr="00B300EE">
        <w:rPr>
          <w:rFonts w:ascii="Times New Roman" w:hAnsi="Times New Roman" w:cs="Times New Roman"/>
        </w:rPr>
        <w:t xml:space="preserve"> (</w:t>
      </w:r>
      <w:proofErr w:type="spellStart"/>
      <w:r w:rsidRPr="00B300EE">
        <w:rPr>
          <w:rFonts w:ascii="Times New Roman" w:hAnsi="Times New Roman" w:cs="Times New Roman"/>
        </w:rPr>
        <w:t>ii</w:t>
      </w:r>
      <w:proofErr w:type="spellEnd"/>
      <w:r w:rsidRPr="00B300EE">
        <w:rPr>
          <w:rFonts w:ascii="Times New Roman" w:hAnsi="Times New Roman" w:cs="Times New Roman"/>
        </w:rPr>
        <w:t>) o</w:t>
      </w:r>
      <w:r w:rsidRPr="002D6041">
        <w:rPr>
          <w:rFonts w:ascii="Times New Roman" w:hAnsi="Times New Roman" w:cs="Times New Roman"/>
        </w:rPr>
        <w:t>s regulados não têm respeitado os normativos e tampouco cumprido as sanções;</w:t>
      </w:r>
      <w:r w:rsidRPr="00B300EE">
        <w:rPr>
          <w:rFonts w:ascii="Times New Roman" w:hAnsi="Times New Roman" w:cs="Times New Roman"/>
        </w:rPr>
        <w:t xml:space="preserve"> (</w:t>
      </w:r>
      <w:proofErr w:type="spellStart"/>
      <w:r w:rsidRPr="00B300EE">
        <w:rPr>
          <w:rFonts w:ascii="Times New Roman" w:hAnsi="Times New Roman" w:cs="Times New Roman"/>
        </w:rPr>
        <w:t>iii</w:t>
      </w:r>
      <w:proofErr w:type="spellEnd"/>
      <w:r w:rsidRPr="00B300EE">
        <w:rPr>
          <w:rFonts w:ascii="Times New Roman" w:hAnsi="Times New Roman" w:cs="Times New Roman"/>
        </w:rPr>
        <w:t>) h</w:t>
      </w:r>
      <w:r w:rsidRPr="002D6041">
        <w:rPr>
          <w:rFonts w:ascii="Times New Roman" w:hAnsi="Times New Roman" w:cs="Times New Roman"/>
        </w:rPr>
        <w:t>á necessidade de estabelecimento de hierarquia entre os mecanismos regulatórios;</w:t>
      </w:r>
      <w:r w:rsidRPr="00B300EE">
        <w:rPr>
          <w:rFonts w:ascii="Times New Roman" w:hAnsi="Times New Roman" w:cs="Times New Roman"/>
        </w:rPr>
        <w:t xml:space="preserve"> (</w:t>
      </w:r>
      <w:proofErr w:type="spellStart"/>
      <w:r w:rsidRPr="00B300EE">
        <w:rPr>
          <w:rFonts w:ascii="Times New Roman" w:hAnsi="Times New Roman" w:cs="Times New Roman"/>
        </w:rPr>
        <w:t>iv</w:t>
      </w:r>
      <w:proofErr w:type="spellEnd"/>
      <w:r w:rsidRPr="00B300EE">
        <w:rPr>
          <w:rFonts w:ascii="Times New Roman" w:hAnsi="Times New Roman" w:cs="Times New Roman"/>
        </w:rPr>
        <w:t>) h</w:t>
      </w:r>
      <w:r w:rsidRPr="002D6041">
        <w:rPr>
          <w:rFonts w:ascii="Times New Roman" w:hAnsi="Times New Roman" w:cs="Times New Roman"/>
        </w:rPr>
        <w:t>á necessidade de aprimoramento da ARR;</w:t>
      </w:r>
      <w:r w:rsidR="00EB3405" w:rsidRPr="00B300EE">
        <w:rPr>
          <w:rFonts w:ascii="Times New Roman" w:hAnsi="Times New Roman" w:cs="Times New Roman"/>
        </w:rPr>
        <w:t xml:space="preserve"> (v) há importâ</w:t>
      </w:r>
      <w:r w:rsidRPr="002D6041">
        <w:rPr>
          <w:rFonts w:ascii="Times New Roman" w:hAnsi="Times New Roman" w:cs="Times New Roman"/>
        </w:rPr>
        <w:t>ncia de capacitações de funcionários no novo modelo regulatório.</w:t>
      </w:r>
    </w:p>
    <w:p w14:paraId="63B4FE19" w14:textId="6C59F075" w:rsidR="002D6041" w:rsidRPr="002D6041" w:rsidRDefault="002D6041" w:rsidP="002D6041">
      <w:pPr>
        <w:spacing w:after="0" w:line="360" w:lineRule="auto"/>
        <w:ind w:firstLine="709"/>
        <w:jc w:val="both"/>
        <w:rPr>
          <w:rFonts w:ascii="Times New Roman" w:hAnsi="Times New Roman" w:cs="Times New Roman"/>
        </w:rPr>
      </w:pPr>
      <w:r w:rsidRPr="002D6041">
        <w:rPr>
          <w:rFonts w:ascii="Times New Roman" w:hAnsi="Times New Roman" w:cs="Times New Roman"/>
        </w:rPr>
        <w:t xml:space="preserve">O Relatório aponta como solução, portanto, para um modelo de regulação distinto do comando e controle, </w:t>
      </w:r>
      <w:r w:rsidR="004F7674" w:rsidRPr="00B300EE">
        <w:rPr>
          <w:rFonts w:ascii="Times New Roman" w:hAnsi="Times New Roman" w:cs="Times New Roman"/>
        </w:rPr>
        <w:t>justamento</w:t>
      </w:r>
      <w:r w:rsidRPr="002D6041">
        <w:rPr>
          <w:rFonts w:ascii="Times New Roman" w:hAnsi="Times New Roman" w:cs="Times New Roman"/>
        </w:rPr>
        <w:t xml:space="preserve"> o modelo de Regulação Responsiva</w:t>
      </w:r>
      <w:r w:rsidR="004F7674" w:rsidRPr="00B300EE">
        <w:rPr>
          <w:rFonts w:ascii="Times New Roman" w:hAnsi="Times New Roman" w:cs="Times New Roman"/>
        </w:rPr>
        <w:t>,</w:t>
      </w:r>
      <w:r w:rsidRPr="002D6041">
        <w:rPr>
          <w:rFonts w:ascii="Times New Roman" w:hAnsi="Times New Roman" w:cs="Times New Roman"/>
        </w:rPr>
        <w:t xml:space="preserve"> cunhado pelos autores Ian Ayres e John </w:t>
      </w:r>
      <w:proofErr w:type="spellStart"/>
      <w:r w:rsidRPr="002D6041">
        <w:rPr>
          <w:rFonts w:ascii="Times New Roman" w:hAnsi="Times New Roman" w:cs="Times New Roman"/>
        </w:rPr>
        <w:t>Braithwaite</w:t>
      </w:r>
      <w:proofErr w:type="spellEnd"/>
      <w:r w:rsidRPr="002D6041">
        <w:rPr>
          <w:rFonts w:ascii="Times New Roman" w:hAnsi="Times New Roman" w:cs="Times New Roman"/>
        </w:rPr>
        <w:t xml:space="preserve">. </w:t>
      </w:r>
    </w:p>
    <w:p w14:paraId="0850C767" w14:textId="429DAA3B" w:rsidR="002D6041" w:rsidRDefault="002D6041" w:rsidP="00795F33">
      <w:pPr>
        <w:spacing w:after="0" w:line="360" w:lineRule="auto"/>
        <w:ind w:firstLine="709"/>
        <w:jc w:val="both"/>
        <w:rPr>
          <w:rFonts w:ascii="Times New Roman" w:hAnsi="Times New Roman" w:cs="Times New Roman"/>
        </w:rPr>
      </w:pPr>
      <w:r w:rsidRPr="002D6041">
        <w:rPr>
          <w:rFonts w:ascii="Times New Roman" w:hAnsi="Times New Roman" w:cs="Times New Roman"/>
        </w:rPr>
        <w:t xml:space="preserve">Considerando, portanto, esse modelo, pretende-se justificar a relevância de se assumir, na regulação exercida no Brasil, elementos da Regulação Responsiva, principalmente em contratos de concessão, em busca da prestação de serviços eficientes. Afinal, uma delegação de serviços eficiente promove segurança jurídica às partes, estabilidade ao vínculo contratual firmado entre elas e, necessariamente, melhores condições de prestação de serviços – no mínimo, maior garantia de continuidade – aos usuários. </w:t>
      </w:r>
    </w:p>
    <w:p w14:paraId="17A8116C" w14:textId="5DE3E792" w:rsidR="008732FE" w:rsidRPr="00B300EE" w:rsidRDefault="008732FE" w:rsidP="00795F33">
      <w:pPr>
        <w:spacing w:after="0" w:line="360" w:lineRule="auto"/>
        <w:ind w:firstLine="709"/>
        <w:jc w:val="both"/>
        <w:rPr>
          <w:rFonts w:ascii="Times New Roman" w:hAnsi="Times New Roman" w:cs="Times New Roman"/>
        </w:rPr>
      </w:pPr>
      <w:r>
        <w:rPr>
          <w:rFonts w:ascii="Times New Roman" w:hAnsi="Times New Roman" w:cs="Times New Roman"/>
        </w:rPr>
        <w:lastRenderedPageBreak/>
        <w:t>E, no setor de saneamento básico, essa necessidade se justifica pela vinculação entre o uso desses contratos e a necessidade de universalização da prestação de serviços, como se verá adiante.</w:t>
      </w:r>
    </w:p>
    <w:p w14:paraId="0AF9DA23" w14:textId="77777777" w:rsidR="00823DB9" w:rsidRPr="00B300EE" w:rsidRDefault="00823DB9" w:rsidP="00823DB9">
      <w:pPr>
        <w:spacing w:after="0" w:line="360" w:lineRule="auto"/>
        <w:ind w:firstLine="709"/>
        <w:jc w:val="both"/>
        <w:rPr>
          <w:rFonts w:ascii="Times New Roman" w:hAnsi="Times New Roman" w:cs="Times New Roman"/>
        </w:rPr>
      </w:pPr>
    </w:p>
    <w:p w14:paraId="501A118F" w14:textId="2C466F97" w:rsidR="0061398B" w:rsidRPr="00B300EE" w:rsidRDefault="0061398B" w:rsidP="0061398B">
      <w:pPr>
        <w:pStyle w:val="Ttulo2"/>
      </w:pPr>
      <w:r>
        <w:t>Justificativa</w:t>
      </w:r>
    </w:p>
    <w:p w14:paraId="1873B6EA" w14:textId="28F874BD" w:rsidR="0061398B" w:rsidRDefault="0061398B" w:rsidP="0061398B">
      <w:pPr>
        <w:spacing w:after="0" w:line="360" w:lineRule="auto"/>
        <w:ind w:firstLine="709"/>
        <w:jc w:val="both"/>
        <w:rPr>
          <w:rFonts w:ascii="Times New Roman" w:hAnsi="Times New Roman" w:cs="Times New Roman"/>
        </w:rPr>
      </w:pPr>
      <w:r w:rsidRPr="00B300EE">
        <w:rPr>
          <w:rFonts w:ascii="Times New Roman" w:hAnsi="Times New Roman" w:cs="Times New Roman"/>
        </w:rPr>
        <w:t>Em primeiro lugar, a pesquisa se justifica pela necessidade de aprimoramento constante da política pública de concessões de serviços públicos. E, em segundo lugar, pela necessidade de se aperfeiçoar rapidamente esses instrumentos quando aplicados aos serviços públicos de saneamento básico, uma vez que sua universalização é indiscutivelmente urgente. Para isso, porém, algumas premissas precisam ser consideradas para que se possa de fato tratar do setor e não apenas desenvolver uma pesquisa teórica a ele não aplicável.</w:t>
      </w:r>
    </w:p>
    <w:p w14:paraId="132070F8" w14:textId="64A491A1" w:rsidR="0061398B" w:rsidRPr="00B300EE" w:rsidRDefault="0061398B" w:rsidP="0061398B">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Como demonstrado, a punição por si só tem se mostrado insuficiente para conter danos na execução da prestação de serviços, no sentido de garantir sua prestação adequada. </w:t>
      </w:r>
    </w:p>
    <w:p w14:paraId="5E9AA1A6" w14:textId="77777777" w:rsidR="0061398B" w:rsidRPr="00B300EE" w:rsidRDefault="0061398B" w:rsidP="0061398B">
      <w:pPr>
        <w:spacing w:after="0" w:line="360" w:lineRule="auto"/>
        <w:ind w:firstLine="709"/>
        <w:jc w:val="both"/>
        <w:rPr>
          <w:rFonts w:ascii="Times New Roman" w:hAnsi="Times New Roman" w:cs="Times New Roman"/>
        </w:rPr>
      </w:pPr>
      <w:r w:rsidRPr="00B300EE">
        <w:rPr>
          <w:rFonts w:ascii="Times New Roman" w:hAnsi="Times New Roman" w:cs="Times New Roman"/>
        </w:rPr>
        <w:t>Ou seja, hoje o Brasil vive uma realidade em que os contratos de concessão respondem por parcela considerável da prestação de serviços públicos, mas que, nem sempre resultam em uma prestação eficiente desses serviços, como no caso de algumas concessões de transportes</w:t>
      </w:r>
      <w:r w:rsidRPr="00B300EE">
        <w:rPr>
          <w:rStyle w:val="Refdenotaderodap"/>
          <w:rFonts w:ascii="Times New Roman" w:hAnsi="Times New Roman" w:cs="Times New Roman"/>
        </w:rPr>
        <w:footnoteReference w:id="5"/>
      </w:r>
      <w:r w:rsidRPr="00B300EE">
        <w:rPr>
          <w:rFonts w:ascii="Times New Roman" w:hAnsi="Times New Roman" w:cs="Times New Roman"/>
        </w:rPr>
        <w:t xml:space="preserve">. </w:t>
      </w:r>
    </w:p>
    <w:p w14:paraId="6D38490D" w14:textId="77777777" w:rsidR="0061398B" w:rsidRPr="00B300EE" w:rsidRDefault="0061398B" w:rsidP="0061398B">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Vale retomar o conceito de titularidade para endereçar à Administração Pública a responsabilidade por serviços públicos prestados de forma adequada, e, nos termos da Constituição Federal, eficientes. </w:t>
      </w:r>
    </w:p>
    <w:p w14:paraId="23575935" w14:textId="77777777" w:rsidR="0061398B" w:rsidRPr="00B300EE" w:rsidRDefault="0061398B" w:rsidP="0061398B">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Se existe uma quantidade considerável de contratos de concessão em que não há o cumprimento deste objetivo, faz-se necessário rever a política de concessões como um todo ou aspectos sensíveis da estruturação contratual que possam estar contribuindo para uma prestação ineficiente de serviços. </w:t>
      </w:r>
    </w:p>
    <w:p w14:paraId="690605DE" w14:textId="77777777" w:rsidR="0061398B" w:rsidRPr="00B300EE" w:rsidRDefault="0061398B" w:rsidP="0061398B">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O setor de saneamento básico é especialmente sensível, se consideradas as particularidades de sua essencialidade, combinado com o fato de o acesso à água potável e ao adequado tratamento do esgotamento sanitário é essencial para efetivação de direitos fundamentais previstos na Constituição Federal, como a saúde e a dignidade da pessoa humana. </w:t>
      </w:r>
    </w:p>
    <w:p w14:paraId="271BF7A8" w14:textId="77777777" w:rsidR="0061398B" w:rsidRPr="00B300EE" w:rsidRDefault="0061398B" w:rsidP="0061398B">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Sendo assim, considerando a relativamente recente publicação da Lei federal 14.026/2020 e a por ela imposta obrigatoriedade de universalização de serviços até 2033, as concessões passaram a ser instrumentos essenciais e ferramentas indispensáveis pelos gestores públicos para o cumprimento deste marco de universalização. Importa considerar também que a referida Lei se utiliza do </w:t>
      </w:r>
      <w:proofErr w:type="spellStart"/>
      <w:r w:rsidRPr="00B300EE">
        <w:rPr>
          <w:rFonts w:ascii="Times New Roman" w:hAnsi="Times New Roman" w:cs="Times New Roman"/>
          <w:i/>
          <w:iCs/>
        </w:rPr>
        <w:t>spending</w:t>
      </w:r>
      <w:proofErr w:type="spellEnd"/>
      <w:r w:rsidRPr="00B300EE">
        <w:rPr>
          <w:rFonts w:ascii="Times New Roman" w:hAnsi="Times New Roman" w:cs="Times New Roman"/>
          <w:i/>
          <w:iCs/>
        </w:rPr>
        <w:t xml:space="preserve"> </w:t>
      </w:r>
      <w:proofErr w:type="spellStart"/>
      <w:r w:rsidRPr="00B300EE">
        <w:rPr>
          <w:rFonts w:ascii="Times New Roman" w:hAnsi="Times New Roman" w:cs="Times New Roman"/>
          <w:i/>
          <w:iCs/>
        </w:rPr>
        <w:t>power</w:t>
      </w:r>
      <w:proofErr w:type="spellEnd"/>
      <w:r w:rsidRPr="00B300EE">
        <w:rPr>
          <w:rFonts w:ascii="Times New Roman" w:hAnsi="Times New Roman" w:cs="Times New Roman"/>
        </w:rPr>
        <w:t xml:space="preserve"> da União para garantir a universalização, na medida </w:t>
      </w:r>
      <w:r w:rsidRPr="00B300EE">
        <w:rPr>
          <w:rFonts w:ascii="Times New Roman" w:hAnsi="Times New Roman" w:cs="Times New Roman"/>
        </w:rPr>
        <w:lastRenderedPageBreak/>
        <w:t xml:space="preserve">em que restringe o acesso a recursos federais nas hipóteses de descumprimento de determinações específicas do ato normativo. </w:t>
      </w:r>
    </w:p>
    <w:p w14:paraId="76F8B1FC" w14:textId="77777777" w:rsidR="0061398B" w:rsidRPr="00B300EE" w:rsidRDefault="0061398B" w:rsidP="0061398B">
      <w:pPr>
        <w:spacing w:after="0" w:line="360" w:lineRule="auto"/>
        <w:ind w:firstLine="709"/>
        <w:jc w:val="both"/>
        <w:rPr>
          <w:rFonts w:ascii="Times New Roman" w:hAnsi="Times New Roman" w:cs="Times New Roman"/>
        </w:rPr>
      </w:pPr>
      <w:r w:rsidRPr="00B300EE">
        <w:rPr>
          <w:rFonts w:ascii="Times New Roman" w:hAnsi="Times New Roman" w:cs="Times New Roman"/>
        </w:rPr>
        <w:t>Por essa razão, muitos gestores públicos, considerando o exíguo prazo de universalização e as limitações impostas pela Lei no caso de descumprimento de suas disposições, as concessões têm sido ferramenta amplamente buscada para fins da prestação de serviços. E, considerando esse aumento de utilização do instituto, combinado com a sua complexidade e a necessidade de implementação a longo prazo, o estudo de ferramentas que promovam a eficiência dos serviços se faz ainda mais urgente.</w:t>
      </w:r>
    </w:p>
    <w:p w14:paraId="3DD0F51A" w14:textId="2935EE66" w:rsidR="0061398B" w:rsidRPr="00B300EE" w:rsidRDefault="0061398B" w:rsidP="0061398B">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Isso posto, </w:t>
      </w:r>
      <w:r w:rsidR="00417EC5">
        <w:rPr>
          <w:rFonts w:ascii="Times New Roman" w:hAnsi="Times New Roman" w:cs="Times New Roman"/>
        </w:rPr>
        <w:t>a</w:t>
      </w:r>
      <w:r w:rsidRPr="00B300EE">
        <w:rPr>
          <w:rFonts w:ascii="Times New Roman" w:hAnsi="Times New Roman" w:cs="Times New Roman"/>
        </w:rPr>
        <w:t xml:space="preserve"> pesquisa pode ser </w:t>
      </w:r>
      <w:r w:rsidR="00417EC5">
        <w:rPr>
          <w:rFonts w:ascii="Times New Roman" w:hAnsi="Times New Roman" w:cs="Times New Roman"/>
        </w:rPr>
        <w:t>justificada</w:t>
      </w:r>
      <w:r w:rsidRPr="00B300EE">
        <w:rPr>
          <w:rFonts w:ascii="Times New Roman" w:hAnsi="Times New Roman" w:cs="Times New Roman"/>
        </w:rPr>
        <w:t xml:space="preserve"> por uma ausência de eficiência em muitas das prestações de serviços públicos quando realizadas por meio de contratos de concessão, como no caso do setor rodoviário; e, especificamente sobre o setor de saneamento básico, a urgência de implementação de mecanismos na estruturação desses contratos – recentemente muito utilizados – de forma a garantir não apenas eficiência, mas também universalização. </w:t>
      </w:r>
    </w:p>
    <w:p w14:paraId="1457B74C" w14:textId="77777777" w:rsidR="0061398B" w:rsidRPr="00B300EE" w:rsidRDefault="0061398B" w:rsidP="0061398B">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Ademais, a punição pecuniária em si pode ser prejudicial em serviços em que a essencialidade faz com que seja necessária a aplicação de módicas tarifas, justamente em razão da necessária universalização. Nesse sentido, é evidente que a concessionária deve prestar serviços e cumprir com as disposições contratuais com uma limitada margem de ampliação de receitas, haja vista a impossibilidade de alteração de valores considerável. Há, portanto, que se buscar alternativas viáveis para a melhoria da prestação de serviços – que se afaste da necessidade de ampliação de receitas – mas, ainda, que se evite a imposição de penalidades pecuniárias que comprometam os recursos a serem empregados na prestação de serviços para fins de pagamento dessas sanções. </w:t>
      </w:r>
    </w:p>
    <w:p w14:paraId="041F91B7" w14:textId="77777777" w:rsidR="0061398B" w:rsidRPr="00B300EE" w:rsidRDefault="0061398B" w:rsidP="0061398B">
      <w:pPr>
        <w:spacing w:after="0" w:line="360" w:lineRule="auto"/>
        <w:ind w:firstLine="709"/>
        <w:jc w:val="both"/>
        <w:rPr>
          <w:rFonts w:ascii="Times New Roman" w:hAnsi="Times New Roman" w:cs="Times New Roman"/>
        </w:rPr>
      </w:pPr>
    </w:p>
    <w:p w14:paraId="2F62001C" w14:textId="507D49D5" w:rsidR="00823DB9" w:rsidRPr="00B300EE" w:rsidRDefault="0061398B" w:rsidP="008F7522">
      <w:pPr>
        <w:pStyle w:val="Ttulo2"/>
      </w:pPr>
      <w:r>
        <w:t>Problema de pesquisa</w:t>
      </w:r>
    </w:p>
    <w:p w14:paraId="0479ACC3" w14:textId="5CDF8381" w:rsidR="00795F33" w:rsidRPr="00B300EE"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O setor de saneamento básico detém particularidades que influenciam diretamente na viabilidade de transposição de ferramentas a institutos sobre sua prestação de serviços. Uma delas é relativa à sua regulação. </w:t>
      </w:r>
    </w:p>
    <w:p w14:paraId="4AE571D5" w14:textId="77777777" w:rsidR="00795F33" w:rsidRPr="00B300EE"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Historicamente a prestação de serviços de saneamento básico no Brasil se deu por meio de convênios firmados entre os Municípios e os Estados, que culminaram na celebração de contratos de concessão imprópria (em modelo anterior ao que rege a Lei federal 8.987/95, em que sequer havia realização de certame licitatório) ou contratos de programa, com fundamento na Lei federal 11.107/2004, após sua promulgação. </w:t>
      </w:r>
    </w:p>
    <w:p w14:paraId="5F4CCCAC" w14:textId="77777777" w:rsidR="00795F33" w:rsidRPr="00B300EE"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Dessa forma, a prestação de serviços se deu, operacionalmente, por meio das Companhias de Saneamento Básico Estaduais (</w:t>
      </w:r>
      <w:proofErr w:type="spellStart"/>
      <w:r w:rsidRPr="00B300EE">
        <w:rPr>
          <w:rFonts w:ascii="Times New Roman" w:hAnsi="Times New Roman" w:cs="Times New Roman"/>
        </w:rPr>
        <w:t>CESBs</w:t>
      </w:r>
      <w:proofErr w:type="spellEnd"/>
      <w:r w:rsidRPr="00B300EE">
        <w:rPr>
          <w:rFonts w:ascii="Times New Roman" w:hAnsi="Times New Roman" w:cs="Times New Roman"/>
        </w:rPr>
        <w:t xml:space="preserve">), e sujeita a um mecanismo de regulação </w:t>
      </w:r>
      <w:r w:rsidRPr="00B300EE">
        <w:rPr>
          <w:rFonts w:ascii="Times New Roman" w:hAnsi="Times New Roman" w:cs="Times New Roman"/>
        </w:rPr>
        <w:lastRenderedPageBreak/>
        <w:t>discricionária, por meio da qual as entidades reguladoras se responsabilizam pela mensuração de valores tarifários a serem aplicados em determinados ciclos, de quatro a cinco anos. De forma simplificada:</w:t>
      </w:r>
    </w:p>
    <w:p w14:paraId="2054C997" w14:textId="6C345FFF" w:rsidR="00795F33" w:rsidRPr="00B300EE" w:rsidRDefault="00795F33" w:rsidP="00795F33">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No setor de saneamento, durante muito tempo, se utilizou de um sistema de regulação discricionária (</w:t>
      </w:r>
      <w:proofErr w:type="spellStart"/>
      <w:r w:rsidRPr="00B300EE">
        <w:rPr>
          <w:rFonts w:ascii="Times New Roman" w:hAnsi="Times New Roman" w:cs="Times New Roman"/>
          <w:sz w:val="20"/>
          <w:szCs w:val="20"/>
        </w:rPr>
        <w:t>Discretionary</w:t>
      </w:r>
      <w:proofErr w:type="spellEnd"/>
      <w:r w:rsidRPr="00B300EE">
        <w:rPr>
          <w:rFonts w:ascii="Times New Roman" w:hAnsi="Times New Roman" w:cs="Times New Roman"/>
          <w:sz w:val="20"/>
          <w:szCs w:val="20"/>
        </w:rPr>
        <w:t xml:space="preserve"> </w:t>
      </w:r>
      <w:proofErr w:type="spellStart"/>
      <w:r w:rsidRPr="00B300EE">
        <w:rPr>
          <w:rFonts w:ascii="Times New Roman" w:hAnsi="Times New Roman" w:cs="Times New Roman"/>
          <w:sz w:val="20"/>
          <w:szCs w:val="20"/>
        </w:rPr>
        <w:t>Regulation</w:t>
      </w:r>
      <w:proofErr w:type="spellEnd"/>
      <w:r w:rsidRPr="00B300EE">
        <w:rPr>
          <w:rFonts w:ascii="Times New Roman" w:hAnsi="Times New Roman" w:cs="Times New Roman"/>
          <w:sz w:val="20"/>
          <w:szCs w:val="20"/>
        </w:rPr>
        <w:t xml:space="preserve">) para as companhias estaduais, pelo custo do serviço (rate </w:t>
      </w:r>
      <w:proofErr w:type="spellStart"/>
      <w:r w:rsidRPr="00B300EE">
        <w:rPr>
          <w:rFonts w:ascii="Times New Roman" w:hAnsi="Times New Roman" w:cs="Times New Roman"/>
          <w:sz w:val="20"/>
          <w:szCs w:val="20"/>
        </w:rPr>
        <w:t>of</w:t>
      </w:r>
      <w:proofErr w:type="spellEnd"/>
      <w:r w:rsidRPr="00B300EE">
        <w:rPr>
          <w:rFonts w:ascii="Times New Roman" w:hAnsi="Times New Roman" w:cs="Times New Roman"/>
          <w:sz w:val="20"/>
          <w:szCs w:val="20"/>
        </w:rPr>
        <w:t xml:space="preserve"> </w:t>
      </w:r>
      <w:proofErr w:type="spellStart"/>
      <w:r w:rsidRPr="00B300EE">
        <w:rPr>
          <w:rFonts w:ascii="Times New Roman" w:hAnsi="Times New Roman" w:cs="Times New Roman"/>
          <w:sz w:val="20"/>
          <w:szCs w:val="20"/>
        </w:rPr>
        <w:t>return</w:t>
      </w:r>
      <w:proofErr w:type="spellEnd"/>
      <w:r w:rsidRPr="00B300EE">
        <w:rPr>
          <w:rFonts w:ascii="Times New Roman" w:hAnsi="Times New Roman" w:cs="Times New Roman"/>
          <w:sz w:val="20"/>
          <w:szCs w:val="20"/>
        </w:rPr>
        <w:t>), nos termos do que dispunha o art. 2°, §2°, da revogada Lei n°6527/1978. Nos quadrantes dessa modalidade de regulação, tem-se por desiderato estabelecer uma estrutura de custos para o agente regulado, a ser remunerada, por determinada taxa de rentabilidade. É dizer, utilizando-se de tal metodologia, estabelece-se uma remuneração pelos investimentos realizados e/ou previstos (</w:t>
      </w:r>
      <w:proofErr w:type="spellStart"/>
      <w:r w:rsidRPr="00B300EE">
        <w:rPr>
          <w:rFonts w:ascii="Times New Roman" w:hAnsi="Times New Roman" w:cs="Times New Roman"/>
          <w:sz w:val="20"/>
          <w:szCs w:val="20"/>
        </w:rPr>
        <w:t>Capex</w:t>
      </w:r>
      <w:proofErr w:type="spellEnd"/>
      <w:r w:rsidRPr="00B300EE">
        <w:rPr>
          <w:rFonts w:ascii="Times New Roman" w:hAnsi="Times New Roman" w:cs="Times New Roman"/>
          <w:sz w:val="20"/>
          <w:szCs w:val="20"/>
        </w:rPr>
        <w:t xml:space="preserve"> Capital </w:t>
      </w:r>
      <w:proofErr w:type="spellStart"/>
      <w:r w:rsidRPr="00B300EE">
        <w:rPr>
          <w:rFonts w:ascii="Times New Roman" w:hAnsi="Times New Roman" w:cs="Times New Roman"/>
          <w:sz w:val="20"/>
          <w:szCs w:val="20"/>
        </w:rPr>
        <w:t>Expenditure</w:t>
      </w:r>
      <w:proofErr w:type="spellEnd"/>
      <w:r w:rsidRPr="00B300EE">
        <w:rPr>
          <w:rFonts w:ascii="Times New Roman" w:hAnsi="Times New Roman" w:cs="Times New Roman"/>
          <w:sz w:val="20"/>
          <w:szCs w:val="20"/>
        </w:rPr>
        <w:t xml:space="preserve"> – CAPEX) e pelos custos operacionais incorridos e/ou previstos (</w:t>
      </w:r>
      <w:proofErr w:type="spellStart"/>
      <w:r w:rsidRPr="00B300EE">
        <w:rPr>
          <w:rFonts w:ascii="Times New Roman" w:hAnsi="Times New Roman" w:cs="Times New Roman"/>
          <w:sz w:val="20"/>
          <w:szCs w:val="20"/>
        </w:rPr>
        <w:t>Operational</w:t>
      </w:r>
      <w:proofErr w:type="spellEnd"/>
      <w:r w:rsidRPr="00B300EE">
        <w:rPr>
          <w:rFonts w:ascii="Times New Roman" w:hAnsi="Times New Roman" w:cs="Times New Roman"/>
          <w:sz w:val="20"/>
          <w:szCs w:val="20"/>
        </w:rPr>
        <w:t xml:space="preserve"> </w:t>
      </w:r>
      <w:proofErr w:type="spellStart"/>
      <w:r w:rsidRPr="00B300EE">
        <w:rPr>
          <w:rFonts w:ascii="Times New Roman" w:hAnsi="Times New Roman" w:cs="Times New Roman"/>
          <w:sz w:val="20"/>
          <w:szCs w:val="20"/>
        </w:rPr>
        <w:t>Expenditure</w:t>
      </w:r>
      <w:proofErr w:type="spellEnd"/>
      <w:r w:rsidRPr="00B300EE">
        <w:rPr>
          <w:rFonts w:ascii="Times New Roman" w:hAnsi="Times New Roman" w:cs="Times New Roman"/>
          <w:sz w:val="20"/>
          <w:szCs w:val="20"/>
        </w:rPr>
        <w:t xml:space="preserve"> – OPEX). Trata-se de uma modalidade de regulação que tem por objetivo primeiro interditar que o agente monopolista cobre preços </w:t>
      </w:r>
      <w:proofErr w:type="spellStart"/>
      <w:r w:rsidRPr="00B300EE">
        <w:rPr>
          <w:rFonts w:ascii="Times New Roman" w:hAnsi="Times New Roman" w:cs="Times New Roman"/>
          <w:sz w:val="20"/>
          <w:szCs w:val="20"/>
        </w:rPr>
        <w:t>supracompetitivos</w:t>
      </w:r>
      <w:proofErr w:type="spellEnd"/>
      <w:r w:rsidRPr="00B300EE">
        <w:rPr>
          <w:rFonts w:ascii="Times New Roman" w:hAnsi="Times New Roman" w:cs="Times New Roman"/>
          <w:sz w:val="20"/>
          <w:szCs w:val="20"/>
        </w:rPr>
        <w:t>, por intermédio da simulação de um mercado competitivo</w:t>
      </w:r>
      <w:r w:rsidR="00644E6C">
        <w:rPr>
          <w:rStyle w:val="Refdenotaderodap"/>
          <w:rFonts w:ascii="Times New Roman" w:hAnsi="Times New Roman" w:cs="Times New Roman"/>
          <w:sz w:val="20"/>
          <w:szCs w:val="20"/>
        </w:rPr>
        <w:footnoteReference w:id="6"/>
      </w:r>
      <w:r w:rsidR="00644E6C">
        <w:rPr>
          <w:rFonts w:ascii="Times New Roman" w:hAnsi="Times New Roman" w:cs="Times New Roman"/>
          <w:sz w:val="20"/>
          <w:szCs w:val="20"/>
        </w:rPr>
        <w:t>.</w:t>
      </w:r>
      <w:r w:rsidRPr="00B300EE">
        <w:rPr>
          <w:rFonts w:ascii="Times New Roman" w:hAnsi="Times New Roman" w:cs="Times New Roman"/>
        </w:rPr>
        <w:t xml:space="preserve"> </w:t>
      </w:r>
    </w:p>
    <w:p w14:paraId="6FC656EE" w14:textId="77777777" w:rsidR="00795F33" w:rsidRPr="00B300EE" w:rsidRDefault="00795F33" w:rsidP="00795F33">
      <w:pPr>
        <w:spacing w:after="0" w:line="360" w:lineRule="auto"/>
        <w:ind w:firstLine="709"/>
        <w:jc w:val="both"/>
        <w:rPr>
          <w:rFonts w:ascii="Times New Roman" w:hAnsi="Times New Roman" w:cs="Times New Roman"/>
        </w:rPr>
      </w:pPr>
    </w:p>
    <w:p w14:paraId="2701E7B1" w14:textId="77777777" w:rsidR="00795F33" w:rsidRPr="00B300EE"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Nesse sentido, os contratos de delegação da prestação de serviços – em regra – não contavam com a definição de cláusulas econômico-financeiras totalmente exaustivas, uma vez que essa atribuição não era conferida à mera interpretação contratual. Com isso, os instrumentos contratuais não dispunham também de elementos como os que se pretende estudar nesta pesquisa. Isso porque a contração que as fundamentava raramente tinha um ente privado como prestador, o que necessariamente afeta a dinâmica aqui estudada. </w:t>
      </w:r>
    </w:p>
    <w:p w14:paraId="0F223544" w14:textId="41BFEDEF" w:rsidR="00795F33" w:rsidRPr="00B300EE"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A partir do momento que o setor pass</w:t>
      </w:r>
      <w:r w:rsidR="00B914D7">
        <w:rPr>
          <w:rFonts w:ascii="Times New Roman" w:hAnsi="Times New Roman" w:cs="Times New Roman"/>
        </w:rPr>
        <w:t>ou</w:t>
      </w:r>
      <w:r w:rsidRPr="00B300EE">
        <w:rPr>
          <w:rFonts w:ascii="Times New Roman" w:hAnsi="Times New Roman" w:cs="Times New Roman"/>
        </w:rPr>
        <w:t xml:space="preserve"> a ter maior expressividade das contratações na forma de delegação – considerando as particularidades das concessões e a necessidade de conferir segurança jurídica, mas também econômico-financeira ao investidor – não se pode mais admitir uma regulação totalmente discricionária. </w:t>
      </w:r>
    </w:p>
    <w:p w14:paraId="2E621B84" w14:textId="77777777" w:rsidR="00795F33" w:rsidRPr="00B300EE"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Mas, considerando que historicamente a entidade reguladora exerceu importante papel na prestação de serviços, não se pode ignorar seu também importante papel na regulação do setor como um todo, inclusive com a edição de normas significativas para a adequada prestação de serviços. dentre elas, destacam-se as normas que preveem a aplicação de sanção aos prestadores. </w:t>
      </w:r>
    </w:p>
    <w:p w14:paraId="04C65812" w14:textId="77777777" w:rsidR="00795F33" w:rsidRPr="00B300EE" w:rsidRDefault="00795F33" w:rsidP="00795F3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Nesse sentido, a dinâmica que ordena a execução da prestação de serviços públicos de saneamento básico é específica do setor e não pode ser comparada, por exemplo, à concessão de serviços de transportes. Esses contam com uma dinâmica muito mais dependente do instrumento contratual, sendo a agência reguladora responsável por uma fiscalização e </w:t>
      </w:r>
      <w:r w:rsidRPr="00B300EE">
        <w:rPr>
          <w:rFonts w:ascii="Times New Roman" w:hAnsi="Times New Roman" w:cs="Times New Roman"/>
        </w:rPr>
        <w:lastRenderedPageBreak/>
        <w:t>regulação do cumprimento do contrato, mas tendo o contrato a força de um guia de toda a prestação de serviços.</w:t>
      </w:r>
    </w:p>
    <w:p w14:paraId="2026B869" w14:textId="1E560F97" w:rsidR="000011B4" w:rsidRPr="00B300EE" w:rsidRDefault="000011B4" w:rsidP="000011B4">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E, por assim ser, é importante considerar a aplicação dos aqui estudados mecanismos de incentivo tanto por meio de cláusulas contratuais, quanto por meio de atos normativos dessas agências. Ainda, importa considerar que a Lei federal 14.026/2020 atribui também à </w:t>
      </w:r>
      <w:r w:rsidR="00730978" w:rsidRPr="00B300EE">
        <w:rPr>
          <w:rFonts w:ascii="Times New Roman" w:hAnsi="Times New Roman" w:cs="Times New Roman"/>
        </w:rPr>
        <w:t>Agência</w:t>
      </w:r>
      <w:r w:rsidRPr="00B300EE">
        <w:rPr>
          <w:rFonts w:ascii="Times New Roman" w:hAnsi="Times New Roman" w:cs="Times New Roman"/>
        </w:rPr>
        <w:t xml:space="preserve"> Nacional de Águas e Saneamento Básico – ANA, a função de uniformização regulatória por meio da prerrogativa de edição de normas de referência, a serem internalizadas pelas agências reguladoras, de forma a garantir o acesso a recursos federais ao titular.  Por essa razão, é possível prever que eventuais mecanismos aqui estudados possam ter sua implementação efetivada por meio das próprias normas de </w:t>
      </w:r>
      <w:r w:rsidR="00730978" w:rsidRPr="00B300EE">
        <w:rPr>
          <w:rFonts w:ascii="Times New Roman" w:hAnsi="Times New Roman" w:cs="Times New Roman"/>
        </w:rPr>
        <w:t>referência</w:t>
      </w:r>
      <w:r w:rsidRPr="00B300EE">
        <w:rPr>
          <w:rFonts w:ascii="Times New Roman" w:hAnsi="Times New Roman" w:cs="Times New Roman"/>
        </w:rPr>
        <w:t xml:space="preserve">. </w:t>
      </w:r>
    </w:p>
    <w:p w14:paraId="431FA1A0" w14:textId="00DB431D" w:rsidR="00730978" w:rsidRPr="00B300EE" w:rsidRDefault="00730978" w:rsidP="000011B4">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Colocado esse cenário complexo no qual são operados os contratos de concessão, os estudos para aprimoramento de seus resultados se justificam justamente pela incerteza inerente a uma universalização em menos de dez anos, combinada com um cenário complexo, com a necessidade de articulação institucional intensa, e, principalmente, a urgência na </w:t>
      </w:r>
      <w:r w:rsidR="009D6C9E" w:rsidRPr="00B300EE">
        <w:rPr>
          <w:rFonts w:ascii="Times New Roman" w:hAnsi="Times New Roman" w:cs="Times New Roman"/>
        </w:rPr>
        <w:t>apresentação de resultados. No saneamento básico, eficiência não é uma opção, e, portanto, as propostas de melhoria se justificam e se faze</w:t>
      </w:r>
      <w:r w:rsidR="0015592D" w:rsidRPr="00B300EE">
        <w:rPr>
          <w:rFonts w:ascii="Times New Roman" w:hAnsi="Times New Roman" w:cs="Times New Roman"/>
        </w:rPr>
        <w:t>m absolutamente</w:t>
      </w:r>
      <w:r w:rsidR="009D6C9E" w:rsidRPr="00B300EE">
        <w:rPr>
          <w:rFonts w:ascii="Times New Roman" w:hAnsi="Times New Roman" w:cs="Times New Roman"/>
        </w:rPr>
        <w:t xml:space="preserve"> necessárias.</w:t>
      </w:r>
    </w:p>
    <w:p w14:paraId="536FD636" w14:textId="77777777" w:rsidR="00795F33" w:rsidRPr="00B300EE" w:rsidRDefault="00795F33" w:rsidP="00795F33">
      <w:pPr>
        <w:rPr>
          <w:rFonts w:ascii="Times New Roman" w:hAnsi="Times New Roman" w:cs="Times New Roman"/>
        </w:rPr>
      </w:pPr>
    </w:p>
    <w:p w14:paraId="075B93A3" w14:textId="1D98F432" w:rsidR="00823DB9" w:rsidRPr="00B300EE" w:rsidRDefault="00823DB9" w:rsidP="008F7522">
      <w:pPr>
        <w:pStyle w:val="Ttulo1"/>
        <w:numPr>
          <w:ilvl w:val="0"/>
          <w:numId w:val="2"/>
        </w:numPr>
      </w:pPr>
      <w:r w:rsidRPr="00B300EE">
        <w:t>OBJETIVOS</w:t>
      </w:r>
    </w:p>
    <w:p w14:paraId="088FFC8D" w14:textId="0B573E41" w:rsidR="00823DB9" w:rsidRPr="00B300EE" w:rsidRDefault="00823DB9" w:rsidP="00823DB9">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O principal objetivo deste estudo é justamente contribuir para o aprimoramento de determinados aspectos da política pública de concessões, e, por consequência, da prestação de serviços públicos quando delegados. Este se decompõe em objetivos imediatos e mediatos, que serão devidamente analisados. </w:t>
      </w:r>
    </w:p>
    <w:p w14:paraId="16D85C81" w14:textId="77777777" w:rsidR="00823DB9" w:rsidRPr="00B300EE" w:rsidRDefault="00823DB9" w:rsidP="00823DB9">
      <w:pPr>
        <w:spacing w:after="0" w:line="360" w:lineRule="auto"/>
        <w:ind w:firstLine="709"/>
        <w:jc w:val="both"/>
        <w:rPr>
          <w:rFonts w:ascii="Times New Roman" w:hAnsi="Times New Roman" w:cs="Times New Roman"/>
        </w:rPr>
      </w:pPr>
    </w:p>
    <w:p w14:paraId="05618BF2" w14:textId="123FC24C" w:rsidR="00823DB9" w:rsidRPr="00B300EE" w:rsidRDefault="008F7522" w:rsidP="008F7522">
      <w:pPr>
        <w:pStyle w:val="Ttulo2"/>
      </w:pPr>
      <w:r w:rsidRPr="00B300EE">
        <w:t>1.1.</w:t>
      </w:r>
      <w:r w:rsidR="00823DB9" w:rsidRPr="00B300EE">
        <w:tab/>
        <w:t>Objetivos imediatos</w:t>
      </w:r>
    </w:p>
    <w:p w14:paraId="0A42768B" w14:textId="26E8C9E0" w:rsidR="00823DB9" w:rsidRPr="00B300EE" w:rsidRDefault="00823DB9" w:rsidP="00823DB9">
      <w:pPr>
        <w:spacing w:after="0" w:line="360" w:lineRule="auto"/>
        <w:ind w:firstLine="709"/>
        <w:jc w:val="both"/>
        <w:rPr>
          <w:rFonts w:ascii="Times New Roman" w:hAnsi="Times New Roman" w:cs="Times New Roman"/>
        </w:rPr>
      </w:pPr>
      <w:r w:rsidRPr="00B300EE">
        <w:rPr>
          <w:rFonts w:ascii="Times New Roman" w:hAnsi="Times New Roman" w:cs="Times New Roman"/>
        </w:rPr>
        <w:t>Como objetivos imediatos, pode-se listar: (i) exame de mecanismos contratuais nos quais tenha sido empregada a lógica da Regulação Responsiva; (</w:t>
      </w:r>
      <w:proofErr w:type="spellStart"/>
      <w:r w:rsidRPr="00B300EE">
        <w:rPr>
          <w:rFonts w:ascii="Times New Roman" w:hAnsi="Times New Roman" w:cs="Times New Roman"/>
        </w:rPr>
        <w:t>ii</w:t>
      </w:r>
      <w:proofErr w:type="spellEnd"/>
      <w:r w:rsidRPr="00B300EE">
        <w:rPr>
          <w:rFonts w:ascii="Times New Roman" w:hAnsi="Times New Roman" w:cs="Times New Roman"/>
        </w:rPr>
        <w:t>) análise de particularidades desses contratos, de forma a compreender como esses dispositivos podem contribuir ou não para uma prestação de serviços eficiente; e (</w:t>
      </w:r>
      <w:proofErr w:type="spellStart"/>
      <w:r w:rsidRPr="00B300EE">
        <w:rPr>
          <w:rFonts w:ascii="Times New Roman" w:hAnsi="Times New Roman" w:cs="Times New Roman"/>
        </w:rPr>
        <w:t>iii</w:t>
      </w:r>
      <w:proofErr w:type="spellEnd"/>
      <w:r w:rsidRPr="00B300EE">
        <w:rPr>
          <w:rFonts w:ascii="Times New Roman" w:hAnsi="Times New Roman" w:cs="Times New Roman"/>
        </w:rPr>
        <w:t xml:space="preserve">) análise da forma pela qual esses instrumentos possam ser utilizados em contratações de concessões – notadamente do setor de saneamento básico – de forma a contribuir para aspectos sensíveis da política pública, como a universalização do atendimento da população previsto pela Lei federal 11.445, de 5 de janeiro de 2007, alterada pela Lei federal 14.026, de 15 de julho de 2020. </w:t>
      </w:r>
    </w:p>
    <w:p w14:paraId="32CA6BBE" w14:textId="4B9559F6" w:rsidR="00823DB9" w:rsidRPr="00B300EE" w:rsidRDefault="00823DB9" w:rsidP="00823DB9">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O que se pretende, portanto, é a elaboração de um estudo concatenado de disposições contratuais que adotem esse tipo de orientação – tanto nacionais como internacionais (nesse </w:t>
      </w:r>
      <w:r w:rsidRPr="00B300EE">
        <w:rPr>
          <w:rFonts w:ascii="Times New Roman" w:hAnsi="Times New Roman" w:cs="Times New Roman"/>
        </w:rPr>
        <w:lastRenderedPageBreak/>
        <w:t xml:space="preserve">caso, analisados sob a perspectiva do ordenamento específico que lhe deu origem) – para formação de um plexo de opções passíveis de serem utilizadas pelos diversos gestores públicos quando da estruturação de novos contratos, bem como pelos reguladores, ao longo das execuções contratuais, tanto para a realização de análises de impacto regulatório como para a edição de normas regulatórias. </w:t>
      </w:r>
    </w:p>
    <w:p w14:paraId="1A94292C" w14:textId="77777777" w:rsidR="00823DB9" w:rsidRPr="00B300EE" w:rsidRDefault="00823DB9" w:rsidP="00823DB9">
      <w:pPr>
        <w:spacing w:after="0" w:line="360" w:lineRule="auto"/>
        <w:ind w:firstLine="709"/>
        <w:jc w:val="both"/>
        <w:rPr>
          <w:rFonts w:ascii="Times New Roman" w:hAnsi="Times New Roman" w:cs="Times New Roman"/>
        </w:rPr>
      </w:pPr>
    </w:p>
    <w:p w14:paraId="40FC4BF6" w14:textId="7147A5BF" w:rsidR="00823DB9" w:rsidRPr="00B300EE" w:rsidRDefault="00823DB9" w:rsidP="008F7522">
      <w:pPr>
        <w:pStyle w:val="Ttulo2"/>
      </w:pPr>
      <w:r w:rsidRPr="00B300EE">
        <w:t>1.2.</w:t>
      </w:r>
      <w:r w:rsidRPr="00B300EE">
        <w:tab/>
        <w:t>Objetivos mediatos</w:t>
      </w:r>
    </w:p>
    <w:p w14:paraId="29FAE114" w14:textId="21F61F2B" w:rsidR="00823DB9" w:rsidRPr="00B300EE" w:rsidRDefault="00823DB9" w:rsidP="00823DB9">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Analisados esses dispositivos contratuais e normativos, os objetivos mediatos desse projeto são relativos ao aprimoramento da regulação brasileira e da capacidade de estruturação de contratos públicos em vários setores, mas, principalmente, no de saneamento básico. </w:t>
      </w:r>
    </w:p>
    <w:p w14:paraId="000C1976" w14:textId="16922FB1" w:rsidR="00823DB9" w:rsidRPr="00B300EE" w:rsidRDefault="00823DB9" w:rsidP="007524E5">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Além dessa análise das opções já em utilização em setores específicos, espera-se que, no curso desse estudo, sejam desenvolvidos novos mecanismos, que possam agregar ainda mais eficiência à prestação dos serviços públicos delegados. </w:t>
      </w:r>
    </w:p>
    <w:p w14:paraId="5963FED7" w14:textId="77777777" w:rsidR="00823DB9" w:rsidRPr="00B300EE" w:rsidRDefault="00823DB9" w:rsidP="00823DB9">
      <w:pPr>
        <w:spacing w:after="0" w:line="360" w:lineRule="auto"/>
        <w:ind w:firstLine="709"/>
        <w:jc w:val="both"/>
        <w:rPr>
          <w:rFonts w:ascii="Times New Roman" w:hAnsi="Times New Roman" w:cs="Times New Roman"/>
        </w:rPr>
      </w:pPr>
    </w:p>
    <w:p w14:paraId="1140F6B9" w14:textId="4A009D38" w:rsidR="00823DB9" w:rsidRPr="00B300EE" w:rsidRDefault="00823DB9" w:rsidP="008F7522">
      <w:pPr>
        <w:pStyle w:val="Ttulo1"/>
        <w:numPr>
          <w:ilvl w:val="0"/>
          <w:numId w:val="2"/>
        </w:numPr>
      </w:pPr>
      <w:r w:rsidRPr="00B300EE">
        <w:t>PRINCIPAIS MÉTODOS EMPREGADOS</w:t>
      </w:r>
    </w:p>
    <w:p w14:paraId="3D008B16" w14:textId="0FAD04EE" w:rsidR="00823DB9" w:rsidRPr="00B300EE" w:rsidRDefault="00823DB9" w:rsidP="00823DB9">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 metodologia desta pesquisa vem empregando o estudo de instrumentos contratuais – nacionais e internacionais – e sua posterior comparação com regras e diretrizes regulatórias que permitam identificar a especificidade de cada setor. </w:t>
      </w:r>
    </w:p>
    <w:p w14:paraId="58E49D1D" w14:textId="0D593749" w:rsidR="00823DB9" w:rsidRPr="00B300EE" w:rsidRDefault="00823DB9" w:rsidP="00823DB9">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Além disso, pretende-se analisar a viabilidade do aprofundamento da pesquisa no setor de saneamento básico, considerando </w:t>
      </w:r>
      <w:r w:rsidR="007524E5">
        <w:rPr>
          <w:rFonts w:ascii="Times New Roman" w:hAnsi="Times New Roman" w:cs="Times New Roman"/>
        </w:rPr>
        <w:t>as particularidades do setor</w:t>
      </w:r>
      <w:r w:rsidRPr="00B300EE">
        <w:rPr>
          <w:rFonts w:ascii="Times New Roman" w:hAnsi="Times New Roman" w:cs="Times New Roman"/>
        </w:rPr>
        <w:t xml:space="preserve">. </w:t>
      </w:r>
    </w:p>
    <w:p w14:paraId="556C3E5F" w14:textId="77777777" w:rsidR="00823DB9" w:rsidRPr="00B300EE" w:rsidRDefault="00823DB9" w:rsidP="00823DB9">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E, a partir dessa conclusão, serão analisados resultados em busca de avaliar em quais setores as premissas teóricas de Regulação Responsiva poderiam, de fato, ser aplicadas. </w:t>
      </w:r>
    </w:p>
    <w:p w14:paraId="6C0611E0" w14:textId="03B9EC97" w:rsidR="00823DB9" w:rsidRPr="00B300EE" w:rsidRDefault="00823DB9" w:rsidP="00823DB9">
      <w:pPr>
        <w:spacing w:after="0" w:line="360" w:lineRule="auto"/>
        <w:ind w:firstLine="709"/>
        <w:jc w:val="both"/>
        <w:rPr>
          <w:rFonts w:ascii="Times New Roman" w:hAnsi="Times New Roman" w:cs="Times New Roman"/>
        </w:rPr>
      </w:pPr>
      <w:r w:rsidRPr="00B300EE">
        <w:rPr>
          <w:rFonts w:ascii="Times New Roman" w:hAnsi="Times New Roman" w:cs="Times New Roman"/>
        </w:rPr>
        <w:t> </w:t>
      </w:r>
    </w:p>
    <w:p w14:paraId="19938860" w14:textId="1F6ED350" w:rsidR="00823DB9" w:rsidRPr="00B300EE" w:rsidRDefault="008F7522" w:rsidP="008F7522">
      <w:pPr>
        <w:pStyle w:val="Ttulo1"/>
        <w:numPr>
          <w:ilvl w:val="0"/>
          <w:numId w:val="2"/>
        </w:numPr>
      </w:pPr>
      <w:r w:rsidRPr="00B300EE">
        <w:t>FUNDAMENTAÇÃO TEÓRICA</w:t>
      </w:r>
      <w:r w:rsidR="00823DB9" w:rsidRPr="00B300EE">
        <w:t xml:space="preserve"> </w:t>
      </w:r>
    </w:p>
    <w:p w14:paraId="13FEF14C" w14:textId="77777777" w:rsidR="00B300EE" w:rsidRPr="00B300EE" w:rsidRDefault="00B300EE" w:rsidP="00E85423">
      <w:pPr>
        <w:spacing w:after="0" w:line="360" w:lineRule="auto"/>
        <w:ind w:firstLine="709"/>
        <w:rPr>
          <w:rFonts w:ascii="Times New Roman" w:hAnsi="Times New Roman" w:cs="Times New Roman"/>
        </w:rPr>
      </w:pPr>
      <w:r w:rsidRPr="00B300EE">
        <w:rPr>
          <w:rFonts w:ascii="Times New Roman" w:hAnsi="Times New Roman" w:cs="Times New Roman"/>
        </w:rPr>
        <w:t>Regulação Responsiva não é necessariamente uma novidade. Suas teorias datam de 1995 e há algum tempo vêm sendo difundidas nos serviços públicos:</w:t>
      </w:r>
    </w:p>
    <w:p w14:paraId="367BB04D" w14:textId="77777777" w:rsidR="00B300EE" w:rsidRPr="00B300EE" w:rsidRDefault="00B300EE" w:rsidP="00B300EE">
      <w:pPr>
        <w:spacing w:after="0"/>
        <w:ind w:firstLine="709"/>
        <w:rPr>
          <w:rFonts w:ascii="Times New Roman" w:hAnsi="Times New Roman" w:cs="Times New Roman"/>
        </w:rPr>
      </w:pPr>
    </w:p>
    <w:p w14:paraId="42273C96" w14:textId="77777777" w:rsidR="00B300EE" w:rsidRPr="00B300EE" w:rsidRDefault="00B300EE" w:rsidP="00E85423">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 xml:space="preserve">A regulação responsiva não é um programa claramente definido ou um conjunto de prescrições relativas à melhor forma de regular. Pelo contrário, demonstra-se que a </w:t>
      </w:r>
      <w:r w:rsidRPr="00B300EE">
        <w:rPr>
          <w:rFonts w:ascii="Times New Roman" w:hAnsi="Times New Roman" w:cs="Times New Roman"/>
          <w:b/>
          <w:bCs/>
          <w:sz w:val="20"/>
          <w:szCs w:val="20"/>
        </w:rPr>
        <w:t>melhor estratégia depende do contexto</w:t>
      </w:r>
      <w:r w:rsidRPr="00B300EE">
        <w:rPr>
          <w:rFonts w:ascii="Times New Roman" w:hAnsi="Times New Roman" w:cs="Times New Roman"/>
          <w:sz w:val="20"/>
          <w:szCs w:val="20"/>
        </w:rPr>
        <w:t xml:space="preserve">, da cultura regulatória e da história. A </w:t>
      </w:r>
      <w:r w:rsidRPr="00B300EE">
        <w:rPr>
          <w:rFonts w:ascii="Times New Roman" w:hAnsi="Times New Roman" w:cs="Times New Roman"/>
          <w:b/>
          <w:bCs/>
          <w:sz w:val="20"/>
          <w:szCs w:val="20"/>
        </w:rPr>
        <w:t>capacidade de resposta</w:t>
      </w:r>
      <w:r w:rsidRPr="00B300EE">
        <w:rPr>
          <w:rFonts w:ascii="Times New Roman" w:hAnsi="Times New Roman" w:cs="Times New Roman"/>
          <w:sz w:val="20"/>
          <w:szCs w:val="20"/>
        </w:rPr>
        <w:t xml:space="preserve"> é antes uma atitude que permite o florescimento de uma ampla variedade de abordagens regulatórias</w:t>
      </w:r>
      <w:r w:rsidRPr="00B300EE">
        <w:rPr>
          <w:rStyle w:val="Refdenotaderodap"/>
          <w:rFonts w:ascii="Times New Roman" w:hAnsi="Times New Roman" w:cs="Times New Roman"/>
          <w:sz w:val="20"/>
          <w:szCs w:val="20"/>
        </w:rPr>
        <w:footnoteReference w:id="7"/>
      </w:r>
      <w:r w:rsidRPr="00B300EE">
        <w:rPr>
          <w:rFonts w:ascii="Times New Roman" w:hAnsi="Times New Roman" w:cs="Times New Roman"/>
          <w:sz w:val="20"/>
          <w:szCs w:val="20"/>
        </w:rPr>
        <w:t>. </w:t>
      </w:r>
    </w:p>
    <w:p w14:paraId="764C0C53" w14:textId="77777777" w:rsidR="00B300EE" w:rsidRPr="00B300EE" w:rsidRDefault="00B300EE" w:rsidP="00B300EE">
      <w:pPr>
        <w:spacing w:after="0"/>
        <w:ind w:firstLine="709"/>
        <w:jc w:val="both"/>
        <w:rPr>
          <w:rFonts w:ascii="Times New Roman" w:hAnsi="Times New Roman" w:cs="Times New Roman"/>
        </w:rPr>
      </w:pPr>
    </w:p>
    <w:p w14:paraId="5E81B114" w14:textId="43F4B9D0" w:rsidR="00B300EE" w:rsidRPr="00B300EE" w:rsidRDefault="00B300EE" w:rsidP="00E85423">
      <w:pPr>
        <w:spacing w:after="0" w:line="360" w:lineRule="auto"/>
        <w:ind w:firstLine="709"/>
        <w:jc w:val="both"/>
        <w:rPr>
          <w:rFonts w:ascii="Times New Roman" w:hAnsi="Times New Roman" w:cs="Times New Roman"/>
        </w:rPr>
      </w:pPr>
      <w:r w:rsidRPr="00B300EE">
        <w:rPr>
          <w:rFonts w:ascii="Times New Roman" w:hAnsi="Times New Roman" w:cs="Times New Roman"/>
        </w:rPr>
        <w:lastRenderedPageBreak/>
        <w:t>Tem-se por Regulação Responsiva uma forma de regular particularizada, de acordo com as necessidades específicas de cada caso. Assim, cabe ao regulador a imposição de medidas inicialmente de persuasão para, em seguida, se necessário, partir para medidas de dissuasão</w:t>
      </w:r>
      <w:r w:rsidRPr="00B300EE">
        <w:rPr>
          <w:rStyle w:val="Refdenotaderodap"/>
          <w:rFonts w:ascii="Times New Roman" w:hAnsi="Times New Roman" w:cs="Times New Roman"/>
          <w:sz w:val="22"/>
          <w:szCs w:val="22"/>
        </w:rPr>
        <w:footnoteReference w:id="8"/>
      </w:r>
      <w:r w:rsidRPr="00B300EE">
        <w:rPr>
          <w:rFonts w:ascii="Times New Roman" w:hAnsi="Times New Roman" w:cs="Times New Roman"/>
        </w:rPr>
        <w:t>. </w:t>
      </w:r>
    </w:p>
    <w:p w14:paraId="0722B177" w14:textId="3E879CE8" w:rsidR="00B300EE" w:rsidRPr="00B300EE" w:rsidRDefault="00B300EE" w:rsidP="00E85423">
      <w:pPr>
        <w:spacing w:after="0" w:line="360" w:lineRule="auto"/>
        <w:ind w:firstLine="709"/>
        <w:jc w:val="both"/>
        <w:rPr>
          <w:rFonts w:ascii="Times New Roman" w:hAnsi="Times New Roman" w:cs="Times New Roman"/>
        </w:rPr>
      </w:pPr>
      <w:r w:rsidRPr="00B300EE">
        <w:rPr>
          <w:rFonts w:ascii="Times New Roman" w:hAnsi="Times New Roman" w:cs="Times New Roman"/>
        </w:rPr>
        <w:t>O modelo se apresenta como uma alternativa à regulação tradicional, denominada como comando-controle, que culmina sempre em uma sanção em resposta a uma infração, em um sistema punitivista por si próprio. E, nas palavras da doutrina nacional:</w:t>
      </w:r>
    </w:p>
    <w:p w14:paraId="58FED7E1" w14:textId="77777777" w:rsidR="00B300EE" w:rsidRPr="00B300EE" w:rsidRDefault="00B300EE" w:rsidP="00B300EE">
      <w:pPr>
        <w:spacing w:after="0"/>
        <w:ind w:firstLine="709"/>
        <w:jc w:val="both"/>
        <w:rPr>
          <w:rFonts w:ascii="Times New Roman" w:hAnsi="Times New Roman" w:cs="Times New Roman"/>
        </w:rPr>
      </w:pPr>
    </w:p>
    <w:p w14:paraId="43ACAEAD" w14:textId="77777777" w:rsidR="00B300EE" w:rsidRPr="00B300EE" w:rsidRDefault="00B300EE" w:rsidP="00B300EE">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 xml:space="preserve">Ocorre que a ameaça da punição pode ser insciente. Novas técnicas regulatórias foram criadas para atuar em paralelo ao comando e controle, com um novo arranjo de competências, dinâmicas, incentivos e penalidades. </w:t>
      </w:r>
    </w:p>
    <w:p w14:paraId="52B5F7D1" w14:textId="77777777" w:rsidR="00B300EE" w:rsidRPr="00B300EE" w:rsidRDefault="00B300EE" w:rsidP="00B300EE">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 xml:space="preserve">Desde a formulação original de John </w:t>
      </w:r>
      <w:proofErr w:type="spellStart"/>
      <w:r w:rsidRPr="00B300EE">
        <w:rPr>
          <w:rFonts w:ascii="Times New Roman" w:hAnsi="Times New Roman" w:cs="Times New Roman"/>
          <w:sz w:val="20"/>
          <w:szCs w:val="20"/>
        </w:rPr>
        <w:t>Braithwaite</w:t>
      </w:r>
      <w:proofErr w:type="spellEnd"/>
      <w:r w:rsidRPr="00B300EE">
        <w:rPr>
          <w:rFonts w:ascii="Times New Roman" w:hAnsi="Times New Roman" w:cs="Times New Roman"/>
          <w:sz w:val="20"/>
          <w:szCs w:val="20"/>
        </w:rPr>
        <w:t xml:space="preserve"> e Ian Ayres na década de 1990, a regulação responsiva foi desenvolvida e adotada em diversos países. Hoje, a OCDE aponta a regulação responsiva como um dos princípios da fiscalização. A dinâmica da regulação responsiva é guiada pelo constante diálogo entre regulador e regulado. A sanção é a </w:t>
      </w:r>
      <w:proofErr w:type="spellStart"/>
      <w:proofErr w:type="gramStart"/>
      <w:r w:rsidRPr="00B300EE">
        <w:rPr>
          <w:rFonts w:ascii="Times New Roman" w:hAnsi="Times New Roman" w:cs="Times New Roman"/>
          <w:sz w:val="20"/>
          <w:szCs w:val="20"/>
        </w:rPr>
        <w:t>ultima</w:t>
      </w:r>
      <w:proofErr w:type="spellEnd"/>
      <w:proofErr w:type="gramEnd"/>
      <w:r w:rsidRPr="00B300EE">
        <w:rPr>
          <w:rFonts w:ascii="Times New Roman" w:hAnsi="Times New Roman" w:cs="Times New Roman"/>
          <w:sz w:val="20"/>
          <w:szCs w:val="20"/>
        </w:rPr>
        <w:t xml:space="preserve"> </w:t>
      </w:r>
      <w:proofErr w:type="spellStart"/>
      <w:r w:rsidRPr="00B300EE">
        <w:rPr>
          <w:rFonts w:ascii="Times New Roman" w:hAnsi="Times New Roman" w:cs="Times New Roman"/>
          <w:sz w:val="20"/>
          <w:szCs w:val="20"/>
        </w:rPr>
        <w:t>ratio</w:t>
      </w:r>
      <w:proofErr w:type="spellEnd"/>
      <w:r w:rsidRPr="00B300EE">
        <w:rPr>
          <w:rFonts w:ascii="Times New Roman" w:hAnsi="Times New Roman" w:cs="Times New Roman"/>
          <w:sz w:val="20"/>
          <w:szCs w:val="20"/>
        </w:rPr>
        <w:t xml:space="preserve"> e as sanções administrativas mais graves, como a caducidade e a cassação, reservadas à incapacidade de o regulado seguir as regras. Compromissos para o regulado fazer mais e melhor no futuro são bem-vindos. </w:t>
      </w:r>
    </w:p>
    <w:p w14:paraId="29F0E604" w14:textId="77777777" w:rsidR="00B300EE" w:rsidRPr="00B300EE" w:rsidRDefault="00B300EE" w:rsidP="00B300EE">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Há, portanto, todo um contexto de cenário e comportamento de compliance do regulado que será considerado na dosimetria. No Brasil, diversas agências reguladoras já acolheram a regulação responsiva, como Aneel, Antaq, Anac e Anatel</w:t>
      </w:r>
      <w:r w:rsidRPr="00B300EE">
        <w:rPr>
          <w:rStyle w:val="Refdenotaderodap"/>
          <w:rFonts w:ascii="Times New Roman" w:hAnsi="Times New Roman" w:cs="Times New Roman"/>
          <w:sz w:val="20"/>
          <w:szCs w:val="20"/>
        </w:rPr>
        <w:footnoteReference w:id="9"/>
      </w:r>
      <w:r w:rsidRPr="00B300EE">
        <w:rPr>
          <w:rFonts w:ascii="Times New Roman" w:hAnsi="Times New Roman" w:cs="Times New Roman"/>
          <w:sz w:val="20"/>
          <w:szCs w:val="20"/>
        </w:rPr>
        <w:t>.</w:t>
      </w:r>
    </w:p>
    <w:p w14:paraId="19B5002C" w14:textId="77777777" w:rsidR="00B300EE" w:rsidRPr="00B300EE" w:rsidRDefault="00B300EE" w:rsidP="00B300EE">
      <w:pPr>
        <w:spacing w:after="0" w:line="240" w:lineRule="auto"/>
        <w:ind w:left="2268" w:firstLine="709"/>
        <w:jc w:val="both"/>
        <w:rPr>
          <w:rFonts w:ascii="Times New Roman" w:hAnsi="Times New Roman" w:cs="Times New Roman"/>
          <w:sz w:val="20"/>
          <w:szCs w:val="20"/>
        </w:rPr>
      </w:pPr>
    </w:p>
    <w:p w14:paraId="4FD44DDB" w14:textId="77777777" w:rsidR="00B300EE" w:rsidRPr="00B300EE" w:rsidRDefault="00B300EE" w:rsidP="00E8542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 Regulação Responsiva busca atuar em momento anterior ao da infração – por meio de fomentos e incentivos – e, também, na ocasião de serem registradas infrações, sustenta um modelo de punição proporcional ao prejuízo causado por aquele regulado ao sistema como um todo. É o que se denomina por metodologia </w:t>
      </w:r>
      <w:proofErr w:type="spellStart"/>
      <w:r w:rsidRPr="00B300EE">
        <w:rPr>
          <w:rFonts w:ascii="Times New Roman" w:hAnsi="Times New Roman" w:cs="Times New Roman"/>
          <w:i/>
          <w:iCs/>
        </w:rPr>
        <w:t>tit</w:t>
      </w:r>
      <w:proofErr w:type="spellEnd"/>
      <w:r w:rsidRPr="00B300EE">
        <w:rPr>
          <w:rFonts w:ascii="Times New Roman" w:hAnsi="Times New Roman" w:cs="Times New Roman"/>
          <w:i/>
          <w:iCs/>
        </w:rPr>
        <w:t>-</w:t>
      </w:r>
      <w:proofErr w:type="spellStart"/>
      <w:r w:rsidRPr="00B300EE">
        <w:rPr>
          <w:rFonts w:ascii="Times New Roman" w:hAnsi="Times New Roman" w:cs="Times New Roman"/>
          <w:i/>
          <w:iCs/>
        </w:rPr>
        <w:t>for-tat</w:t>
      </w:r>
      <w:proofErr w:type="spellEnd"/>
      <w:r w:rsidRPr="00B300EE">
        <w:rPr>
          <w:rFonts w:ascii="Times New Roman" w:hAnsi="Times New Roman" w:cs="Times New Roman"/>
        </w:rPr>
        <w:t xml:space="preserve">, que pode ser traduzida como olho-por-olho. Ou seja, a Regulação Responsiva se apoia em um plexo de sanções, escalonadas segundo a gravidade das infrações, em um modelo mais flexível de regulação, considerando as circunstâncias. </w:t>
      </w:r>
    </w:p>
    <w:p w14:paraId="1EBBBB67" w14:textId="77777777" w:rsidR="00B300EE" w:rsidRPr="00B300EE" w:rsidRDefault="00B300EE" w:rsidP="00E85423">
      <w:pPr>
        <w:spacing w:after="0" w:line="360" w:lineRule="auto"/>
        <w:ind w:firstLine="709"/>
        <w:jc w:val="both"/>
        <w:rPr>
          <w:rFonts w:ascii="Times New Roman" w:hAnsi="Times New Roman" w:cs="Times New Roman"/>
        </w:rPr>
      </w:pPr>
      <w:r w:rsidRPr="00B300EE">
        <w:rPr>
          <w:rFonts w:ascii="Times New Roman" w:hAnsi="Times New Roman" w:cs="Times New Roman"/>
        </w:rPr>
        <w:t>Entende-se que esse modelo seria plenamente aplicável ao modelo regulatório brasileiro, uma vez que institutos como o fomento já são amplamente utilizados pelo Estado para o atingimento de fins específicos. Para além disso, no que diz respeito à punibilidade, parte da doutrina defende sua aplicação de forma mais estratégica, afastando-se da punição como fim em si mesmo. No mesmo sentido:</w:t>
      </w:r>
    </w:p>
    <w:p w14:paraId="6412EB64" w14:textId="77777777" w:rsidR="00B300EE" w:rsidRPr="00B300EE" w:rsidRDefault="00B300EE" w:rsidP="00B300EE">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 xml:space="preserve">Ao que se vê, a penalidade não é um fim em si mesmo. A agência reguladora deve adotar soluções tendentes à melhoria constante do serviço, competindo-lhe, em coerência com princípio da atualidade, fomentar o aperfeiçoamento dos contratos, </w:t>
      </w:r>
      <w:r w:rsidRPr="00B300EE">
        <w:rPr>
          <w:rFonts w:ascii="Times New Roman" w:hAnsi="Times New Roman" w:cs="Times New Roman"/>
          <w:sz w:val="20"/>
          <w:szCs w:val="20"/>
        </w:rPr>
        <w:lastRenderedPageBreak/>
        <w:t>serviços regulados, subordinada assim ao estado das coisas (realidade), influenciado cada vez mais pelas implicações das inovações</w:t>
      </w:r>
      <w:r w:rsidRPr="00B300EE">
        <w:rPr>
          <w:rStyle w:val="Refdenotaderodap"/>
          <w:rFonts w:ascii="Times New Roman" w:hAnsi="Times New Roman" w:cs="Times New Roman"/>
          <w:sz w:val="18"/>
          <w:szCs w:val="18"/>
        </w:rPr>
        <w:footnoteReference w:id="10"/>
      </w:r>
      <w:r w:rsidRPr="00B300EE">
        <w:rPr>
          <w:rFonts w:ascii="Times New Roman" w:hAnsi="Times New Roman" w:cs="Times New Roman"/>
          <w:sz w:val="20"/>
          <w:szCs w:val="20"/>
        </w:rPr>
        <w:t>.</w:t>
      </w:r>
    </w:p>
    <w:p w14:paraId="44DD4FD7" w14:textId="77777777" w:rsidR="00B300EE" w:rsidRPr="00B300EE" w:rsidRDefault="00B300EE" w:rsidP="00E85423">
      <w:pPr>
        <w:spacing w:after="0" w:line="360" w:lineRule="auto"/>
        <w:ind w:firstLine="709"/>
        <w:jc w:val="both"/>
        <w:rPr>
          <w:rFonts w:ascii="Times New Roman" w:hAnsi="Times New Roman" w:cs="Times New Roman"/>
        </w:rPr>
      </w:pPr>
    </w:p>
    <w:p w14:paraId="794CD640" w14:textId="77777777" w:rsidR="00B300EE" w:rsidRPr="00B300EE" w:rsidRDefault="00B300EE" w:rsidP="00E8542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Não se trata de evitar a punição, mas em torná-la mais legítima, na medida em que a proporcionalidade das sanções justifica sua própria aplicação, conferindo maior poder de coerção à regulação. E, ao contrário do que possa parecer, não é essa uma forma de abrandar a regulação, mas sim de torná-la mais eficiente e voltada a uma administração de resultados, exigida pela própria Emenda Constitucional nº19/98. </w:t>
      </w:r>
    </w:p>
    <w:p w14:paraId="13C44BB7" w14:textId="77777777" w:rsidR="00B300EE" w:rsidRPr="00B300EE" w:rsidRDefault="00B300EE" w:rsidP="00E85423">
      <w:pPr>
        <w:spacing w:after="0" w:line="360" w:lineRule="auto"/>
        <w:ind w:firstLine="709"/>
        <w:jc w:val="both"/>
        <w:rPr>
          <w:rFonts w:ascii="Times New Roman" w:hAnsi="Times New Roman" w:cs="Times New Roman"/>
        </w:rPr>
      </w:pPr>
      <w:r w:rsidRPr="00B300EE">
        <w:rPr>
          <w:rFonts w:ascii="Times New Roman" w:hAnsi="Times New Roman" w:cs="Times New Roman"/>
        </w:rPr>
        <w:t>É importante considerar – para fins deste estudo – dois aspectos centrais da Regulação Responsiva: (a) a Regulação Responsiva que aqui chamaremos de prévia, nela contidos os mecanismos de incentivo e indução de comportamento; e (b) a Regulação Responsiva que aqui chamaremos de posterior, que prega a necessidade adoção da consensualidade como forma de efetivação de objetivos em face de um descumprimento normativo e contratual. Ressalta-se, porém, que essa divisão não é feita pelos autores que cunharam o termo “Regulação Responsiva”, mas se faz relevante neste estudo, para apresentação de alguns argumentos favoráveis à sua adoção, considerando principalmente que este estudo versará muito mais sobre o aspecto prévio da Regulação Responsiva.</w:t>
      </w:r>
    </w:p>
    <w:p w14:paraId="6C9965B3" w14:textId="77777777" w:rsidR="00B300EE" w:rsidRPr="00B300EE" w:rsidRDefault="00B300EE" w:rsidP="00E8542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No primeiro caso, a Regulação Responsiva é utilizada como uma ferramenta de condução do comportamento por meio de incentivos. Isto é, o regulado se sente motivado a cumprir com as determinações ou possibilidades regulatórias em prol de um benefício tangível ou não. </w:t>
      </w:r>
    </w:p>
    <w:p w14:paraId="53DF6309" w14:textId="77777777" w:rsidR="00B300EE" w:rsidRDefault="00B300EE" w:rsidP="00E85423">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No segundo caso, a Regulação Responsiva apresenta alternativas à punição por si só, muito utilizada pela Regulação comando-controle. Ou seja, em busca da eficiência e efetividade da prestação de serviços, a Regulação Responsiva se afasta da necessidade de punir por punir o regulado que descumpre as determinações regulatórias ou contratuais e busca ferramentas de correção desse descumprimento em prol de eficiência. Tem-se a correção como aspecto mais relevante do que a punição em si. Um exemplo nesse sentido é o das soluções consensuais de controvérsias que endereçam a correção dos problemas em detrimento da simples punição. </w:t>
      </w:r>
    </w:p>
    <w:p w14:paraId="5A443CBB" w14:textId="77777777" w:rsidR="00E85423" w:rsidRPr="00E85423" w:rsidRDefault="00E85423" w:rsidP="00E85423">
      <w:pPr>
        <w:spacing w:after="0" w:line="360" w:lineRule="auto"/>
        <w:ind w:firstLine="709"/>
        <w:jc w:val="both"/>
        <w:rPr>
          <w:rFonts w:ascii="Times New Roman" w:hAnsi="Times New Roman" w:cs="Times New Roman"/>
        </w:rPr>
      </w:pPr>
      <w:r w:rsidRPr="00E85423">
        <w:rPr>
          <w:rFonts w:ascii="Times New Roman" w:hAnsi="Times New Roman" w:cs="Times New Roman"/>
        </w:rPr>
        <w:t xml:space="preserve">A Regulação Responsiva já é adotada no Brasil em alguns casos. Boa parte das Agências Reguladoras federais adotam – de uma forma ou outra – formas de Regulação Responsiva, principalmente em seu aspecto de regulação </w:t>
      </w:r>
      <w:r w:rsidRPr="00E85423">
        <w:rPr>
          <w:rFonts w:ascii="Times New Roman" w:hAnsi="Times New Roman" w:cs="Times New Roman"/>
          <w:i/>
          <w:iCs/>
        </w:rPr>
        <w:t xml:space="preserve">a posteriori. </w:t>
      </w:r>
      <w:r w:rsidRPr="00E85423">
        <w:rPr>
          <w:rFonts w:ascii="Times New Roman" w:hAnsi="Times New Roman" w:cs="Times New Roman"/>
        </w:rPr>
        <w:t xml:space="preserve">Tem-se, por exemplo, a adoção de Termos de Ajustamento de Condutas como formas de substituição da aplicação de penalidades </w:t>
      </w:r>
      <w:r w:rsidRPr="00E85423">
        <w:rPr>
          <w:rFonts w:ascii="Times New Roman" w:hAnsi="Times New Roman" w:cs="Times New Roman"/>
        </w:rPr>
        <w:lastRenderedPageBreak/>
        <w:t>pecuniárias por várias das Agências federais. Por meio desses acordos, o regulado pode se comprometer com ações de reparação dos danos causados por suas condutas infracionais</w:t>
      </w:r>
      <w:r w:rsidRPr="00E85423">
        <w:rPr>
          <w:rFonts w:ascii="Times New Roman" w:hAnsi="Times New Roman" w:cs="Times New Roman"/>
          <w:vertAlign w:val="superscript"/>
        </w:rPr>
        <w:footnoteReference w:id="11"/>
      </w:r>
      <w:r w:rsidRPr="00E85423">
        <w:rPr>
          <w:rFonts w:ascii="Times New Roman" w:hAnsi="Times New Roman" w:cs="Times New Roman"/>
        </w:rPr>
        <w:t>. </w:t>
      </w:r>
    </w:p>
    <w:p w14:paraId="06DABF68" w14:textId="77777777" w:rsidR="00E85423" w:rsidRPr="00E85423" w:rsidRDefault="00E85423" w:rsidP="00E85423">
      <w:pPr>
        <w:spacing w:after="0" w:line="360" w:lineRule="auto"/>
        <w:ind w:firstLine="709"/>
        <w:jc w:val="both"/>
        <w:rPr>
          <w:rFonts w:ascii="Times New Roman" w:hAnsi="Times New Roman" w:cs="Times New Roman"/>
        </w:rPr>
      </w:pPr>
      <w:r w:rsidRPr="00E85423">
        <w:rPr>
          <w:rFonts w:ascii="Times New Roman" w:hAnsi="Times New Roman" w:cs="Times New Roman"/>
        </w:rPr>
        <w:t>Outras, por sua vez, adotam expressamente a Regulação Responsiva, como no caso da ANAC:</w:t>
      </w:r>
    </w:p>
    <w:p w14:paraId="10EDBAB9" w14:textId="77777777" w:rsidR="00E85423" w:rsidRPr="00E85423" w:rsidRDefault="00E85423" w:rsidP="00E85423">
      <w:pPr>
        <w:spacing w:after="0"/>
        <w:ind w:firstLine="709"/>
        <w:jc w:val="both"/>
        <w:rPr>
          <w:rFonts w:ascii="Times New Roman" w:hAnsi="Times New Roman" w:cs="Times New Roman"/>
        </w:rPr>
      </w:pPr>
    </w:p>
    <w:p w14:paraId="0B20F8B1" w14:textId="77777777" w:rsidR="00E85423" w:rsidRPr="00E85423" w:rsidRDefault="00E85423" w:rsidP="00E85423">
      <w:pPr>
        <w:spacing w:after="0" w:line="240" w:lineRule="auto"/>
        <w:ind w:left="2268"/>
        <w:jc w:val="both"/>
        <w:rPr>
          <w:rFonts w:ascii="Times New Roman" w:hAnsi="Times New Roman" w:cs="Times New Roman"/>
          <w:sz w:val="20"/>
          <w:szCs w:val="20"/>
        </w:rPr>
      </w:pPr>
      <w:r w:rsidRPr="00E85423">
        <w:rPr>
          <w:rFonts w:ascii="Times New Roman" w:hAnsi="Times New Roman" w:cs="Times New Roman"/>
          <w:sz w:val="20"/>
          <w:szCs w:val="20"/>
        </w:rPr>
        <w:t>A regulação responsiva é uma alternativa ao modelo regulatório baseado essencialmente em punições, conhecido como comando e controle.  O comando e controle, quando exclusivamente adotado, encontra limitações, já que não existem incentivos para que o regulado cumpra voluntariamente os requisitos postos pelo regulador. Além disso, as multas, as suspensões e as cassações tendem a ser excessivamente pesadas, tanto para o regulador quanto para o regulado que demonstra um histórico de colaboração e comprometimento com os objetivos regulatórios.  </w:t>
      </w:r>
    </w:p>
    <w:p w14:paraId="6853A005" w14:textId="353A2E3E" w:rsidR="00E85423" w:rsidRPr="00E85423" w:rsidRDefault="00A72904" w:rsidP="00E85423">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w:t>
      </w:r>
      <w:r w:rsidR="00E85423" w:rsidRPr="00E85423">
        <w:rPr>
          <w:rFonts w:ascii="Times New Roman" w:hAnsi="Times New Roman" w:cs="Times New Roman"/>
          <w:sz w:val="20"/>
          <w:szCs w:val="20"/>
        </w:rPr>
        <w:t>O Projeto propõe, dessa forma, que a ANAC repense o seu atual modelo de regulação para utilizar ferramentas de comando e controle somente quando estritamente necessário. O foco passará a ser o estabelecimento de incentivos, a prevenção e a conformidade regulatória, e não o sancionatório. Com o uso adequado de instrumentos de persuasão e penalidades, espera-se que a regulação da aviação civil se torne mais efetiva com resultados positivos para o ambiente regulado e para a sociedade</w:t>
      </w:r>
      <w:r w:rsidR="00E85423" w:rsidRPr="00E85423">
        <w:rPr>
          <w:rFonts w:ascii="Times New Roman" w:hAnsi="Times New Roman" w:cs="Times New Roman"/>
          <w:sz w:val="20"/>
          <w:szCs w:val="20"/>
          <w:vertAlign w:val="superscript"/>
        </w:rPr>
        <w:footnoteReference w:id="12"/>
      </w:r>
      <w:r w:rsidR="00E85423" w:rsidRPr="00E85423">
        <w:rPr>
          <w:rFonts w:ascii="Times New Roman" w:hAnsi="Times New Roman" w:cs="Times New Roman"/>
          <w:sz w:val="20"/>
          <w:szCs w:val="20"/>
        </w:rPr>
        <w:t>.</w:t>
      </w:r>
    </w:p>
    <w:p w14:paraId="6B2EDCCB" w14:textId="77777777" w:rsidR="00E85423" w:rsidRPr="00E85423" w:rsidRDefault="00E85423" w:rsidP="00E85423">
      <w:pPr>
        <w:spacing w:after="0"/>
        <w:ind w:firstLine="709"/>
        <w:jc w:val="both"/>
        <w:rPr>
          <w:rFonts w:ascii="Times New Roman" w:hAnsi="Times New Roman" w:cs="Times New Roman"/>
        </w:rPr>
      </w:pPr>
    </w:p>
    <w:p w14:paraId="7FD9570C" w14:textId="77777777" w:rsidR="00E85423" w:rsidRPr="00E85423" w:rsidRDefault="00E85423" w:rsidP="00E85423">
      <w:pPr>
        <w:spacing w:after="0" w:line="360" w:lineRule="auto"/>
        <w:ind w:firstLine="709"/>
        <w:jc w:val="both"/>
        <w:rPr>
          <w:rFonts w:ascii="Times New Roman" w:hAnsi="Times New Roman" w:cs="Times New Roman"/>
        </w:rPr>
      </w:pPr>
      <w:r w:rsidRPr="00E85423">
        <w:rPr>
          <w:rFonts w:ascii="Times New Roman" w:hAnsi="Times New Roman" w:cs="Times New Roman"/>
        </w:rPr>
        <w:t>Nesse sentido, a Agência pretende adotar um modelo regulatório que contemple incentivos, prevenção e a conformidade regulatória, e não o sancionatório. Com o uso adequado de instrumentos de persuasão e penalidades, espera-se que a regulação da aviação civil se torne mais efetiva com resultados positivos para o ambiente regulado e para a sociedade</w:t>
      </w:r>
      <w:r w:rsidRPr="00E85423">
        <w:rPr>
          <w:rFonts w:ascii="Times New Roman" w:hAnsi="Times New Roman" w:cs="Times New Roman"/>
          <w:vertAlign w:val="superscript"/>
        </w:rPr>
        <w:footnoteReference w:id="13"/>
      </w:r>
      <w:r w:rsidRPr="00E85423">
        <w:rPr>
          <w:rFonts w:ascii="Times New Roman" w:hAnsi="Times New Roman" w:cs="Times New Roman"/>
        </w:rPr>
        <w:t>.</w:t>
      </w:r>
    </w:p>
    <w:p w14:paraId="4FED5893" w14:textId="5722B5C0" w:rsidR="00E85423" w:rsidRPr="00E85423" w:rsidRDefault="00E85423" w:rsidP="00E85423">
      <w:pPr>
        <w:spacing w:after="0" w:line="360" w:lineRule="auto"/>
        <w:ind w:firstLine="709"/>
        <w:jc w:val="both"/>
        <w:rPr>
          <w:rFonts w:ascii="Times New Roman" w:hAnsi="Times New Roman" w:cs="Times New Roman"/>
        </w:rPr>
      </w:pPr>
      <w:r w:rsidRPr="00E85423">
        <w:rPr>
          <w:rFonts w:ascii="Times New Roman" w:hAnsi="Times New Roman" w:cs="Times New Roman"/>
        </w:rPr>
        <w:t>Uma decisão de 2017 do Tribunal de Contas da União, em seu acórdão 1970/2017, de relatoria do Ministro Aroldo Cedraz, solicitou às Agências Reguladoras o esclarecimento quanto à correlação entre as multas aplicadas e a melhoria de efetividade dos serviços públicos, demonstrando que as sanções não podem ser um fim em si mesmas.</w:t>
      </w:r>
    </w:p>
    <w:p w14:paraId="5F6BEAEC" w14:textId="2D58A42A" w:rsidR="00E85423" w:rsidRPr="00E85423" w:rsidRDefault="00E85423" w:rsidP="00E85423">
      <w:pPr>
        <w:spacing w:after="0" w:line="360" w:lineRule="auto"/>
        <w:ind w:firstLine="709"/>
        <w:jc w:val="both"/>
        <w:rPr>
          <w:rFonts w:ascii="Times New Roman" w:hAnsi="Times New Roman" w:cs="Times New Roman"/>
        </w:rPr>
      </w:pPr>
      <w:r w:rsidRPr="00E85423">
        <w:rPr>
          <w:rFonts w:ascii="Times New Roman" w:hAnsi="Times New Roman" w:cs="Times New Roman"/>
        </w:rPr>
        <w:t>E, na mesma linha, o Acórdão 1970/2017, do TCU, determin</w:t>
      </w:r>
      <w:r w:rsidR="00C13EBF">
        <w:rPr>
          <w:rFonts w:ascii="Times New Roman" w:hAnsi="Times New Roman" w:cs="Times New Roman"/>
        </w:rPr>
        <w:t>ou</w:t>
      </w:r>
      <w:r w:rsidRPr="00E85423">
        <w:rPr>
          <w:rFonts w:ascii="Times New Roman" w:hAnsi="Times New Roman" w:cs="Times New Roman"/>
        </w:rPr>
        <w:t xml:space="preserve"> a necessidade de demonstração, pela Agência Reguladora, da correlação entre multa aplicada e o aumento da eficiência da prestação de serviços.  </w:t>
      </w:r>
    </w:p>
    <w:p w14:paraId="4A2052AD" w14:textId="77777777" w:rsidR="00E85423" w:rsidRPr="00E85423" w:rsidRDefault="00E85423" w:rsidP="00E85423">
      <w:pPr>
        <w:spacing w:after="0" w:line="360" w:lineRule="auto"/>
        <w:ind w:firstLine="709"/>
        <w:jc w:val="both"/>
        <w:rPr>
          <w:rFonts w:ascii="Times New Roman" w:hAnsi="Times New Roman" w:cs="Times New Roman"/>
        </w:rPr>
      </w:pPr>
      <w:r w:rsidRPr="00E85423">
        <w:rPr>
          <w:rFonts w:ascii="Times New Roman" w:hAnsi="Times New Roman" w:cs="Times New Roman"/>
        </w:rPr>
        <w:lastRenderedPageBreak/>
        <w:t xml:space="preserve">Demonstra-se, portanto, que a legislação – assim como as instituições – tem caminhado rumo a um modelo mais responsivo, com base em incentivos aos regulados para persuasão de comportamentos, em detrimento de um modelo mais prescritivo e dissuasivo, que busca na penalidade apenas o </w:t>
      </w:r>
      <w:proofErr w:type="spellStart"/>
      <w:r w:rsidRPr="00E85423">
        <w:rPr>
          <w:rFonts w:ascii="Times New Roman" w:hAnsi="Times New Roman" w:cs="Times New Roman"/>
          <w:i/>
          <w:iCs/>
        </w:rPr>
        <w:t>enforcement</w:t>
      </w:r>
      <w:proofErr w:type="spellEnd"/>
      <w:r w:rsidRPr="00E85423">
        <w:rPr>
          <w:rFonts w:ascii="Times New Roman" w:hAnsi="Times New Roman" w:cs="Times New Roman"/>
        </w:rPr>
        <w:t xml:space="preserve"> de suas regras. </w:t>
      </w:r>
    </w:p>
    <w:p w14:paraId="551082C0" w14:textId="77777777" w:rsidR="00E85423" w:rsidRPr="00E85423" w:rsidRDefault="00E85423" w:rsidP="00E85423">
      <w:pPr>
        <w:spacing w:after="0" w:line="360" w:lineRule="auto"/>
        <w:ind w:firstLine="709"/>
        <w:jc w:val="both"/>
        <w:rPr>
          <w:rFonts w:ascii="Times New Roman" w:hAnsi="Times New Roman" w:cs="Times New Roman"/>
        </w:rPr>
      </w:pPr>
      <w:r w:rsidRPr="00E85423">
        <w:rPr>
          <w:rFonts w:ascii="Times New Roman" w:hAnsi="Times New Roman" w:cs="Times New Roman"/>
        </w:rPr>
        <w:t xml:space="preserve">Portanto, no que tange ao segundo aspecto da Regulação Responsiva – a substituição de sanções por medidas de maior efetividade e eficiência – nota-se uma internalização pela doutrina. Mas, no que diz respeito ao primeiro aspecto – do uso de incentivos, ainda é incipiente a doutrina brasileira. </w:t>
      </w:r>
    </w:p>
    <w:p w14:paraId="7574D9A9" w14:textId="77777777" w:rsidR="00E85423" w:rsidRPr="00E85423" w:rsidRDefault="00E85423" w:rsidP="00E85423">
      <w:pPr>
        <w:spacing w:after="0" w:line="360" w:lineRule="auto"/>
        <w:ind w:firstLine="709"/>
        <w:jc w:val="both"/>
        <w:rPr>
          <w:rFonts w:ascii="Times New Roman" w:hAnsi="Times New Roman" w:cs="Times New Roman"/>
        </w:rPr>
      </w:pPr>
      <w:r w:rsidRPr="00E85423">
        <w:rPr>
          <w:rFonts w:ascii="Times New Roman" w:hAnsi="Times New Roman" w:cs="Times New Roman"/>
        </w:rPr>
        <w:t xml:space="preserve">Entende-se que esses incentivos podem advir tanto das hipóteses de substituição de sanção por correção dessas irregularidades, quanto de mecanismos simples de incentivos. No caso, por exemplo de uma concessão de serviço público, a sanção </w:t>
      </w:r>
      <w:proofErr w:type="spellStart"/>
      <w:r w:rsidRPr="00E85423">
        <w:rPr>
          <w:rFonts w:ascii="Times New Roman" w:hAnsi="Times New Roman" w:cs="Times New Roman"/>
        </w:rPr>
        <w:t>premial</w:t>
      </w:r>
      <w:proofErr w:type="spellEnd"/>
      <w:r w:rsidRPr="00E85423">
        <w:rPr>
          <w:rFonts w:ascii="Times New Roman" w:hAnsi="Times New Roman" w:cs="Times New Roman"/>
        </w:rPr>
        <w:t xml:space="preserve"> pode significar um aumento de arrecadação, uma extensão do prazo contratual (que, ao final, implica em aumento de arrecadação), um benefício não obrigatoriamente definido em contrato, dentre outras formas.</w:t>
      </w:r>
    </w:p>
    <w:p w14:paraId="1ECF2766" w14:textId="77777777" w:rsidR="00E85423" w:rsidRPr="00E85423" w:rsidRDefault="00E85423" w:rsidP="00E85423">
      <w:pPr>
        <w:spacing w:after="0" w:line="360" w:lineRule="auto"/>
        <w:ind w:firstLine="709"/>
        <w:jc w:val="both"/>
        <w:rPr>
          <w:rFonts w:ascii="Times New Roman" w:hAnsi="Times New Roman" w:cs="Times New Roman"/>
        </w:rPr>
      </w:pPr>
      <w:r w:rsidRPr="00E85423">
        <w:rPr>
          <w:rFonts w:ascii="Times New Roman" w:hAnsi="Times New Roman" w:cs="Times New Roman"/>
        </w:rPr>
        <w:t xml:space="preserve">Importa considerar que as sanções premiais não podem ser confundidas com a aplicação de fatores de desempenho ou contratos por performance. Isso porque o “prêmio” advém justamente da execução de atividades e serviços para além das obrigações contratuais. </w:t>
      </w:r>
    </w:p>
    <w:p w14:paraId="0C274967" w14:textId="77777777" w:rsidR="00E85423" w:rsidRPr="00E85423" w:rsidRDefault="00E85423" w:rsidP="00E85423">
      <w:pPr>
        <w:spacing w:after="0" w:line="360" w:lineRule="auto"/>
        <w:ind w:firstLine="709"/>
        <w:jc w:val="both"/>
        <w:rPr>
          <w:rFonts w:ascii="Times New Roman" w:hAnsi="Times New Roman" w:cs="Times New Roman"/>
        </w:rPr>
      </w:pPr>
      <w:r w:rsidRPr="00E85423">
        <w:rPr>
          <w:rFonts w:ascii="Times New Roman" w:hAnsi="Times New Roman" w:cs="Times New Roman"/>
        </w:rPr>
        <w:t xml:space="preserve">Existem exemplos de contratações que se utilizam de mecanismos de Regulação Responsiva, tanto no Brasil como no direito estrangeiro, e que podem ser estudadas com intuito de fornecer materiais para a busca pela eficiência no caso da prestação de serviços públicos concedida. </w:t>
      </w:r>
    </w:p>
    <w:p w14:paraId="5A37A39F" w14:textId="51406C30" w:rsidR="00E85423" w:rsidRPr="00E85423" w:rsidRDefault="00E85423" w:rsidP="00E85423">
      <w:pPr>
        <w:spacing w:after="0" w:line="360" w:lineRule="auto"/>
        <w:ind w:firstLine="709"/>
        <w:jc w:val="both"/>
        <w:rPr>
          <w:rFonts w:ascii="Times New Roman" w:hAnsi="Times New Roman" w:cs="Times New Roman"/>
        </w:rPr>
      </w:pPr>
      <w:r w:rsidRPr="00E85423">
        <w:rPr>
          <w:rFonts w:ascii="Times New Roman" w:hAnsi="Times New Roman" w:cs="Times New Roman"/>
        </w:rPr>
        <w:t xml:space="preserve">O que se pretende, neste estudo é a análise da viabilidade da inclusão de mecanismos como os já utilizados e outros, </w:t>
      </w:r>
      <w:r w:rsidR="00F13F32" w:rsidRPr="00E85423">
        <w:rPr>
          <w:rFonts w:ascii="Times New Roman" w:hAnsi="Times New Roman" w:cs="Times New Roman"/>
        </w:rPr>
        <w:t>fundada</w:t>
      </w:r>
      <w:r w:rsidRPr="00E85423">
        <w:rPr>
          <w:rFonts w:ascii="Times New Roman" w:hAnsi="Times New Roman" w:cs="Times New Roman"/>
        </w:rPr>
        <w:t xml:space="preserve"> em comparações com o direito estrangeiro, nas políticas públicas de delegação da prestação de serviços públicos. </w:t>
      </w:r>
    </w:p>
    <w:p w14:paraId="0078C71C" w14:textId="77777777" w:rsidR="00E85423" w:rsidRPr="00B300EE" w:rsidRDefault="00E85423" w:rsidP="00B300EE">
      <w:pPr>
        <w:spacing w:after="0"/>
        <w:ind w:firstLine="709"/>
        <w:jc w:val="both"/>
        <w:rPr>
          <w:rFonts w:ascii="Times New Roman" w:hAnsi="Times New Roman" w:cs="Times New Roman"/>
        </w:rPr>
      </w:pPr>
    </w:p>
    <w:p w14:paraId="6FACEDE7" w14:textId="2B629396" w:rsidR="00462D97" w:rsidRPr="00B300EE" w:rsidRDefault="008F7522" w:rsidP="008F7522">
      <w:pPr>
        <w:pStyle w:val="Ttulo1"/>
      </w:pPr>
      <w:r w:rsidRPr="00B300EE">
        <w:t>4. DESENVOLVIMENTO</w:t>
      </w:r>
    </w:p>
    <w:p w14:paraId="69D0AA34" w14:textId="22DFDC34" w:rsidR="00462D97" w:rsidRPr="00B300EE" w:rsidRDefault="00F5619C" w:rsidP="00462D97">
      <w:pPr>
        <w:spacing w:after="0" w:line="360" w:lineRule="auto"/>
        <w:ind w:firstLine="709"/>
        <w:jc w:val="both"/>
        <w:rPr>
          <w:rFonts w:ascii="Times New Roman" w:hAnsi="Times New Roman" w:cs="Times New Roman"/>
        </w:rPr>
      </w:pPr>
      <w:r>
        <w:rPr>
          <w:rFonts w:ascii="Times New Roman" w:hAnsi="Times New Roman" w:cs="Times New Roman"/>
        </w:rPr>
        <w:t>Esta pesquisa</w:t>
      </w:r>
      <w:r w:rsidR="00462D97" w:rsidRPr="00B300EE">
        <w:rPr>
          <w:rFonts w:ascii="Times New Roman" w:hAnsi="Times New Roman" w:cs="Times New Roman"/>
        </w:rPr>
        <w:t xml:space="preserve"> </w:t>
      </w:r>
      <w:r>
        <w:rPr>
          <w:rFonts w:ascii="Times New Roman" w:hAnsi="Times New Roman" w:cs="Times New Roman"/>
        </w:rPr>
        <w:t>tem</w:t>
      </w:r>
      <w:r w:rsidR="00462D97" w:rsidRPr="00B300EE">
        <w:rPr>
          <w:rFonts w:ascii="Times New Roman" w:hAnsi="Times New Roman" w:cs="Times New Roman"/>
        </w:rPr>
        <w:t xml:space="preserve"> por finalidade a análise: (i) normas regulatórias de entidades reguladoras infranacionais</w:t>
      </w:r>
      <w:r>
        <w:rPr>
          <w:rFonts w:ascii="Times New Roman" w:hAnsi="Times New Roman" w:cs="Times New Roman"/>
        </w:rPr>
        <w:t xml:space="preserve"> do setor de saneamento básico</w:t>
      </w:r>
      <w:r w:rsidR="00462D97" w:rsidRPr="00B300EE">
        <w:rPr>
          <w:rFonts w:ascii="Times New Roman" w:hAnsi="Times New Roman" w:cs="Times New Roman"/>
        </w:rPr>
        <w:t xml:space="preserve">, que disciplinem as penalidades, buscando elementos de sanção </w:t>
      </w:r>
      <w:proofErr w:type="spellStart"/>
      <w:r w:rsidR="00462D97" w:rsidRPr="00B300EE">
        <w:rPr>
          <w:rFonts w:ascii="Times New Roman" w:hAnsi="Times New Roman" w:cs="Times New Roman"/>
        </w:rPr>
        <w:t>premial</w:t>
      </w:r>
      <w:proofErr w:type="spellEnd"/>
      <w:r w:rsidR="00462D97" w:rsidRPr="00B300EE">
        <w:rPr>
          <w:rFonts w:ascii="Times New Roman" w:hAnsi="Times New Roman" w:cs="Times New Roman"/>
        </w:rPr>
        <w:t xml:space="preserve"> que nelas possam estar inseridos; e (</w:t>
      </w:r>
      <w:proofErr w:type="spellStart"/>
      <w:r w:rsidR="00462D97" w:rsidRPr="00B300EE">
        <w:rPr>
          <w:rFonts w:ascii="Times New Roman" w:hAnsi="Times New Roman" w:cs="Times New Roman"/>
        </w:rPr>
        <w:t>ii</w:t>
      </w:r>
      <w:proofErr w:type="spellEnd"/>
      <w:r w:rsidR="00462D97" w:rsidRPr="00B300EE">
        <w:rPr>
          <w:rFonts w:ascii="Times New Roman" w:hAnsi="Times New Roman" w:cs="Times New Roman"/>
        </w:rPr>
        <w:t xml:space="preserve">) o contrato de concessão firmado entre a Sabesp e os Municípios da URAE-1, para a prestação de serviços de abastecimento de água e de esgotamento sanitário que antecederam a desestatização da Companhia, justamente por seu caráter de relevância nacional. </w:t>
      </w:r>
    </w:p>
    <w:p w14:paraId="051E6DC7"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Ao final, pretende-se que o cotejo dessas informações permita corroborar com a resposta à pergunta de pesquisa, que se sintetiza por: é possível a inclusão de mecanismos de incentivo em contratos de concessão de saneamento básico em busca de maior eficiência?</w:t>
      </w:r>
    </w:p>
    <w:p w14:paraId="7B661972" w14:textId="77777777" w:rsidR="00462D97" w:rsidRPr="00B300EE" w:rsidRDefault="00462D97" w:rsidP="00462D97">
      <w:pPr>
        <w:spacing w:after="0" w:line="360" w:lineRule="auto"/>
        <w:ind w:firstLine="709"/>
        <w:jc w:val="both"/>
        <w:rPr>
          <w:rFonts w:ascii="Times New Roman" w:hAnsi="Times New Roman" w:cs="Times New Roman"/>
        </w:rPr>
      </w:pPr>
    </w:p>
    <w:p w14:paraId="2E62E80B" w14:textId="15EA96AE" w:rsidR="00055279" w:rsidRPr="00B300EE" w:rsidRDefault="008F7522" w:rsidP="008F7522">
      <w:pPr>
        <w:pStyle w:val="Ttulo2"/>
      </w:pPr>
      <w:r w:rsidRPr="00B300EE">
        <w:t xml:space="preserve">4.1. </w:t>
      </w:r>
      <w:r w:rsidR="00462D97" w:rsidRPr="00B300EE">
        <w:tab/>
        <w:t xml:space="preserve"> </w:t>
      </w:r>
      <w:r w:rsidR="00055279" w:rsidRPr="00B300EE">
        <w:t>Resultados parciais</w:t>
      </w:r>
      <w:r w:rsidR="00147409" w:rsidRPr="00B300EE">
        <w:t xml:space="preserve"> e achados de pesquisa</w:t>
      </w:r>
    </w:p>
    <w:p w14:paraId="31BC6F10" w14:textId="7B1C5127" w:rsidR="005C5853" w:rsidRDefault="00055279" w:rsidP="00055279">
      <w:pPr>
        <w:pStyle w:val="Ttulo3"/>
      </w:pPr>
      <w:r w:rsidRPr="00B300EE">
        <w:t xml:space="preserve">4.1.1. </w:t>
      </w:r>
      <w:r w:rsidR="005C5853">
        <w:t>Mecanism</w:t>
      </w:r>
      <w:r w:rsidR="00FC5E45">
        <w:t>o</w:t>
      </w:r>
      <w:r w:rsidR="005C5853">
        <w:t xml:space="preserve">s de </w:t>
      </w:r>
      <w:r w:rsidR="00FC5E45">
        <w:t>incentivo em disposições contratuais</w:t>
      </w:r>
      <w:r w:rsidR="00037952">
        <w:t xml:space="preserve"> </w:t>
      </w:r>
    </w:p>
    <w:p w14:paraId="396E88E7" w14:textId="7E322452" w:rsidR="00037952" w:rsidRDefault="00037952" w:rsidP="00037952">
      <w:pPr>
        <w:spacing w:after="0" w:line="360" w:lineRule="auto"/>
        <w:ind w:firstLine="709"/>
        <w:jc w:val="both"/>
        <w:rPr>
          <w:rFonts w:ascii="Times New Roman" w:hAnsi="Times New Roman" w:cs="Times New Roman"/>
        </w:rPr>
      </w:pPr>
      <w:r>
        <w:rPr>
          <w:rFonts w:ascii="Times New Roman" w:hAnsi="Times New Roman" w:cs="Times New Roman"/>
        </w:rPr>
        <w:t xml:space="preserve">As buscas da pesquisa levaram a instrumentos já utilizados como forma de indução comportamental do contratado em prol da eficiência, </w:t>
      </w:r>
      <w:r w:rsidR="00E74BE8">
        <w:rPr>
          <w:rFonts w:ascii="Times New Roman" w:hAnsi="Times New Roman" w:cs="Times New Roman"/>
        </w:rPr>
        <w:t>principalmente no setor de transportes. Isso porque o modelo regulatório</w:t>
      </w:r>
      <w:r w:rsidR="00694790">
        <w:rPr>
          <w:rFonts w:ascii="Times New Roman" w:hAnsi="Times New Roman" w:cs="Times New Roman"/>
        </w:rPr>
        <w:t xml:space="preserve"> contratual</w:t>
      </w:r>
      <w:r w:rsidR="00E74BE8">
        <w:rPr>
          <w:rFonts w:ascii="Times New Roman" w:hAnsi="Times New Roman" w:cs="Times New Roman"/>
        </w:rPr>
        <w:t xml:space="preserve"> é mais dir</w:t>
      </w:r>
      <w:r w:rsidR="00D83080">
        <w:rPr>
          <w:rFonts w:ascii="Times New Roman" w:hAnsi="Times New Roman" w:cs="Times New Roman"/>
        </w:rPr>
        <w:t xml:space="preserve">eto. </w:t>
      </w:r>
    </w:p>
    <w:p w14:paraId="5333A187" w14:textId="0AA2FC5C" w:rsidR="00522D52" w:rsidRPr="00037952" w:rsidRDefault="00522D52" w:rsidP="00037952">
      <w:pPr>
        <w:spacing w:after="0" w:line="360" w:lineRule="auto"/>
        <w:ind w:firstLine="709"/>
        <w:jc w:val="both"/>
        <w:rPr>
          <w:rFonts w:ascii="Times New Roman" w:hAnsi="Times New Roman" w:cs="Times New Roman"/>
        </w:rPr>
      </w:pPr>
      <w:r w:rsidRPr="00037952">
        <w:rPr>
          <w:rFonts w:ascii="Times New Roman" w:hAnsi="Times New Roman" w:cs="Times New Roman"/>
        </w:rPr>
        <w:t>No caso das rodovias federais, mecanismos já foram adotados para incentivar a prestação de melhores serviços. Não se trata de incentivos para a realização dos serviços contratualmente previstos, mas sim excedentes de qualidade.</w:t>
      </w:r>
      <w:r w:rsidR="00694790">
        <w:rPr>
          <w:rFonts w:ascii="Times New Roman" w:hAnsi="Times New Roman" w:cs="Times New Roman"/>
        </w:rPr>
        <w:t xml:space="preserve"> </w:t>
      </w:r>
      <w:r w:rsidRPr="00037952">
        <w:rPr>
          <w:rFonts w:ascii="Times New Roman" w:hAnsi="Times New Roman" w:cs="Times New Roman"/>
        </w:rPr>
        <w:t>Como exemplo, um contrato de concessão do Programa de Rodovias Federais, da Terceira Etapa, firmado em 2013, prevê:</w:t>
      </w:r>
    </w:p>
    <w:p w14:paraId="7EC88CEF" w14:textId="29B802AE" w:rsidR="00522D52" w:rsidRPr="00037952" w:rsidRDefault="00522D52" w:rsidP="00FC0FCA">
      <w:pPr>
        <w:spacing w:after="0" w:line="240" w:lineRule="auto"/>
        <w:ind w:left="2268"/>
        <w:jc w:val="both"/>
        <w:rPr>
          <w:rFonts w:ascii="Times New Roman" w:hAnsi="Times New Roman" w:cs="Times New Roman"/>
        </w:rPr>
      </w:pPr>
      <w:r w:rsidRPr="00FC0FCA">
        <w:rPr>
          <w:rFonts w:ascii="Times New Roman" w:hAnsi="Times New Roman" w:cs="Times New Roman"/>
          <w:sz w:val="20"/>
          <w:szCs w:val="20"/>
        </w:rPr>
        <w:t>Acréscimo de Reequilíbrio: percentual que será incrementado na Tarifa Básica de Pedágio na forma da subcláusula 22.6, com vistas a manutenção da equivalência contratual entre os serviços prestados e a sua remuneração, em função da antecipação de Obras de Ampliação de Capacidade e Melhorias, tal como previsto no PER e no Anexo 5, mediante a aplicação do Fator D</w:t>
      </w:r>
      <w:r w:rsidR="00694790">
        <w:rPr>
          <w:rStyle w:val="Refdenotaderodap"/>
          <w:rFonts w:ascii="Times New Roman" w:hAnsi="Times New Roman" w:cs="Times New Roman"/>
          <w:sz w:val="20"/>
          <w:szCs w:val="20"/>
        </w:rPr>
        <w:footnoteReference w:id="14"/>
      </w:r>
      <w:r w:rsidRPr="00FC0FCA">
        <w:rPr>
          <w:rFonts w:ascii="Times New Roman" w:hAnsi="Times New Roman" w:cs="Times New Roman"/>
          <w:sz w:val="20"/>
          <w:szCs w:val="20"/>
        </w:rPr>
        <w:t xml:space="preserve"> </w:t>
      </w:r>
      <w:r w:rsidRPr="00037952">
        <w:rPr>
          <w:rFonts w:ascii="Times New Roman" w:hAnsi="Times New Roman" w:cs="Times New Roman"/>
        </w:rPr>
        <w:t>.</w:t>
      </w:r>
    </w:p>
    <w:p w14:paraId="6ED3A54E" w14:textId="77777777" w:rsidR="00522D52" w:rsidRPr="00037952" w:rsidRDefault="00522D52" w:rsidP="00037952">
      <w:pPr>
        <w:spacing w:after="0" w:line="360" w:lineRule="auto"/>
        <w:ind w:firstLine="709"/>
        <w:jc w:val="both"/>
        <w:rPr>
          <w:rFonts w:ascii="Times New Roman" w:hAnsi="Times New Roman" w:cs="Times New Roman"/>
        </w:rPr>
      </w:pPr>
    </w:p>
    <w:p w14:paraId="4879A489" w14:textId="77777777" w:rsidR="00522D52" w:rsidRPr="00037952" w:rsidRDefault="00522D52" w:rsidP="00037952">
      <w:pPr>
        <w:spacing w:after="0" w:line="360" w:lineRule="auto"/>
        <w:ind w:firstLine="709"/>
        <w:jc w:val="both"/>
        <w:rPr>
          <w:rFonts w:ascii="Times New Roman" w:hAnsi="Times New Roman" w:cs="Times New Roman"/>
        </w:rPr>
      </w:pPr>
      <w:r w:rsidRPr="00037952">
        <w:rPr>
          <w:rFonts w:ascii="Times New Roman" w:hAnsi="Times New Roman" w:cs="Times New Roman"/>
        </w:rPr>
        <w:t xml:space="preserve">Ou seja, no caso de a concessionária executar investimentos que componham as chamadas Obras de Ampliação de Capacidade e Melhorias, caberá a aplicação de um incrementador tarifário. Em regra, a concessionária poderia aumentar a receita recebida quando a prestação de serviços fosse além das obrigações contratuais mínimas da prestação de serviços adequada. </w:t>
      </w:r>
    </w:p>
    <w:p w14:paraId="7DA9F7B4" w14:textId="33071C57" w:rsidR="00522D52" w:rsidRPr="00037952" w:rsidRDefault="00522D52" w:rsidP="00037952">
      <w:pPr>
        <w:spacing w:after="0" w:line="360" w:lineRule="auto"/>
        <w:ind w:firstLine="709"/>
        <w:jc w:val="both"/>
        <w:rPr>
          <w:rFonts w:ascii="Times New Roman" w:hAnsi="Times New Roman" w:cs="Times New Roman"/>
        </w:rPr>
      </w:pPr>
      <w:r w:rsidRPr="00037952">
        <w:rPr>
          <w:rFonts w:ascii="Times New Roman" w:hAnsi="Times New Roman" w:cs="Times New Roman"/>
        </w:rPr>
        <w:t xml:space="preserve">O instituto </w:t>
      </w:r>
      <w:r w:rsidR="009A1C1B">
        <w:rPr>
          <w:rFonts w:ascii="Times New Roman" w:hAnsi="Times New Roman" w:cs="Times New Roman"/>
        </w:rPr>
        <w:t>se assemelha a</w:t>
      </w:r>
      <w:r w:rsidRPr="00037952">
        <w:rPr>
          <w:rFonts w:ascii="Times New Roman" w:hAnsi="Times New Roman" w:cs="Times New Roman"/>
        </w:rPr>
        <w:t>os incentivos de Regulação Responsiva, ainda que aplicado a instrumentos contratuais, mas deve-se considerar que as Obras de Ampliação de Capacidade e Melhorias são, de certa forma, uma obrigação da concessionária, no limite que é uma obrigação a apresentação e planos e projetos para seu desenvolvimento em até quatro meses da assinatura do instrumento contratual, nos termos da cláusula 6.10. do contrato; e, caso a concessionária não cumpra com esse plano e demais determinações contratuais, poderá sofrer a aplicação de fatores de desconto de reequilíbrio no valor da tarifa, além de eventuais penalidades previstas no contrato, nos termos de sua cláusula 10.3.4.</w:t>
      </w:r>
    </w:p>
    <w:p w14:paraId="7C90AFB8" w14:textId="77777777" w:rsidR="00522D52" w:rsidRPr="00037952" w:rsidRDefault="00522D52" w:rsidP="00037952">
      <w:pPr>
        <w:spacing w:after="0" w:line="360" w:lineRule="auto"/>
        <w:ind w:firstLine="709"/>
        <w:jc w:val="both"/>
        <w:rPr>
          <w:rFonts w:ascii="Times New Roman" w:hAnsi="Times New Roman" w:cs="Times New Roman"/>
        </w:rPr>
      </w:pPr>
      <w:r w:rsidRPr="00037952">
        <w:rPr>
          <w:rFonts w:ascii="Times New Roman" w:hAnsi="Times New Roman" w:cs="Times New Roman"/>
        </w:rPr>
        <w:t xml:space="preserve">Não se trata estritamente de um mecanismo de incentivo para que a prestação de serviços ultrapasse o limite da prestação de serviços adequada, como uma sanção </w:t>
      </w:r>
      <w:proofErr w:type="spellStart"/>
      <w:r w:rsidRPr="00037952">
        <w:rPr>
          <w:rFonts w:ascii="Times New Roman" w:hAnsi="Times New Roman" w:cs="Times New Roman"/>
        </w:rPr>
        <w:t>premial</w:t>
      </w:r>
      <w:proofErr w:type="spellEnd"/>
      <w:r w:rsidRPr="00037952">
        <w:rPr>
          <w:rFonts w:ascii="Times New Roman" w:hAnsi="Times New Roman" w:cs="Times New Roman"/>
        </w:rPr>
        <w:t xml:space="preserve">, mas sim de uma segregação das obrigações contratuais, de forma que esses investimentos específicos não </w:t>
      </w:r>
      <w:r w:rsidRPr="00037952">
        <w:rPr>
          <w:rFonts w:ascii="Times New Roman" w:hAnsi="Times New Roman" w:cs="Times New Roman"/>
        </w:rPr>
        <w:lastRenderedPageBreak/>
        <w:t xml:space="preserve">sejam prioritários, visto que condicionados a uma determinada ampliação de volume de demanda ou a uma determinação do Poder Concedente. </w:t>
      </w:r>
    </w:p>
    <w:p w14:paraId="3E1288DB" w14:textId="1217322A" w:rsidR="00037952" w:rsidRDefault="00522D52" w:rsidP="00037952">
      <w:pPr>
        <w:spacing w:after="0" w:line="360" w:lineRule="auto"/>
        <w:ind w:firstLine="709"/>
        <w:jc w:val="both"/>
        <w:rPr>
          <w:rFonts w:ascii="Times New Roman" w:hAnsi="Times New Roman" w:cs="Times New Roman"/>
        </w:rPr>
      </w:pPr>
      <w:r w:rsidRPr="00037952">
        <w:rPr>
          <w:rFonts w:ascii="Times New Roman" w:hAnsi="Times New Roman" w:cs="Times New Roman"/>
        </w:rPr>
        <w:t xml:space="preserve">Mas, demonstra a possibilidade de aplicação dos “acréscimos de reequilíbrio” que podem eventualmente ser adotados nas contratações de concessões, em busca de induzir comportamentos </w:t>
      </w:r>
      <w:r w:rsidR="009A1C1B" w:rsidRPr="00037952">
        <w:rPr>
          <w:rFonts w:ascii="Times New Roman" w:hAnsi="Times New Roman" w:cs="Times New Roman"/>
        </w:rPr>
        <w:t>positivos</w:t>
      </w:r>
      <w:r w:rsidRPr="00037952">
        <w:rPr>
          <w:rFonts w:ascii="Times New Roman" w:hAnsi="Times New Roman" w:cs="Times New Roman"/>
        </w:rPr>
        <w:t xml:space="preserve"> das concessionárias, incentivadas pela geração de receita decorrente adimplemento “a maior”, em detrimento da mera punição pelo inadimplemento. Até porque o adimplemento adicional significa agregar uma melhoria dos serviços prestados, enquanto a punição se limita aos serviços já previstos. </w:t>
      </w:r>
    </w:p>
    <w:p w14:paraId="4A96E3DE" w14:textId="2CC8A40A"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Assim como realizada a pesquisa em contratos nacionais que pudessem ter incorporado de alguma forma esse aspecto de incentivo da Regulação Responsiva, pretendeu-se também a busca por contratos internacionais que o fizessem, </w:t>
      </w:r>
      <w:r w:rsidR="009A1C1B">
        <w:rPr>
          <w:rFonts w:ascii="Times New Roman" w:hAnsi="Times New Roman" w:cs="Times New Roman"/>
        </w:rPr>
        <w:t>tendo já sido obtidos os seguintes resultados:</w:t>
      </w:r>
    </w:p>
    <w:p w14:paraId="19B089A7" w14:textId="77777777" w:rsidR="00FC0FCA" w:rsidRPr="00FC0FCA" w:rsidRDefault="00FC0FCA" w:rsidP="00FC0FCA">
      <w:pPr>
        <w:spacing w:after="0" w:line="360" w:lineRule="auto"/>
        <w:ind w:firstLine="709"/>
        <w:jc w:val="both"/>
        <w:rPr>
          <w:rFonts w:ascii="Times New Roman" w:hAnsi="Times New Roman" w:cs="Times New Roman"/>
        </w:rPr>
      </w:pPr>
    </w:p>
    <w:p w14:paraId="249D8284" w14:textId="4E76F707" w:rsidR="00FC0FCA" w:rsidRPr="00FC0FCA" w:rsidRDefault="009A1C1B" w:rsidP="009A1C1B">
      <w:pPr>
        <w:pStyle w:val="Ttulo4"/>
        <w:rPr>
          <w:lang w:val="en-US"/>
        </w:rPr>
      </w:pPr>
      <w:r w:rsidRPr="009A1C1B">
        <w:rPr>
          <w:lang w:val="en-US"/>
        </w:rPr>
        <w:t>4.</w:t>
      </w:r>
      <w:r>
        <w:rPr>
          <w:lang w:val="en-US"/>
        </w:rPr>
        <w:t>1.1.</w:t>
      </w:r>
      <w:r w:rsidR="00982483">
        <w:rPr>
          <w:lang w:val="en-US"/>
        </w:rPr>
        <w:t>1.</w:t>
      </w:r>
      <w:r w:rsidR="00FC0FCA" w:rsidRPr="009A1C1B">
        <w:rPr>
          <w:lang w:val="en-US"/>
        </w:rPr>
        <w:t xml:space="preserve"> </w:t>
      </w:r>
      <w:r w:rsidR="00FC0FCA" w:rsidRPr="00FC0FCA">
        <w:rPr>
          <w:lang w:val="en-US"/>
        </w:rPr>
        <w:t>Capital Beltway HOT Lane – Virgínia, 2017</w:t>
      </w:r>
    </w:p>
    <w:p w14:paraId="49A4DA4B"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Nesse caso, trata-se de uma concessão de rodovia de alta velocidade. Mencionada em um relatório sobre indicadores de desempenho elaborado pela Federal Highway </w:t>
      </w:r>
      <w:proofErr w:type="spellStart"/>
      <w:r w:rsidRPr="00FC0FCA">
        <w:rPr>
          <w:rFonts w:ascii="Times New Roman" w:hAnsi="Times New Roman" w:cs="Times New Roman"/>
        </w:rPr>
        <w:t>Administration</w:t>
      </w:r>
      <w:proofErr w:type="spellEnd"/>
      <w:r w:rsidRPr="00FC0FCA">
        <w:rPr>
          <w:rFonts w:ascii="Times New Roman" w:hAnsi="Times New Roman" w:cs="Times New Roman"/>
        </w:rPr>
        <w:t xml:space="preserve"> (FHWA), um órgão do departamento de transportes do Governo Federal americano, é utilizada como exemplo de concessão com remuneração por aplicação intensa de indicadores de desempenho, tanto negativos – que seriam equivalentes às sanções – quanto positivos – que seriam equivalentes às sanções premiais. </w:t>
      </w:r>
    </w:p>
    <w:p w14:paraId="7C76DA82"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Os incentivos utilizados são positivos e negativos, sendo estes últimos aparentemente mais prevalentes. De maneira geral, os incentivos positivos estão mais associados ao desempenho geral do contratado, enquanto os incentivos negativos estão mais relacionados à conformidade com requisitos específicos de serviço ou ativos. Alguns projetos incluem uma forte ênfase em incentivos para resultados, como recompensar a disponibilidade de faixas de viagem. Penalidades e deduções de pagamento também são incluídas, mas o contrato enfatiza recompensas pelo desempenho acima dos mínimos negociados.</w:t>
      </w:r>
    </w:p>
    <w:p w14:paraId="76A9990C"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Por exemplo, a Agência de Rodovias tem se movido em direção ao uso de incentivos para alinhar o contratado de PPP com os objetivos gerais da agência. A intenção geral dos KPIs no PPP do M25 é incentivar o contratado a exceder as condições mínimas de segurança, condição e confiabilidade. Como descrito anteriormente, os três resultados-chave que o departamento busca são estradas seguras, viagens confiáveis e viajantes informados. Os incentivos estão ligados à realização desses resultados estratégicos.</w:t>
      </w:r>
    </w:p>
    <w:p w14:paraId="636149E2" w14:textId="0F6CF22C"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Embora a Agência de Rodovias tenha avançado em direção ao uso de incentivos positivos, a maioria dos estudos de caso mostrou a aplicação de incentivos negativos. A </w:t>
      </w:r>
      <w:proofErr w:type="spellStart"/>
      <w:r w:rsidRPr="00FC0FCA">
        <w:rPr>
          <w:rFonts w:ascii="Times New Roman" w:hAnsi="Times New Roman" w:cs="Times New Roman"/>
        </w:rPr>
        <w:t>A</w:t>
      </w:r>
      <w:proofErr w:type="spellEnd"/>
      <w:r w:rsidRPr="00FC0FCA">
        <w:rPr>
          <w:rFonts w:ascii="Times New Roman" w:hAnsi="Times New Roman" w:cs="Times New Roman"/>
        </w:rPr>
        <w:t xml:space="preserve"> </w:t>
      </w:r>
      <w:r w:rsidRPr="00FC0FCA">
        <w:rPr>
          <w:rFonts w:ascii="Times New Roman" w:hAnsi="Times New Roman" w:cs="Times New Roman"/>
        </w:rPr>
        <w:lastRenderedPageBreak/>
        <w:t>acumulação de pontos de desempenho resulta nos incentivos negativos de aumento de monitoramento pelo departamento, desenvolvimento de um plano de remediação a ser submetido ao departamento ou ações legais mais sérias.</w:t>
      </w:r>
      <w:r w:rsidRPr="00FC0FCA">
        <w:rPr>
          <w:rFonts w:ascii="Times New Roman" w:hAnsi="Times New Roman" w:cs="Times New Roman"/>
          <w:vertAlign w:val="superscript"/>
          <w:lang w:val="en-US"/>
        </w:rPr>
        <w:footnoteReference w:id="15"/>
      </w:r>
      <w:r w:rsidRPr="00FC0FCA">
        <w:rPr>
          <w:rFonts w:ascii="Times New Roman" w:hAnsi="Times New Roman" w:cs="Times New Roman"/>
        </w:rPr>
        <w:t>. (p. 85)</w:t>
      </w:r>
    </w:p>
    <w:p w14:paraId="3DD9A15C"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Nota-se, portanto, que, embora os incentivos positivos não sejam a regra dos contratos de concessão, são mecanismos utilizados e que podem ser </w:t>
      </w:r>
      <w:proofErr w:type="gramStart"/>
      <w:r w:rsidRPr="00FC0FCA">
        <w:rPr>
          <w:rFonts w:ascii="Times New Roman" w:hAnsi="Times New Roman" w:cs="Times New Roman"/>
        </w:rPr>
        <w:t>melhor</w:t>
      </w:r>
      <w:proofErr w:type="gramEnd"/>
      <w:r w:rsidRPr="00FC0FCA">
        <w:rPr>
          <w:rFonts w:ascii="Times New Roman" w:hAnsi="Times New Roman" w:cs="Times New Roman"/>
        </w:rPr>
        <w:t xml:space="preserve"> explorados. </w:t>
      </w:r>
    </w:p>
    <w:p w14:paraId="61100D3A"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No caso dessa concessão específica, o art. 19 do instrumento de contrato prevê o que denomina por “remédios”, que são medidas a serem tomadas em caso de descumprimento de contrato, dentre eles: </w:t>
      </w:r>
    </w:p>
    <w:p w14:paraId="3FD85CDC" w14:textId="77777777" w:rsidR="00FC0FCA" w:rsidRPr="00FC0FCA" w:rsidRDefault="00FC0FCA" w:rsidP="00FC0FCA">
      <w:pPr>
        <w:numPr>
          <w:ilvl w:val="0"/>
          <w:numId w:val="4"/>
        </w:numPr>
        <w:spacing w:after="0" w:line="360" w:lineRule="auto"/>
        <w:jc w:val="both"/>
        <w:rPr>
          <w:rFonts w:ascii="Times New Roman" w:hAnsi="Times New Roman" w:cs="Times New Roman"/>
        </w:rPr>
      </w:pPr>
      <w:r w:rsidRPr="00FC0FCA">
        <w:rPr>
          <w:rFonts w:ascii="Times New Roman" w:hAnsi="Times New Roman" w:cs="Times New Roman"/>
        </w:rPr>
        <w:t>Término da concessão;</w:t>
      </w:r>
    </w:p>
    <w:p w14:paraId="6A6F4840" w14:textId="77777777" w:rsidR="00FC0FCA" w:rsidRPr="00FC0FCA" w:rsidRDefault="00FC0FCA" w:rsidP="00FC0FCA">
      <w:pPr>
        <w:numPr>
          <w:ilvl w:val="0"/>
          <w:numId w:val="4"/>
        </w:numPr>
        <w:spacing w:after="0" w:line="360" w:lineRule="auto"/>
        <w:jc w:val="both"/>
        <w:rPr>
          <w:rFonts w:ascii="Times New Roman" w:hAnsi="Times New Roman" w:cs="Times New Roman"/>
        </w:rPr>
      </w:pPr>
      <w:r w:rsidRPr="00FC0FCA">
        <w:rPr>
          <w:rFonts w:ascii="Times New Roman" w:hAnsi="Times New Roman" w:cs="Times New Roman"/>
        </w:rPr>
        <w:t>Pagamento das dívidas da concessionária pelo Poder Concedente, com restituição com juros pela concessionária;</w:t>
      </w:r>
    </w:p>
    <w:p w14:paraId="4A33A168" w14:textId="77777777" w:rsidR="00FC0FCA" w:rsidRPr="00FC0FCA" w:rsidRDefault="00FC0FCA" w:rsidP="00FC0FCA">
      <w:pPr>
        <w:numPr>
          <w:ilvl w:val="0"/>
          <w:numId w:val="4"/>
        </w:numPr>
        <w:spacing w:after="0" w:line="360" w:lineRule="auto"/>
        <w:jc w:val="both"/>
        <w:rPr>
          <w:rFonts w:ascii="Times New Roman" w:hAnsi="Times New Roman" w:cs="Times New Roman"/>
        </w:rPr>
      </w:pPr>
      <w:r w:rsidRPr="00FC0FCA">
        <w:rPr>
          <w:rFonts w:ascii="Times New Roman" w:hAnsi="Times New Roman" w:cs="Times New Roman"/>
        </w:rPr>
        <w:t xml:space="preserve">Correção da falha pelo Poder Concedente, com posterior reembolso pela concessionária; </w:t>
      </w:r>
    </w:p>
    <w:p w14:paraId="39C3EAAC" w14:textId="77777777" w:rsidR="00FC0FCA" w:rsidRPr="00FC0FCA" w:rsidRDefault="00FC0FCA" w:rsidP="00FC0FCA">
      <w:pPr>
        <w:numPr>
          <w:ilvl w:val="0"/>
          <w:numId w:val="4"/>
        </w:numPr>
        <w:spacing w:after="0" w:line="360" w:lineRule="auto"/>
        <w:jc w:val="both"/>
        <w:rPr>
          <w:rFonts w:ascii="Times New Roman" w:hAnsi="Times New Roman" w:cs="Times New Roman"/>
        </w:rPr>
      </w:pPr>
      <w:r w:rsidRPr="00FC0FCA">
        <w:rPr>
          <w:rFonts w:ascii="Times New Roman" w:hAnsi="Times New Roman" w:cs="Times New Roman"/>
        </w:rPr>
        <w:t xml:space="preserve">Aumento de monitoramento e fiscalização por parte do Poder Concedente, a ser custeado pela concessionária; e </w:t>
      </w:r>
    </w:p>
    <w:p w14:paraId="2C0EA4CC" w14:textId="77777777" w:rsidR="00FC0FCA" w:rsidRPr="00FC0FCA" w:rsidRDefault="00FC0FCA" w:rsidP="00FC0FCA">
      <w:pPr>
        <w:numPr>
          <w:ilvl w:val="0"/>
          <w:numId w:val="4"/>
        </w:numPr>
        <w:spacing w:after="0" w:line="360" w:lineRule="auto"/>
        <w:jc w:val="both"/>
        <w:rPr>
          <w:rFonts w:ascii="Times New Roman" w:hAnsi="Times New Roman" w:cs="Times New Roman"/>
        </w:rPr>
      </w:pPr>
      <w:r w:rsidRPr="00FC0FCA">
        <w:rPr>
          <w:rFonts w:ascii="Times New Roman" w:hAnsi="Times New Roman" w:cs="Times New Roman"/>
        </w:rPr>
        <w:t xml:space="preserve">Uso do </w:t>
      </w:r>
      <w:r w:rsidRPr="00FC0FCA">
        <w:rPr>
          <w:rFonts w:ascii="Times New Roman" w:hAnsi="Times New Roman" w:cs="Times New Roman"/>
          <w:i/>
          <w:iCs/>
        </w:rPr>
        <w:t xml:space="preserve">step in </w:t>
      </w:r>
      <w:proofErr w:type="spellStart"/>
      <w:r w:rsidRPr="00FC0FCA">
        <w:rPr>
          <w:rFonts w:ascii="Times New Roman" w:hAnsi="Times New Roman" w:cs="Times New Roman"/>
          <w:i/>
          <w:iCs/>
        </w:rPr>
        <w:t>rights</w:t>
      </w:r>
      <w:proofErr w:type="spellEnd"/>
      <w:r w:rsidRPr="00FC0FCA">
        <w:rPr>
          <w:rFonts w:ascii="Times New Roman" w:hAnsi="Times New Roman" w:cs="Times New Roman"/>
        </w:rPr>
        <w:t xml:space="preserve"> pelo Poder Concedente, em espécie de intervenção</w:t>
      </w:r>
      <w:r w:rsidRPr="00FC0FCA">
        <w:rPr>
          <w:rFonts w:ascii="Times New Roman" w:hAnsi="Times New Roman" w:cs="Times New Roman"/>
          <w:vertAlign w:val="superscript"/>
        </w:rPr>
        <w:footnoteReference w:id="16"/>
      </w:r>
      <w:r w:rsidRPr="00FC0FCA">
        <w:rPr>
          <w:rFonts w:ascii="Times New Roman" w:hAnsi="Times New Roman" w:cs="Times New Roman"/>
        </w:rPr>
        <w:t>.</w:t>
      </w:r>
    </w:p>
    <w:p w14:paraId="48D4F78E" w14:textId="77777777" w:rsidR="00FC0FCA" w:rsidRPr="00FC0FCA" w:rsidRDefault="00FC0FCA" w:rsidP="00FC0FCA">
      <w:pPr>
        <w:spacing w:after="0" w:line="360" w:lineRule="auto"/>
        <w:ind w:firstLine="709"/>
        <w:jc w:val="both"/>
        <w:rPr>
          <w:rFonts w:ascii="Times New Roman" w:hAnsi="Times New Roman" w:cs="Times New Roman"/>
        </w:rPr>
      </w:pPr>
    </w:p>
    <w:p w14:paraId="2D29ED6F"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Embora não sejam todos esses remédios incentivos propriamente ditos, há remédios que não se equiparam a medidas punitivas e pecuniárias, como a ampliação da frequência de fiscalização e monitoramento de qualidade pelo Poder Concedente, ainda que implique um ônus financeiro para a concessionária, já que deverá reembolsar o Poder Concedente pelos gastos com o incremento de fiscalização. </w:t>
      </w:r>
    </w:p>
    <w:p w14:paraId="3C8695EA" w14:textId="77777777" w:rsidR="00FC0FCA" w:rsidRPr="00FC0FCA" w:rsidRDefault="00FC0FCA" w:rsidP="00FC0FCA">
      <w:pPr>
        <w:spacing w:after="0" w:line="360" w:lineRule="auto"/>
        <w:ind w:firstLine="709"/>
        <w:jc w:val="both"/>
        <w:rPr>
          <w:rFonts w:ascii="Times New Roman" w:hAnsi="Times New Roman" w:cs="Times New Roman"/>
        </w:rPr>
      </w:pPr>
    </w:p>
    <w:p w14:paraId="1231FCA4" w14:textId="69F9B988" w:rsidR="00FC0FCA" w:rsidRPr="00FC0FCA" w:rsidRDefault="007D796E" w:rsidP="007D796E">
      <w:pPr>
        <w:pStyle w:val="Ttulo4"/>
      </w:pPr>
      <w:r>
        <w:t>4.1.1.2.</w:t>
      </w:r>
      <w:r w:rsidR="00FC0FCA" w:rsidRPr="00FC0FCA">
        <w:t xml:space="preserve"> </w:t>
      </w:r>
      <w:proofErr w:type="spellStart"/>
      <w:r w:rsidR="00FC0FCA" w:rsidRPr="00FC0FCA">
        <w:t>Mincham-Frankston</w:t>
      </w:r>
      <w:proofErr w:type="spellEnd"/>
      <w:r w:rsidR="00FC0FCA" w:rsidRPr="00FC0FCA">
        <w:t xml:space="preserve"> </w:t>
      </w:r>
      <w:proofErr w:type="spellStart"/>
      <w:r w:rsidR="00FC0FCA" w:rsidRPr="00FC0FCA">
        <w:t>Freway</w:t>
      </w:r>
      <w:proofErr w:type="spellEnd"/>
      <w:r w:rsidR="00FC0FCA" w:rsidRPr="00FC0FCA">
        <w:t xml:space="preserve"> – Vitoria, Australia</w:t>
      </w:r>
    </w:p>
    <w:p w14:paraId="22B5CFC2"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Trata-se de uma concessão de rodovia australiana com mecanismo de controle de qualidade da prestação de serviços por meio de KPI (Key-Performance </w:t>
      </w:r>
      <w:proofErr w:type="spellStart"/>
      <w:r w:rsidRPr="00FC0FCA">
        <w:rPr>
          <w:rFonts w:ascii="Times New Roman" w:hAnsi="Times New Roman" w:cs="Times New Roman"/>
        </w:rPr>
        <w:t>Indicators</w:t>
      </w:r>
      <w:proofErr w:type="spellEnd"/>
      <w:r w:rsidRPr="00FC0FCA">
        <w:rPr>
          <w:rFonts w:ascii="Times New Roman" w:hAnsi="Times New Roman" w:cs="Times New Roman"/>
        </w:rPr>
        <w:t xml:space="preserve">) em cinco eixos: serviços ao consumidor, condições da rodovia, manutenção da paisagem e arquitetura, precisão do pedágio e meio ambiente. </w:t>
      </w:r>
    </w:p>
    <w:p w14:paraId="33F01773"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lastRenderedPageBreak/>
        <w:t xml:space="preserve">A concessionária acumula KPI Points que, se passarem do limite anual são convertidos em KPI </w:t>
      </w:r>
      <w:proofErr w:type="spellStart"/>
      <w:r w:rsidRPr="00FC0FCA">
        <w:rPr>
          <w:rFonts w:ascii="Times New Roman" w:hAnsi="Times New Roman" w:cs="Times New Roman"/>
        </w:rPr>
        <w:t>Credits</w:t>
      </w:r>
      <w:proofErr w:type="spellEnd"/>
      <w:r w:rsidRPr="00FC0FCA">
        <w:rPr>
          <w:rFonts w:ascii="Times New Roman" w:hAnsi="Times New Roman" w:cs="Times New Roman"/>
        </w:rPr>
        <w:t>, que são verdadeiros créditos devidos pela concessionária aos usuários pela prestação de serviços ineficiente, com limite entre 5 e 15 milhões de dólares australianos. O próprio contrato elenca usuários elegíveis a essa compensação</w:t>
      </w:r>
      <w:r w:rsidRPr="00FC0FCA">
        <w:rPr>
          <w:rFonts w:ascii="Times New Roman" w:hAnsi="Times New Roman" w:cs="Times New Roman"/>
          <w:vertAlign w:val="superscript"/>
        </w:rPr>
        <w:footnoteReference w:id="17"/>
      </w:r>
      <w:r w:rsidRPr="00FC0FCA">
        <w:rPr>
          <w:rFonts w:ascii="Times New Roman" w:hAnsi="Times New Roman" w:cs="Times New Roman"/>
        </w:rPr>
        <w:t xml:space="preserve">. </w:t>
      </w:r>
    </w:p>
    <w:p w14:paraId="1CC065AE"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E, ainda que não sejam cumpridas as obrigações a partir desses incentivos, é possível que a concessionária seja obrigada a ampliar as garantias do contrato, de forma a prezar pela eficiência da prestação de serviços.</w:t>
      </w:r>
    </w:p>
    <w:p w14:paraId="1C0981F4"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Nesse caso, entende-se que, embora o efeito seja similar ao da aplicação de multas, há um direcionamento de receitas ao usuário, especificamente, e, além disso, chama-se a atenção para a possibilidade de ampliação de garantias como forma de previsibilidade, o que remete a alguns princípios de Regulação Responsiva.</w:t>
      </w:r>
    </w:p>
    <w:p w14:paraId="33CB3AE5" w14:textId="77777777" w:rsidR="00FC0FCA" w:rsidRPr="00FC0FCA" w:rsidRDefault="00FC0FCA" w:rsidP="00FC0FCA">
      <w:pPr>
        <w:spacing w:after="0" w:line="360" w:lineRule="auto"/>
        <w:ind w:firstLine="709"/>
        <w:jc w:val="both"/>
        <w:rPr>
          <w:rFonts w:ascii="Times New Roman" w:hAnsi="Times New Roman" w:cs="Times New Roman"/>
        </w:rPr>
      </w:pPr>
    </w:p>
    <w:p w14:paraId="169F2116" w14:textId="7A635077" w:rsidR="00FC0FCA" w:rsidRPr="00FC0FCA" w:rsidRDefault="00FC0FCA" w:rsidP="007D796E">
      <w:pPr>
        <w:pStyle w:val="Ttulo4"/>
      </w:pPr>
      <w:r w:rsidRPr="00FC0FCA">
        <w:t xml:space="preserve"> </w:t>
      </w:r>
      <w:r w:rsidR="007D796E">
        <w:t xml:space="preserve">4.1.1.3. </w:t>
      </w:r>
      <w:proofErr w:type="spellStart"/>
      <w:r w:rsidRPr="00FC0FCA">
        <w:t>Airport</w:t>
      </w:r>
      <w:proofErr w:type="spellEnd"/>
      <w:r w:rsidRPr="00FC0FCA">
        <w:t xml:space="preserve"> Link – Queensland, Austrália</w:t>
      </w:r>
    </w:p>
    <w:p w14:paraId="71C4FDD0"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Nesse caso, tem-se o mesmo mecanismo de KPI-</w:t>
      </w:r>
      <w:proofErr w:type="spellStart"/>
      <w:r w:rsidRPr="00FC0FCA">
        <w:rPr>
          <w:rFonts w:ascii="Times New Roman" w:hAnsi="Times New Roman" w:cs="Times New Roman"/>
        </w:rPr>
        <w:t>Credits</w:t>
      </w:r>
      <w:proofErr w:type="spellEnd"/>
      <w:r w:rsidRPr="00FC0FCA">
        <w:rPr>
          <w:rFonts w:ascii="Times New Roman" w:hAnsi="Times New Roman" w:cs="Times New Roman"/>
        </w:rPr>
        <w:t xml:space="preserve"> do contrato anterior. </w:t>
      </w:r>
    </w:p>
    <w:p w14:paraId="0E5ED121"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19.15 Indicadores-Chave de Desempenho</w:t>
      </w:r>
    </w:p>
    <w:p w14:paraId="66898D97"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 xml:space="preserve">(a) (Objetivos): Os objetivos dos indicadores-chave de desempenho ("KPIs") estabelecidos no Anexo 17 são medir o desempenho da empresa PPP conforme este contrato. A TQ </w:t>
      </w:r>
      <w:proofErr w:type="spellStart"/>
      <w:r w:rsidRPr="00FC0FCA">
        <w:rPr>
          <w:rFonts w:ascii="Times New Roman" w:hAnsi="Times New Roman" w:cs="Times New Roman"/>
          <w:sz w:val="20"/>
          <w:szCs w:val="20"/>
        </w:rPr>
        <w:t>Operations</w:t>
      </w:r>
      <w:proofErr w:type="spellEnd"/>
      <w:r w:rsidRPr="00FC0FCA">
        <w:rPr>
          <w:rFonts w:ascii="Times New Roman" w:hAnsi="Times New Roman" w:cs="Times New Roman"/>
          <w:sz w:val="20"/>
          <w:szCs w:val="20"/>
        </w:rPr>
        <w:t xml:space="preserve"> estabelecerá um sistema para registrar e relatar o desempenho da empresa PPP em relação aos Padrões de Referência dos KPIs ("Sistema de Avaliação de KPIs").</w:t>
      </w:r>
    </w:p>
    <w:p w14:paraId="4609D94F"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(Alcance do Padrão de Referência do KPI):</w:t>
      </w:r>
    </w:p>
    <w:p w14:paraId="02E2846B"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 xml:space="preserve">(i) A TQ </w:t>
      </w:r>
      <w:proofErr w:type="spellStart"/>
      <w:r w:rsidRPr="00FC0FCA">
        <w:rPr>
          <w:rFonts w:ascii="Times New Roman" w:hAnsi="Times New Roman" w:cs="Times New Roman"/>
          <w:sz w:val="20"/>
          <w:szCs w:val="20"/>
        </w:rPr>
        <w:t>Operations</w:t>
      </w:r>
      <w:proofErr w:type="spellEnd"/>
      <w:r w:rsidRPr="00FC0FCA">
        <w:rPr>
          <w:rFonts w:ascii="Times New Roman" w:hAnsi="Times New Roman" w:cs="Times New Roman"/>
          <w:sz w:val="20"/>
          <w:szCs w:val="20"/>
        </w:rPr>
        <w:t xml:space="preserve"> deve empregar seus melhores esforços para atender a cada um dos Padrões de Referência dos KPIs.</w:t>
      </w:r>
    </w:p>
    <w:p w14:paraId="46FEB2BF"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w:t>
      </w:r>
      <w:proofErr w:type="spellStart"/>
      <w:r w:rsidRPr="00FC0FCA">
        <w:rPr>
          <w:rFonts w:ascii="Times New Roman" w:hAnsi="Times New Roman" w:cs="Times New Roman"/>
          <w:sz w:val="20"/>
          <w:szCs w:val="20"/>
        </w:rPr>
        <w:t>ii</w:t>
      </w:r>
      <w:proofErr w:type="spellEnd"/>
      <w:r w:rsidRPr="00FC0FCA">
        <w:rPr>
          <w:rFonts w:ascii="Times New Roman" w:hAnsi="Times New Roman" w:cs="Times New Roman"/>
          <w:sz w:val="20"/>
          <w:szCs w:val="20"/>
        </w:rPr>
        <w:t xml:space="preserve">) Se, em qualquer Ano Financeiro, o total de Pontos de Demérito dos KPIs exceder zero (calculado conforme mostrado no Anexo 17), a TQ </w:t>
      </w:r>
      <w:proofErr w:type="spellStart"/>
      <w:r w:rsidRPr="00FC0FCA">
        <w:rPr>
          <w:rFonts w:ascii="Times New Roman" w:hAnsi="Times New Roman" w:cs="Times New Roman"/>
          <w:sz w:val="20"/>
          <w:szCs w:val="20"/>
        </w:rPr>
        <w:t>Operations</w:t>
      </w:r>
      <w:proofErr w:type="spellEnd"/>
      <w:r w:rsidRPr="00FC0FCA">
        <w:rPr>
          <w:rFonts w:ascii="Times New Roman" w:hAnsi="Times New Roman" w:cs="Times New Roman"/>
          <w:sz w:val="20"/>
          <w:szCs w:val="20"/>
        </w:rPr>
        <w:t xml:space="preserve"> deve aplicar o Crédito do KPI aplicável conforme direcionado pelo Estado de acordo com a cláusula 19.15(f).</w:t>
      </w:r>
    </w:p>
    <w:p w14:paraId="341C13DE"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w:t>
      </w:r>
      <w:proofErr w:type="spellStart"/>
      <w:r w:rsidRPr="00FC0FCA">
        <w:rPr>
          <w:rFonts w:ascii="Times New Roman" w:hAnsi="Times New Roman" w:cs="Times New Roman"/>
          <w:sz w:val="20"/>
          <w:szCs w:val="20"/>
        </w:rPr>
        <w:t>iii</w:t>
      </w:r>
      <w:proofErr w:type="spellEnd"/>
      <w:r w:rsidRPr="00FC0FCA">
        <w:rPr>
          <w:rFonts w:ascii="Times New Roman" w:hAnsi="Times New Roman" w:cs="Times New Roman"/>
          <w:sz w:val="20"/>
          <w:szCs w:val="20"/>
        </w:rPr>
        <w:t>) Alguns dos Padrões de Referência dos KPIs refletem os padrões que a empresa PPP deve cumprir em outros lugares conforme estabelecido neste contrato. A obrigação da empresa PPP de atingir esses padrões não é afetada por esta cláusula 19.15 ou pelo Anexo 17. O Padrão de Referência do KPI será revisado conforme estabelecido no Anexo 17.</w:t>
      </w:r>
      <w:r w:rsidRPr="00FC0FCA">
        <w:rPr>
          <w:rFonts w:ascii="Times New Roman" w:hAnsi="Times New Roman" w:cs="Times New Roman"/>
          <w:sz w:val="20"/>
          <w:szCs w:val="20"/>
          <w:vertAlign w:val="superscript"/>
          <w:lang w:val="en-US"/>
        </w:rPr>
        <w:footnoteReference w:id="18"/>
      </w:r>
      <w:r w:rsidRPr="00FC0FCA">
        <w:rPr>
          <w:rFonts w:ascii="Times New Roman" w:hAnsi="Times New Roman" w:cs="Times New Roman"/>
          <w:sz w:val="20"/>
          <w:szCs w:val="20"/>
        </w:rPr>
        <w:t>.</w:t>
      </w:r>
    </w:p>
    <w:p w14:paraId="34330B42" w14:textId="77777777" w:rsidR="00FC0FCA" w:rsidRPr="00FC0FCA" w:rsidRDefault="00FC0FCA" w:rsidP="00FC0FCA">
      <w:pPr>
        <w:spacing w:after="0" w:line="360" w:lineRule="auto"/>
        <w:ind w:firstLine="709"/>
        <w:jc w:val="both"/>
        <w:rPr>
          <w:rFonts w:ascii="Times New Roman" w:hAnsi="Times New Roman" w:cs="Times New Roman"/>
        </w:rPr>
      </w:pPr>
    </w:p>
    <w:p w14:paraId="2543B420"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Mas, nesse caso, ao invés de a concessionária arcar diretamente com o prejuízo dos usuários, o Estado pode optar por outra aplicação de recursos. Uma das formas de aplicação pode ser o desconto nas tarifas, determinação de períodos tarifários gratuitos ou construção de outras infraestruturas. </w:t>
      </w:r>
    </w:p>
    <w:p w14:paraId="3161FE9A" w14:textId="77777777" w:rsidR="00FC0FCA" w:rsidRPr="00FC0FCA" w:rsidRDefault="00FC0FCA" w:rsidP="00FC0FCA">
      <w:pPr>
        <w:spacing w:after="0" w:line="360" w:lineRule="auto"/>
        <w:ind w:firstLine="709"/>
        <w:jc w:val="both"/>
        <w:rPr>
          <w:rFonts w:ascii="Times New Roman" w:hAnsi="Times New Roman" w:cs="Times New Roman"/>
        </w:rPr>
      </w:pPr>
    </w:p>
    <w:p w14:paraId="17711EA8"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rPr>
        <w:lastRenderedPageBreak/>
        <w:t>(f</w:t>
      </w:r>
      <w:r w:rsidRPr="00FC0FCA">
        <w:rPr>
          <w:rFonts w:ascii="Times New Roman" w:hAnsi="Times New Roman" w:cs="Times New Roman"/>
          <w:sz w:val="20"/>
          <w:szCs w:val="20"/>
        </w:rPr>
        <w:t>) (Aplicação dos Créditos do KPI):</w:t>
      </w:r>
    </w:p>
    <w:p w14:paraId="69B1DC29"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(i) Os Créditos do KPI podem ser aplicados pelo Estado para financiar:</w:t>
      </w:r>
    </w:p>
    <w:p w14:paraId="6757F585"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A. Descontos de pedágio para motoristas que usam a Rodovia com Pedágio;</w:t>
      </w:r>
    </w:p>
    <w:p w14:paraId="3472ED59"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B. Períodos sem pedágio para motoristas que usam a Rodovia com Pedágio;</w:t>
      </w:r>
    </w:p>
    <w:p w14:paraId="380836BD"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C. a creditação de quantias nas contas dos Clientes em relação ao uso da Rodovia com Pedágio;</w:t>
      </w:r>
    </w:p>
    <w:p w14:paraId="2E28CE79"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D. infraestrutura comunitária; ou</w:t>
      </w:r>
    </w:p>
    <w:p w14:paraId="6E85BB51"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E. outros fins determinados pelo Estado, desde que o valor de tal iniciativa não exceda os Créditos acumulados do KPI até a data.</w:t>
      </w:r>
    </w:p>
    <w:p w14:paraId="1B6FF795"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w:t>
      </w:r>
      <w:proofErr w:type="spellStart"/>
      <w:r w:rsidRPr="00FC0FCA">
        <w:rPr>
          <w:rFonts w:ascii="Times New Roman" w:hAnsi="Times New Roman" w:cs="Times New Roman"/>
          <w:sz w:val="20"/>
          <w:szCs w:val="20"/>
        </w:rPr>
        <w:t>ii</w:t>
      </w:r>
      <w:proofErr w:type="spellEnd"/>
      <w:r w:rsidRPr="00FC0FCA">
        <w:rPr>
          <w:rFonts w:ascii="Times New Roman" w:hAnsi="Times New Roman" w:cs="Times New Roman"/>
          <w:sz w:val="20"/>
          <w:szCs w:val="20"/>
        </w:rPr>
        <w:t xml:space="preserve">) Se o Estado decidir que quaisquer Créditos do KPI devam ser usados para financiar o pagamento de quantias nas contas dos Clientes, o Estado poderá informar à TQ </w:t>
      </w:r>
      <w:proofErr w:type="spellStart"/>
      <w:r w:rsidRPr="00FC0FCA">
        <w:rPr>
          <w:rFonts w:ascii="Times New Roman" w:hAnsi="Times New Roman" w:cs="Times New Roman"/>
          <w:sz w:val="20"/>
          <w:szCs w:val="20"/>
        </w:rPr>
        <w:t>Operations</w:t>
      </w:r>
      <w:proofErr w:type="spellEnd"/>
      <w:r w:rsidRPr="00FC0FCA">
        <w:rPr>
          <w:rFonts w:ascii="Times New Roman" w:hAnsi="Times New Roman" w:cs="Times New Roman"/>
          <w:sz w:val="20"/>
          <w:szCs w:val="20"/>
        </w:rPr>
        <w:t xml:space="preserve"> a base sobre a qual o Estado exige que os pagamentos sejam calculados.</w:t>
      </w:r>
    </w:p>
    <w:p w14:paraId="3179CAFF"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w:t>
      </w:r>
      <w:proofErr w:type="spellStart"/>
      <w:r w:rsidRPr="00FC0FCA">
        <w:rPr>
          <w:rFonts w:ascii="Times New Roman" w:hAnsi="Times New Roman" w:cs="Times New Roman"/>
          <w:sz w:val="20"/>
          <w:szCs w:val="20"/>
        </w:rPr>
        <w:t>iii</w:t>
      </w:r>
      <w:proofErr w:type="spellEnd"/>
      <w:r w:rsidRPr="00FC0FCA">
        <w:rPr>
          <w:rFonts w:ascii="Times New Roman" w:hAnsi="Times New Roman" w:cs="Times New Roman"/>
          <w:sz w:val="20"/>
          <w:szCs w:val="20"/>
        </w:rPr>
        <w:t xml:space="preserve">) No prazo de 14 dias após receber essa informação, a TQ </w:t>
      </w:r>
      <w:proofErr w:type="spellStart"/>
      <w:r w:rsidRPr="00FC0FCA">
        <w:rPr>
          <w:rFonts w:ascii="Times New Roman" w:hAnsi="Times New Roman" w:cs="Times New Roman"/>
          <w:sz w:val="20"/>
          <w:szCs w:val="20"/>
        </w:rPr>
        <w:t>Operations</w:t>
      </w:r>
      <w:proofErr w:type="spellEnd"/>
      <w:r w:rsidRPr="00FC0FCA">
        <w:rPr>
          <w:rFonts w:ascii="Times New Roman" w:hAnsi="Times New Roman" w:cs="Times New Roman"/>
          <w:sz w:val="20"/>
          <w:szCs w:val="20"/>
        </w:rPr>
        <w:t xml:space="preserve"> fornecerá ao Estado, por escrito:</w:t>
      </w:r>
    </w:p>
    <w:p w14:paraId="286D777F"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A. detalhes completos do valor a ser pago a cada Cliente;</w:t>
      </w:r>
    </w:p>
    <w:p w14:paraId="0A8E1B55"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 xml:space="preserve">B. uma cópia da declaração explicativa que a TQ </w:t>
      </w:r>
      <w:proofErr w:type="spellStart"/>
      <w:r w:rsidRPr="00FC0FCA">
        <w:rPr>
          <w:rFonts w:ascii="Times New Roman" w:hAnsi="Times New Roman" w:cs="Times New Roman"/>
          <w:sz w:val="20"/>
          <w:szCs w:val="20"/>
        </w:rPr>
        <w:t>Operations</w:t>
      </w:r>
      <w:proofErr w:type="spellEnd"/>
      <w:r w:rsidRPr="00FC0FCA">
        <w:rPr>
          <w:rFonts w:ascii="Times New Roman" w:hAnsi="Times New Roman" w:cs="Times New Roman"/>
          <w:sz w:val="20"/>
          <w:szCs w:val="20"/>
        </w:rPr>
        <w:t xml:space="preserve"> propõe fornecer aos Clientes; e</w:t>
      </w:r>
    </w:p>
    <w:p w14:paraId="08BB3757"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 xml:space="preserve">C. detalhes dos procedimentos que a TQ </w:t>
      </w:r>
      <w:proofErr w:type="spellStart"/>
      <w:r w:rsidRPr="00FC0FCA">
        <w:rPr>
          <w:rFonts w:ascii="Times New Roman" w:hAnsi="Times New Roman" w:cs="Times New Roman"/>
          <w:sz w:val="20"/>
          <w:szCs w:val="20"/>
        </w:rPr>
        <w:t>Operations</w:t>
      </w:r>
      <w:proofErr w:type="spellEnd"/>
      <w:r w:rsidRPr="00FC0FCA">
        <w:rPr>
          <w:rFonts w:ascii="Times New Roman" w:hAnsi="Times New Roman" w:cs="Times New Roman"/>
          <w:sz w:val="20"/>
          <w:szCs w:val="20"/>
        </w:rPr>
        <w:t xml:space="preserve"> pretende seguir para pagar esse crédito.</w:t>
      </w:r>
    </w:p>
    <w:p w14:paraId="1146C592"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w:t>
      </w:r>
      <w:proofErr w:type="spellStart"/>
      <w:r w:rsidRPr="00FC0FCA">
        <w:rPr>
          <w:rFonts w:ascii="Times New Roman" w:hAnsi="Times New Roman" w:cs="Times New Roman"/>
          <w:sz w:val="20"/>
          <w:szCs w:val="20"/>
        </w:rPr>
        <w:t>iv</w:t>
      </w:r>
      <w:proofErr w:type="spellEnd"/>
      <w:r w:rsidRPr="00FC0FCA">
        <w:rPr>
          <w:rFonts w:ascii="Times New Roman" w:hAnsi="Times New Roman" w:cs="Times New Roman"/>
          <w:sz w:val="20"/>
          <w:szCs w:val="20"/>
        </w:rPr>
        <w:t xml:space="preserve">) A TQ </w:t>
      </w:r>
      <w:proofErr w:type="spellStart"/>
      <w:r w:rsidRPr="00FC0FCA">
        <w:rPr>
          <w:rFonts w:ascii="Times New Roman" w:hAnsi="Times New Roman" w:cs="Times New Roman"/>
          <w:sz w:val="20"/>
          <w:szCs w:val="20"/>
        </w:rPr>
        <w:t>Operations</w:t>
      </w:r>
      <w:proofErr w:type="spellEnd"/>
      <w:r w:rsidRPr="00FC0FCA">
        <w:rPr>
          <w:rFonts w:ascii="Times New Roman" w:hAnsi="Times New Roman" w:cs="Times New Roman"/>
          <w:sz w:val="20"/>
          <w:szCs w:val="20"/>
        </w:rPr>
        <w:t xml:space="preserve"> deverá efetuar esses pagamentos dentro de 7 dias (ou até a data posterior indicada pelo Estado) após a aprovação dos cálculos de pagamento pelo Estado e outras informações fornecidas ao Estado de acordo com a cláusula 19.15(f)(</w:t>
      </w:r>
      <w:proofErr w:type="spellStart"/>
      <w:r w:rsidRPr="00FC0FCA">
        <w:rPr>
          <w:rFonts w:ascii="Times New Roman" w:hAnsi="Times New Roman" w:cs="Times New Roman"/>
          <w:sz w:val="20"/>
          <w:szCs w:val="20"/>
        </w:rPr>
        <w:t>iii</w:t>
      </w:r>
      <w:proofErr w:type="spellEnd"/>
      <w:r w:rsidRPr="00FC0FCA">
        <w:rPr>
          <w:rFonts w:ascii="Times New Roman" w:hAnsi="Times New Roman" w:cs="Times New Roman"/>
          <w:sz w:val="20"/>
          <w:szCs w:val="20"/>
        </w:rPr>
        <w:t>).</w:t>
      </w:r>
    </w:p>
    <w:p w14:paraId="63163805"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(v) A menos que o Estado determine o contrário, todos os créditos serão pagos na conta que cada Cliente utiliza para pagar pedágios e outras quantias devidas às empresas PPP.</w:t>
      </w:r>
      <w:r w:rsidRPr="00FC0FCA">
        <w:rPr>
          <w:rFonts w:ascii="Times New Roman" w:hAnsi="Times New Roman" w:cs="Times New Roman"/>
          <w:sz w:val="20"/>
          <w:szCs w:val="20"/>
          <w:vertAlign w:val="superscript"/>
        </w:rPr>
        <w:t xml:space="preserve"> </w:t>
      </w:r>
      <w:r w:rsidRPr="00FC0FCA">
        <w:rPr>
          <w:rFonts w:ascii="Times New Roman" w:hAnsi="Times New Roman" w:cs="Times New Roman"/>
          <w:sz w:val="20"/>
          <w:szCs w:val="20"/>
          <w:vertAlign w:val="superscript"/>
          <w:lang w:val="en-US"/>
        </w:rPr>
        <w:footnoteReference w:id="19"/>
      </w:r>
      <w:r w:rsidRPr="00FC0FCA">
        <w:rPr>
          <w:rFonts w:ascii="Times New Roman" w:hAnsi="Times New Roman" w:cs="Times New Roman"/>
          <w:sz w:val="20"/>
          <w:szCs w:val="20"/>
        </w:rPr>
        <w:t>.</w:t>
      </w:r>
    </w:p>
    <w:p w14:paraId="66700AAE" w14:textId="77777777" w:rsidR="00FC0FCA" w:rsidRPr="00FC0FCA" w:rsidRDefault="00FC0FCA" w:rsidP="00FC0FCA">
      <w:pPr>
        <w:spacing w:after="0" w:line="360" w:lineRule="auto"/>
        <w:ind w:firstLine="709"/>
        <w:jc w:val="both"/>
        <w:rPr>
          <w:rFonts w:ascii="Times New Roman" w:hAnsi="Times New Roman" w:cs="Times New Roman"/>
        </w:rPr>
      </w:pPr>
    </w:p>
    <w:p w14:paraId="7356A081"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Demonstra-se a contratualização não necessariamente de incentivos ao cumprimento de obrigações, mas alternativas à simples imposição de multa pecuniária à concessionária. </w:t>
      </w:r>
    </w:p>
    <w:p w14:paraId="5D587943" w14:textId="77777777" w:rsidR="00FC0FCA" w:rsidRPr="00FC0FCA" w:rsidRDefault="00FC0FCA" w:rsidP="00FC0FCA">
      <w:pPr>
        <w:spacing w:after="0" w:line="360" w:lineRule="auto"/>
        <w:ind w:firstLine="709"/>
        <w:jc w:val="both"/>
        <w:rPr>
          <w:rFonts w:ascii="Times New Roman" w:hAnsi="Times New Roman" w:cs="Times New Roman"/>
        </w:rPr>
      </w:pPr>
    </w:p>
    <w:p w14:paraId="2630D7AF" w14:textId="3B77F89E" w:rsidR="00FC0FCA" w:rsidRPr="00FC0FCA" w:rsidRDefault="007D796E" w:rsidP="007D796E">
      <w:pPr>
        <w:pStyle w:val="Ttulo4"/>
      </w:pPr>
      <w:r>
        <w:t xml:space="preserve">4.1.1.4. </w:t>
      </w:r>
      <w:r w:rsidR="00FC0FCA" w:rsidRPr="00FC0FCA">
        <w:t xml:space="preserve"> Concessão rodoviária Madri-Toledo, Espanha</w:t>
      </w:r>
    </w:p>
    <w:p w14:paraId="3ACF0DF8"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Contrato de concessão firmado na década de 2000, que previu um mecanismo de extensão de prazo contratual caso atendidas condições contratuais específicas. </w:t>
      </w:r>
    </w:p>
    <w:p w14:paraId="3457C22E" w14:textId="77777777" w:rsidR="00FC0FCA" w:rsidRPr="00FC0FCA" w:rsidRDefault="00FC0FCA" w:rsidP="00FC0FCA">
      <w:pPr>
        <w:spacing w:after="0" w:line="360" w:lineRule="auto"/>
        <w:ind w:firstLine="709"/>
        <w:jc w:val="both"/>
        <w:rPr>
          <w:rFonts w:ascii="Times New Roman" w:hAnsi="Times New Roman" w:cs="Times New Roman"/>
        </w:rPr>
      </w:pPr>
    </w:p>
    <w:p w14:paraId="25C12572"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Cláusula 25. Indicadores de Gestão e Qualidade.</w:t>
      </w:r>
    </w:p>
    <w:p w14:paraId="7DC64BDF"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a) A concessionária poderá desfrutar de um (1) ano adicional de concessão se cumprir simultaneamente com os critérios de gestão de tráfego a seguir enunciados:</w:t>
      </w:r>
    </w:p>
    <w:p w14:paraId="3B599276"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 xml:space="preserve">1. Que, pelo menos durante 90% do período compreendido entre a entrada em operação da concessão até o trigésimo quinto (35º) ano </w:t>
      </w:r>
      <w:proofErr w:type="gramStart"/>
      <w:r w:rsidRPr="00FC0FCA">
        <w:rPr>
          <w:rFonts w:ascii="Times New Roman" w:hAnsi="Times New Roman" w:cs="Times New Roman"/>
          <w:sz w:val="20"/>
          <w:szCs w:val="20"/>
        </w:rPr>
        <w:t>da mesma</w:t>
      </w:r>
      <w:proofErr w:type="gramEnd"/>
      <w:r w:rsidRPr="00FC0FCA">
        <w:rPr>
          <w:rFonts w:ascii="Times New Roman" w:hAnsi="Times New Roman" w:cs="Times New Roman"/>
          <w:sz w:val="20"/>
          <w:szCs w:val="20"/>
        </w:rPr>
        <w:t>, a percentagem de veículos pesados que circulam pela autoestrada seja de pelo menos 35% dos que circulam no corredor ao qual ela presta serviço. Para este fim, entende-se por corredor a própria autoestrada e as vias alternativas que a seguir se definem: estrada N-401 entre seus elos com a M-40 e a N-403.</w:t>
      </w:r>
    </w:p>
    <w:p w14:paraId="76549ACC" w14:textId="77777777" w:rsidR="00FC0FCA" w:rsidRPr="00FC0FCA" w:rsidRDefault="00FC0FCA" w:rsidP="007D796E">
      <w:pPr>
        <w:spacing w:after="0" w:line="240" w:lineRule="auto"/>
        <w:ind w:left="2268"/>
        <w:jc w:val="both"/>
        <w:rPr>
          <w:rFonts w:ascii="Times New Roman" w:hAnsi="Times New Roman" w:cs="Times New Roman"/>
          <w:sz w:val="20"/>
          <w:szCs w:val="20"/>
        </w:rPr>
      </w:pPr>
      <w:r w:rsidRPr="00FC0FCA">
        <w:rPr>
          <w:rFonts w:ascii="Times New Roman" w:hAnsi="Times New Roman" w:cs="Times New Roman"/>
          <w:sz w:val="20"/>
          <w:szCs w:val="20"/>
        </w:rPr>
        <w:t xml:space="preserve">2. Que pelo menos durante 90% do período compreendido entre a entrada em operação da concessão até o trigésimo quinto (35º) ano </w:t>
      </w:r>
      <w:proofErr w:type="gramStart"/>
      <w:r w:rsidRPr="00FC0FCA">
        <w:rPr>
          <w:rFonts w:ascii="Times New Roman" w:hAnsi="Times New Roman" w:cs="Times New Roman"/>
          <w:sz w:val="20"/>
          <w:szCs w:val="20"/>
        </w:rPr>
        <w:t>da mesma</w:t>
      </w:r>
      <w:proofErr w:type="gramEnd"/>
      <w:r w:rsidRPr="00FC0FCA">
        <w:rPr>
          <w:rFonts w:ascii="Times New Roman" w:hAnsi="Times New Roman" w:cs="Times New Roman"/>
          <w:sz w:val="20"/>
          <w:szCs w:val="20"/>
        </w:rPr>
        <w:t>, a percentagem de veículos pesados que circulam pela autoestrada no horário noturno seja de pelo menos 40% dos que circulam por ela. Para este fim, entende-se por horário noturno o compreendido entre as 22h00 e as 8h00.</w:t>
      </w:r>
      <w:r w:rsidRPr="00FC0FCA">
        <w:rPr>
          <w:rFonts w:ascii="Times New Roman" w:hAnsi="Times New Roman" w:cs="Times New Roman"/>
          <w:sz w:val="20"/>
          <w:szCs w:val="20"/>
          <w:vertAlign w:val="superscript"/>
        </w:rPr>
        <w:footnoteReference w:id="20"/>
      </w:r>
      <w:r w:rsidRPr="00FC0FCA">
        <w:rPr>
          <w:rFonts w:ascii="Times New Roman" w:hAnsi="Times New Roman" w:cs="Times New Roman"/>
          <w:sz w:val="20"/>
          <w:szCs w:val="20"/>
        </w:rPr>
        <w:t>.(...)</w:t>
      </w:r>
    </w:p>
    <w:p w14:paraId="26C36D76" w14:textId="77777777" w:rsidR="00FC0FCA" w:rsidRPr="00FC0FCA" w:rsidRDefault="00FC0FCA" w:rsidP="007D796E">
      <w:pPr>
        <w:spacing w:after="0" w:line="240" w:lineRule="auto"/>
        <w:ind w:left="2268"/>
        <w:jc w:val="both"/>
        <w:rPr>
          <w:rFonts w:ascii="Times New Roman" w:hAnsi="Times New Roman" w:cs="Times New Roman"/>
          <w:sz w:val="20"/>
          <w:szCs w:val="20"/>
        </w:rPr>
      </w:pPr>
    </w:p>
    <w:p w14:paraId="324B0A54"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Nesse caso, tem-se nítido incentivo positivo à concretização de objetivos da política pública, como a redução de circulação de veículos pesados em horário noturno. Adota-se, portanto, uma lógica de Regulação Responsiva ao estabelecer que, havendo um determinado comportamento da concessionária, esta seria beneficiada financeiramente, no caso, por uma extensão de prazo contratual. E, considerando que prazo de exploração da prestação de serviços é equivalente a obtenção de receita, por meio da cobrança tarifária, esse é um benefício direto. </w:t>
      </w:r>
    </w:p>
    <w:p w14:paraId="03D816C8" w14:textId="77777777" w:rsidR="00FC0FCA" w:rsidRPr="00FC0FCA" w:rsidRDefault="00FC0FCA" w:rsidP="00FC0FCA">
      <w:pPr>
        <w:spacing w:after="0" w:line="360" w:lineRule="auto"/>
        <w:ind w:firstLine="709"/>
        <w:jc w:val="both"/>
        <w:rPr>
          <w:rFonts w:ascii="Times New Roman" w:hAnsi="Times New Roman" w:cs="Times New Roman"/>
        </w:rPr>
      </w:pPr>
      <w:r w:rsidRPr="00FC0FCA">
        <w:rPr>
          <w:rFonts w:ascii="Times New Roman" w:hAnsi="Times New Roman" w:cs="Times New Roman"/>
        </w:rPr>
        <w:t xml:space="preserve">Contudo, segundo relatórios posteriormente encontrados, o modelo foi substituído na Espanha por um modelo de incremento tarifário pelo cumprimento de condições contratuais nesse sentido. </w:t>
      </w:r>
    </w:p>
    <w:p w14:paraId="13EE971A" w14:textId="77777777" w:rsidR="00FC0FCA" w:rsidRPr="00FC0FCA" w:rsidRDefault="00FC0FCA" w:rsidP="00FC0FCA">
      <w:pPr>
        <w:spacing w:after="0" w:line="360" w:lineRule="auto"/>
        <w:ind w:firstLine="709"/>
        <w:jc w:val="both"/>
        <w:rPr>
          <w:rFonts w:ascii="Times New Roman" w:hAnsi="Times New Roman" w:cs="Times New Roman"/>
        </w:rPr>
      </w:pPr>
    </w:p>
    <w:p w14:paraId="16EB266C" w14:textId="6B403415" w:rsidR="00462D97" w:rsidRPr="00B300EE" w:rsidRDefault="005C5853" w:rsidP="00055279">
      <w:pPr>
        <w:pStyle w:val="Ttulo3"/>
      </w:pPr>
      <w:r>
        <w:t xml:space="preserve">4.1.2. </w:t>
      </w:r>
      <w:r w:rsidR="00462D97" w:rsidRPr="00B300EE">
        <w:t>Normas regulatórias vigentes</w:t>
      </w:r>
      <w:r>
        <w:t xml:space="preserve"> no setor de saneamento básico</w:t>
      </w:r>
    </w:p>
    <w:p w14:paraId="6FD65622" w14:textId="2CFF7E0D" w:rsidR="002845D0" w:rsidRDefault="002845D0" w:rsidP="00462D97">
      <w:pPr>
        <w:spacing w:after="0" w:line="360" w:lineRule="auto"/>
        <w:ind w:firstLine="709"/>
        <w:jc w:val="both"/>
        <w:rPr>
          <w:rFonts w:ascii="Times New Roman" w:hAnsi="Times New Roman" w:cs="Times New Roman"/>
        </w:rPr>
      </w:pPr>
      <w:r>
        <w:rPr>
          <w:rFonts w:ascii="Times New Roman" w:hAnsi="Times New Roman" w:cs="Times New Roman"/>
        </w:rPr>
        <w:t xml:space="preserve">Examinados exemplos encontrados em contratos de concessão, passa-se à análise do setor de saneamento básico propriamente dito, a começar pelas normas regulatórias vigentes no ordenamento pátrio. </w:t>
      </w:r>
    </w:p>
    <w:p w14:paraId="562DC863" w14:textId="300FF929"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Não se presta este tópico ao esgotamento do tema. Pelo contrário, a criação de um panorama exemplificativo – não taxativo – que permita enxergar a forma pela qual as entidades reguladoras infranacionais têm disposto sobre sanções, em busca da existência ou não de sanções premiais nesses dispositivos. </w:t>
      </w:r>
    </w:p>
    <w:p w14:paraId="635CCC01" w14:textId="77777777" w:rsidR="00462D97" w:rsidRPr="00B300EE" w:rsidRDefault="00462D97" w:rsidP="00462D97">
      <w:pPr>
        <w:spacing w:after="0" w:line="360" w:lineRule="auto"/>
        <w:ind w:firstLine="709"/>
        <w:jc w:val="both"/>
        <w:rPr>
          <w:rFonts w:ascii="Times New Roman" w:hAnsi="Times New Roman" w:cs="Times New Roman"/>
        </w:rPr>
      </w:pPr>
    </w:p>
    <w:p w14:paraId="7A0B3AB2" w14:textId="12CC163B" w:rsidR="00462D97" w:rsidRPr="00B300EE" w:rsidRDefault="008F7522" w:rsidP="00055279">
      <w:pPr>
        <w:pStyle w:val="Ttulo4"/>
      </w:pPr>
      <w:r w:rsidRPr="00B300EE">
        <w:t>4</w:t>
      </w:r>
      <w:r w:rsidR="00462D97" w:rsidRPr="00B300EE">
        <w:t>.1.1.</w:t>
      </w:r>
      <w:r w:rsidR="00462D97" w:rsidRPr="00B300EE">
        <w:tab/>
        <w:t>ARSESP - Agência Reguladora de Serviços Públicos do Estado de São Paulo</w:t>
      </w:r>
    </w:p>
    <w:p w14:paraId="1BD7B3EE"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A agência reguladora do Estado de São Paulo se ocupa da regulação dos serviços públicos de saneamento básico de grande parte dos Municípios paulistas, tendo sido escolhida como entidade reguladora infranacional responsável nos casos dos contratos firmados entre a Sabesp e os Municípios da URAE-1.</w:t>
      </w:r>
    </w:p>
    <w:p w14:paraId="3D1E6F47" w14:textId="36FF5003"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 Deliberação ARSESP nº 1.600, de 8 de novembro de 2024, que revogou a Deliberação ARSESP nº 31, de 01 de dezembro de 2008, </w:t>
      </w:r>
      <w:r w:rsidRPr="00003522">
        <w:rPr>
          <w:rFonts w:ascii="Times New Roman" w:hAnsi="Times New Roman" w:cs="Times New Roman"/>
          <w:i/>
          <w:iCs/>
        </w:rPr>
        <w:t>“dispõe sobre o processo, o procedimento fiscalizatório e a aplicação de sanções administrativas na prestação de serviços de Saneamento Básico regulados pela ARSESP</w:t>
      </w:r>
      <w:r w:rsidRPr="00B300EE">
        <w:rPr>
          <w:rFonts w:ascii="Times New Roman" w:hAnsi="Times New Roman" w:cs="Times New Roman"/>
        </w:rPr>
        <w:t xml:space="preserve">”. </w:t>
      </w:r>
    </w:p>
    <w:p w14:paraId="539FCB03"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Segundo seu art. 10, o inadimplemento sujeito à aplicação de penalidades diz respeito a descumprimentos da legislação, das normas regulatórias ou das normas técnicas, sujeitando o </w:t>
      </w:r>
      <w:r w:rsidRPr="00B300EE">
        <w:rPr>
          <w:rFonts w:ascii="Times New Roman" w:hAnsi="Times New Roman" w:cs="Times New Roman"/>
        </w:rPr>
        <w:lastRenderedPageBreak/>
        <w:t xml:space="preserve">prestador às penalidades por ela impostas. A Seção I se dedica à classificação das infrações, de acordo com tipos específicos detalhados em seus anexos, divididas em leves, médias ou graves, de acordo com o bem jurídico por ela prejudicado. </w:t>
      </w:r>
    </w:p>
    <w:p w14:paraId="343C1239"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Da mesma forma, as sanções são divididas em multas pecuniárias que representam de 1,01% a 1% a 2% do faturamento líquido anual do prestador, a depender justamente da gravidade da infração, limitada – na ausência de disposição contratual específica – a 5% do faturamento líquido anual do prestador. </w:t>
      </w:r>
    </w:p>
    <w:p w14:paraId="7F93F044"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Nos casos de infração leve, há possibilidade de substituição da aplicação de multa por advertência, quando o prestador reconhecer sua responsabilidade e se prontificar a regularizá-la a tempo, vedada a possibilidade em casos de reincidência. </w:t>
      </w:r>
    </w:p>
    <w:p w14:paraId="69755F8E"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Já a multa será aplicada considerando particularidades do caso, como a natureza e gravidade da infração, presença de dolo, dano resultante às partes, vantagens auferidas ao prestador, medidas adotadas para sua mitigação e situação econômico-financeira desse prestador, bem como seus antecedentes, nos termos do art. 22, da Deliberação. </w:t>
      </w:r>
    </w:p>
    <w:p w14:paraId="56DFB85B"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O art. 23 estabelece a possibilidade de concessão de prazo para a correção das não-conformidades identificadas em procedimento de fiscalização, caso em que, se não regularizada poderá ser aplicada outra forma de penalidade. Já o artigo 25 prevê circunstâncias atenuantes à aplicação de penalidades, como a ação do prestador para a correção imediata de não-conformidades e reconhecimento da prática de infrações. </w:t>
      </w:r>
    </w:p>
    <w:p w14:paraId="5FB058DE"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O art. 32 e seguintes prevê o rito do processo sancionatório, que somente será iniciado caso o relatório de fiscalização aponte para tal necessidade, observando o direito do prestador à ampla defesa e ao contraditório. </w:t>
      </w:r>
    </w:p>
    <w:p w14:paraId="0B4E2660"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 Deliberação nº 31/2008, previa, porém, a celebração de Compromisso de Ajustamento de Condutas, seja como forma alternativa à imposição de sanções, seja como forma preventiva da reiteração de danos. Sua sucessora, porém, deixou de fazê-lo. Contudo, seu art. 7, § 3º, prevê a possibilidade de exigir do prestador a apresentação de plano de ação visando a reparação de dano causado. </w:t>
      </w:r>
    </w:p>
    <w:p w14:paraId="5022EFAA"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Vê-se, portanto, que a Deliberação tem elementos de regulação responsiva, tais quais: (i) a imposição de sanções escalonadas de acordo com a gravidade das infrações ou não-conformidades; (</w:t>
      </w:r>
      <w:proofErr w:type="spellStart"/>
      <w:r w:rsidRPr="00B300EE">
        <w:rPr>
          <w:rFonts w:ascii="Times New Roman" w:hAnsi="Times New Roman" w:cs="Times New Roman"/>
        </w:rPr>
        <w:t>ii</w:t>
      </w:r>
      <w:proofErr w:type="spellEnd"/>
      <w:r w:rsidRPr="00B300EE">
        <w:rPr>
          <w:rFonts w:ascii="Times New Roman" w:hAnsi="Times New Roman" w:cs="Times New Roman"/>
        </w:rPr>
        <w:t>) o respeito ao devido processo administrativo sancionatório, com garantia do direito de ampla defesa e contraditório; e (</w:t>
      </w:r>
      <w:proofErr w:type="spellStart"/>
      <w:r w:rsidRPr="00B300EE">
        <w:rPr>
          <w:rFonts w:ascii="Times New Roman" w:hAnsi="Times New Roman" w:cs="Times New Roman"/>
        </w:rPr>
        <w:t>iii</w:t>
      </w:r>
      <w:proofErr w:type="spellEnd"/>
      <w:r w:rsidRPr="00B300EE">
        <w:rPr>
          <w:rFonts w:ascii="Times New Roman" w:hAnsi="Times New Roman" w:cs="Times New Roman"/>
        </w:rPr>
        <w:t xml:space="preserve">) a possibilidade de imposição da elaboração de plano de correção de irregularidades, ainda que em detrimento de mecanismo consensual de substituição de sanções, previsto em texto que lhe antecedeu. </w:t>
      </w:r>
    </w:p>
    <w:p w14:paraId="67512ED6"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lastRenderedPageBreak/>
        <w:t>Contudo, no que diz respeito a mecanismos de incentivo – a outra faceta da Regulação Responsiva – não foi possível identificar sua utilização nessa Deliberação em específico. Vê-se, inclusive, uma redução da aplicação de regulação responsiva no que diz respeito ao item (</w:t>
      </w:r>
      <w:proofErr w:type="spellStart"/>
      <w:r w:rsidRPr="00B300EE">
        <w:rPr>
          <w:rFonts w:ascii="Times New Roman" w:hAnsi="Times New Roman" w:cs="Times New Roman"/>
        </w:rPr>
        <w:t>iii</w:t>
      </w:r>
      <w:proofErr w:type="spellEnd"/>
      <w:r w:rsidRPr="00B300EE">
        <w:rPr>
          <w:rFonts w:ascii="Times New Roman" w:hAnsi="Times New Roman" w:cs="Times New Roman"/>
        </w:rPr>
        <w:t xml:space="preserve">). </w:t>
      </w:r>
    </w:p>
    <w:p w14:paraId="307EBF08" w14:textId="77777777" w:rsidR="00462D97" w:rsidRPr="00B300EE" w:rsidRDefault="00462D97" w:rsidP="00462D97">
      <w:pPr>
        <w:spacing w:after="0" w:line="360" w:lineRule="auto"/>
        <w:ind w:firstLine="709"/>
        <w:jc w:val="both"/>
        <w:rPr>
          <w:rFonts w:ascii="Times New Roman" w:hAnsi="Times New Roman" w:cs="Times New Roman"/>
        </w:rPr>
      </w:pPr>
    </w:p>
    <w:p w14:paraId="09734FFB" w14:textId="3A34D397" w:rsidR="00462D97" w:rsidRPr="00B300EE" w:rsidRDefault="008F7522" w:rsidP="00055279">
      <w:pPr>
        <w:pStyle w:val="Ttulo4"/>
      </w:pPr>
      <w:r w:rsidRPr="00B300EE">
        <w:t>4</w:t>
      </w:r>
      <w:r w:rsidR="00462D97" w:rsidRPr="00B300EE">
        <w:t>.1.2.</w:t>
      </w:r>
      <w:r w:rsidR="00462D97" w:rsidRPr="00B300EE">
        <w:tab/>
        <w:t>AGERGS - Agência Reguladora de Serviços Públicos do Estado do Rio Grande do Sul</w:t>
      </w:r>
    </w:p>
    <w:p w14:paraId="27CFFAE5"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No caso da AGERGS, a Resolução Normativa n 30, de 18 de outubro de 2016, alterada pela Resolução Normativa 45/2018, “</w:t>
      </w:r>
      <w:r w:rsidRPr="00F96BE7">
        <w:rPr>
          <w:rFonts w:ascii="Times New Roman" w:hAnsi="Times New Roman" w:cs="Times New Roman"/>
          <w:i/>
          <w:iCs/>
        </w:rPr>
        <w:t>disciplina a aplicação de penalidades, revisão de faturamento e ressarcimento de danos decorrentes da constatação de irregularidades nos equipamentos e instalações do serviço público de abastecimento de água</w:t>
      </w:r>
      <w:r w:rsidRPr="00B300EE">
        <w:rPr>
          <w:rFonts w:ascii="Times New Roman" w:hAnsi="Times New Roman" w:cs="Times New Roman"/>
        </w:rPr>
        <w:t>” em seu âmbito de atuação, que não compreende todo o Estado do Rio Grande do Sul, visto que esse conta com quatro entidades reguladoras infranacionais.</w:t>
      </w:r>
    </w:p>
    <w:p w14:paraId="70D8EB32"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Nesse caso, a Resolução se limita ao estabelecimento de sanções pecuniárias e descrição do procedimento de apuração de sanções por meio de processo administrativo sancionador. Bem verdade que não foram identificados elementos de regulação responsiva, e, muito menos, mecanismos de incentivo na normativa, tendo sua aproximação com essas formas aqui estudadas se limitado à descrição de um processo administrativo sancionador com respeito às garantias processuais do prestador. </w:t>
      </w:r>
    </w:p>
    <w:p w14:paraId="4CC3CC5B" w14:textId="5DA47302"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Contudo, em 2024, foi apresentada a Agenda Regulatória da AGERGS para o ano de 2024, considerando as disposições trazidas pela Lei federal 14.026/2020. E, em seu Eixo B, que dispõe especificamente sobre saneamento básico, evidencia-se a pretensão ao desenvolvimento de uma proposta de metodologia de mecanismos de incentivo a eficiência das prestadoras de serviços de saneamento a ser calculada nos processos de revisão e reajuste tarifários anuais. Seus objetivos são fomentar a eficiência dessas prestadoras atendendo à modicidade tarifária e à qualidade da prestação de serviços, sem afastar-se da manutenção do equilíbrio econômico-financeiro contratual. A previsão de publicação da norma seria o fim de 2024, ao que ainda não consta ter sido cumprido. </w:t>
      </w:r>
    </w:p>
    <w:p w14:paraId="0E83AE2E" w14:textId="77777777" w:rsidR="00462D97" w:rsidRPr="00B300EE" w:rsidRDefault="00462D97" w:rsidP="00462D97">
      <w:pPr>
        <w:spacing w:after="0" w:line="360" w:lineRule="auto"/>
        <w:ind w:firstLine="709"/>
        <w:jc w:val="both"/>
        <w:rPr>
          <w:rFonts w:ascii="Times New Roman" w:hAnsi="Times New Roman" w:cs="Times New Roman"/>
        </w:rPr>
      </w:pPr>
    </w:p>
    <w:p w14:paraId="6CBDDC7F" w14:textId="5C72CF4F" w:rsidR="00462D97" w:rsidRPr="00B300EE" w:rsidRDefault="008F7522" w:rsidP="00055279">
      <w:pPr>
        <w:pStyle w:val="Ttulo4"/>
      </w:pPr>
      <w:r w:rsidRPr="00B300EE">
        <w:t>4</w:t>
      </w:r>
      <w:r w:rsidR="00462D97" w:rsidRPr="00B300EE">
        <w:t>.1.3.</w:t>
      </w:r>
      <w:r w:rsidR="00462D97" w:rsidRPr="00B300EE">
        <w:tab/>
        <w:t>AGR - Agência Goiana de Regulação, Controle e Fiscalização</w:t>
      </w:r>
    </w:p>
    <w:p w14:paraId="4AC0E068"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No caso da AGR, a Resolução Normativa nº 025/2015 regula a imposição de penalidades aos prestadores de serviços públicos de abastecimento de água e de esgotamento sanitário a sua regulação sujeitos. </w:t>
      </w:r>
    </w:p>
    <w:p w14:paraId="646DE1C0"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lastRenderedPageBreak/>
        <w:t>A Resolução descreve o procedimento de fiscalização e apuração de infrações, bem como a possibilidade de aplicação das penalidades de advertência e multa, a partir de uma classificação em infração leve, média, alta e altíssima, nos termos de seu art. 6º. Nos casos de reincidência, prevê aumento de 50% no valor de aplicação da multa. Expõe também as infrações a serem consideradas em cada um dos grupos.</w:t>
      </w:r>
    </w:p>
    <w:p w14:paraId="667A7922"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No que tange ao processo administrativo de apuração de infrações e aplicação de penalidades, a Resolução estabelece o iter, considerando inclusive a possibilidade de realização de um processo simplificado, além de detalhar prazos e a possibilidade de recursos por parte do prestador. </w:t>
      </w:r>
    </w:p>
    <w:p w14:paraId="03860D42"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Assim como nos demais casos, a norma condiz com a regulação responsiva no que diz respeito ao escalonamento de sanções, proporcionalidade e um processo administrativo sancionador forcado também no contraditório. Porém, não foi possível identificar sanções premiais ou mecanismos de incentivo em prol da prestação de um serviço superior ao adequado. </w:t>
      </w:r>
    </w:p>
    <w:p w14:paraId="48B752C6" w14:textId="77777777" w:rsidR="00462D97" w:rsidRPr="00B300EE" w:rsidRDefault="00462D97" w:rsidP="00462D97">
      <w:pPr>
        <w:spacing w:after="0" w:line="360" w:lineRule="auto"/>
        <w:ind w:firstLine="709"/>
        <w:jc w:val="both"/>
        <w:rPr>
          <w:rFonts w:ascii="Times New Roman" w:hAnsi="Times New Roman" w:cs="Times New Roman"/>
        </w:rPr>
      </w:pPr>
    </w:p>
    <w:p w14:paraId="3BEF5FCE" w14:textId="687D9611" w:rsidR="00462D97" w:rsidRPr="00B300EE" w:rsidRDefault="008F7522" w:rsidP="00055279">
      <w:pPr>
        <w:pStyle w:val="Ttulo4"/>
      </w:pPr>
      <w:r w:rsidRPr="00B300EE">
        <w:t>4.1</w:t>
      </w:r>
      <w:r w:rsidR="00462D97" w:rsidRPr="00B300EE">
        <w:t>.4.</w:t>
      </w:r>
      <w:r w:rsidR="00462D97" w:rsidRPr="00B300EE">
        <w:tab/>
        <w:t xml:space="preserve">ARES-PCJ – Agência Reguladora dos Serviços de Saneamento das Bacias dos Rios Piracicaba, Capivari e Jundiaí </w:t>
      </w:r>
    </w:p>
    <w:p w14:paraId="693B2E8F"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 ARES-PCJ é uma agência reguladora com atuação em determinados Municípios do Estado de São Paulo e que se destaca por sua atuação regulatória intensa e efetiva no setor de saneamento básico. </w:t>
      </w:r>
    </w:p>
    <w:p w14:paraId="1E762427"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Sua Resolução nº 71, de 11 de dezembro de 2014, atualizada pela Resolução nº 294, de 24 de maio de 2019, disciplina os procedimentos de fiscalização e imposição de sanções aos prestadores de serviços de abastecimento de água e de esgotamento sanitário. </w:t>
      </w:r>
    </w:p>
    <w:p w14:paraId="3555BDD7"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Assim como nos demais casos mencionados, a Resolução cuida de disciplinar tipos de infração e penalidades a serem aplicadas de forma proporcional ao dano causado. Disciplina também o processo de apuração de infrações e imposição de sanções, considerando para além dessa proporcionalidade mencionada entre a infração e o dano, as vantagens auferidas pelo prestador. Na fixação de multas são consideradas também circunstâncias agravantes e atenuantes. </w:t>
      </w:r>
    </w:p>
    <w:p w14:paraId="3560BA7F"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Ademais, seu art. 34 admite que a ARES-PCJ utilize de critérios alternativos de substituição de sanções, como o Compromisso de Ajustamento de Conduta, com metas específicas de atuação do prestador, focadas no resultado benéfico à prestação de serviços em detrimento da simples punibilidade. </w:t>
      </w:r>
    </w:p>
    <w:p w14:paraId="5ADF685C"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Assim como em exemplos anteriores, a normativa dispõe de elementos de regulação responsiva, principalmente com foco no escalonamento de sanções e condicionamento de sua </w:t>
      </w:r>
      <w:r w:rsidRPr="00B300EE">
        <w:rPr>
          <w:rFonts w:ascii="Times New Roman" w:hAnsi="Times New Roman" w:cs="Times New Roman"/>
        </w:rPr>
        <w:lastRenderedPageBreak/>
        <w:t xml:space="preserve">aplicação à proporcionalidade, bem como a consensualidade a partir da substituição de sanções. Contudo, faltam-lhe elementos de incentivo e sanção </w:t>
      </w:r>
      <w:proofErr w:type="spellStart"/>
      <w:r w:rsidRPr="00B300EE">
        <w:rPr>
          <w:rFonts w:ascii="Times New Roman" w:hAnsi="Times New Roman" w:cs="Times New Roman"/>
        </w:rPr>
        <w:t>premial</w:t>
      </w:r>
      <w:proofErr w:type="spellEnd"/>
      <w:r w:rsidRPr="00B300EE">
        <w:rPr>
          <w:rFonts w:ascii="Times New Roman" w:hAnsi="Times New Roman" w:cs="Times New Roman"/>
        </w:rPr>
        <w:t xml:space="preserve">, objeto deste estudo. Importa ressaltar que foi também analisada a Resolução nº 650/2025, responsável pela definição de procedimentos de acompanhamento e verificação de metas de universalização da prestação de serviços a partir de indicadores de desempenho, e, nem mesmo neste diploma, foi possível detectar o uso de mecanismos de incentivo. </w:t>
      </w:r>
    </w:p>
    <w:p w14:paraId="47B3838A" w14:textId="77777777" w:rsidR="00462D97" w:rsidRPr="00B300EE" w:rsidRDefault="00462D97" w:rsidP="00462D97">
      <w:pPr>
        <w:spacing w:after="0" w:line="360" w:lineRule="auto"/>
        <w:ind w:firstLine="709"/>
        <w:jc w:val="both"/>
        <w:rPr>
          <w:rFonts w:ascii="Times New Roman" w:hAnsi="Times New Roman" w:cs="Times New Roman"/>
        </w:rPr>
      </w:pPr>
    </w:p>
    <w:p w14:paraId="4CCA111C" w14:textId="7D7707C0" w:rsidR="00462D97" w:rsidRPr="00B300EE" w:rsidRDefault="008F7522" w:rsidP="00055279">
      <w:pPr>
        <w:pStyle w:val="Ttulo4"/>
      </w:pPr>
      <w:r w:rsidRPr="00B300EE">
        <w:t>4</w:t>
      </w:r>
      <w:r w:rsidR="00462D97" w:rsidRPr="00B300EE">
        <w:t>.1.5.</w:t>
      </w:r>
      <w:r w:rsidR="00462D97" w:rsidRPr="00B300EE">
        <w:tab/>
        <w:t>AGEPAR - Agência Reguladora de Serviços Públicos Delegados do Paraná</w:t>
      </w:r>
    </w:p>
    <w:p w14:paraId="7EFF400D"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No caso da AGEPAR, entidade reguladora responsável pela regulação da prestação de serviços públicos de abastecimento de água e de esgotamento sanitário em parte dos Municípios do Estado do Paraná – neles incluídos os atendidos pela Sanepar, foi analisada também a normativa responsável pela disciplina das infrações e sanções regulatórias. </w:t>
      </w:r>
    </w:p>
    <w:p w14:paraId="21492D9B"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 Resolução AGEPAR nº 27, de 6 de julho de 2021 “estabelece infrações, respectivas sanções e o procedimento para sua aplicação pela </w:t>
      </w:r>
      <w:proofErr w:type="spellStart"/>
      <w:r w:rsidRPr="00B300EE">
        <w:rPr>
          <w:rFonts w:ascii="Times New Roman" w:hAnsi="Times New Roman" w:cs="Times New Roman"/>
        </w:rPr>
        <w:t>Agepar</w:t>
      </w:r>
      <w:proofErr w:type="spellEnd"/>
      <w:r w:rsidRPr="00B300EE">
        <w:rPr>
          <w:rFonts w:ascii="Times New Roman" w:hAnsi="Times New Roman" w:cs="Times New Roman"/>
        </w:rPr>
        <w:t xml:space="preserve"> às entidades reguladas e ao poder concedente em razão do descumprimento da legislação, dos instrumentos de delegação e das normas regulatórias emitidas pela Agência Reguladora”. </w:t>
      </w:r>
    </w:p>
    <w:p w14:paraId="0F6768F4"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Prevê, em seu art. 13, as sanções aplicáveis, também divididas de acordo com a proporcionalidade da infração, cabendo, além de advertência e multa, a suspensão temporária e a declaração de inidoneidade. </w:t>
      </w:r>
    </w:p>
    <w:p w14:paraId="0D3223B9"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Além disso, a norma descreve o processo administrativo sancionador, com a indicação do uso do direito ao contraditório, por meio da manifestação do interessado e da possibilidade de apresentação de recursos e pedidos de reconsideração. </w:t>
      </w:r>
    </w:p>
    <w:p w14:paraId="579123D5" w14:textId="6134E0E8"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Por fim, admite também a substituição de sanções por meio da celebração de compromisso de ajustamento de conduta em busca da preservação do interesse </w:t>
      </w:r>
      <w:r w:rsidR="000A3B67" w:rsidRPr="00B300EE">
        <w:rPr>
          <w:rFonts w:ascii="Times New Roman" w:hAnsi="Times New Roman" w:cs="Times New Roman"/>
        </w:rPr>
        <w:t>público</w:t>
      </w:r>
      <w:r w:rsidRPr="00B300EE">
        <w:rPr>
          <w:rFonts w:ascii="Times New Roman" w:hAnsi="Times New Roman" w:cs="Times New Roman"/>
        </w:rPr>
        <w:t xml:space="preserve"> em detrimento da simples penalização do prestador. </w:t>
      </w:r>
    </w:p>
    <w:p w14:paraId="761881FC"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Nota-se, como nos demais casos, a presença de aspectos de regulação responsiva relativos ao escalonamento de sanções e proporcionalidade, bem como acordos substitutivos em prol de resultados em detrimento da punição pela punição, é identificada. Mas, no que diz respeito às sanções premiais, as normas da agência ainda são silentes. </w:t>
      </w:r>
    </w:p>
    <w:p w14:paraId="253F980F" w14:textId="77777777" w:rsidR="00462D97" w:rsidRPr="00B300EE" w:rsidRDefault="00462D97" w:rsidP="00462D97">
      <w:pPr>
        <w:spacing w:after="0" w:line="360" w:lineRule="auto"/>
        <w:ind w:firstLine="709"/>
        <w:jc w:val="both"/>
        <w:rPr>
          <w:rFonts w:ascii="Times New Roman" w:hAnsi="Times New Roman" w:cs="Times New Roman"/>
        </w:rPr>
      </w:pPr>
    </w:p>
    <w:p w14:paraId="13B94680" w14:textId="38048B3F" w:rsidR="00462D97" w:rsidRPr="00B300EE" w:rsidRDefault="008F7522" w:rsidP="008F7522">
      <w:pPr>
        <w:pStyle w:val="Ttulo2"/>
      </w:pPr>
      <w:r w:rsidRPr="00B300EE">
        <w:t>4</w:t>
      </w:r>
      <w:r w:rsidR="00462D97" w:rsidRPr="00B300EE">
        <w:t>.</w:t>
      </w:r>
      <w:r w:rsidR="00055279" w:rsidRPr="00B300EE">
        <w:t>1.</w:t>
      </w:r>
      <w:r w:rsidR="00A933A3">
        <w:t>3</w:t>
      </w:r>
      <w:r w:rsidR="00462D97" w:rsidRPr="00B300EE">
        <w:t>.</w:t>
      </w:r>
      <w:r w:rsidR="00462D97" w:rsidRPr="00B300EE">
        <w:tab/>
        <w:t>Contrato de concessão firmado entre a Sabesp e os Municípios da URAE-1</w:t>
      </w:r>
    </w:p>
    <w:p w14:paraId="45D2682D"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Expostas algumas das normativas regulatórias vigentes, é possível vislumbrar a aplicação de alguns aspectos da regulação responsiva na atividade normativa das entidades reguladoras infranacionais. </w:t>
      </w:r>
    </w:p>
    <w:p w14:paraId="33F371B9" w14:textId="3667A99B"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lastRenderedPageBreak/>
        <w:t xml:space="preserve">Isso posto, considerando a expressividade normativa da ARSESP e da ARES-PCJ, bem como o impacto que a desestatização da Sabesp teve sobre o setor, </w:t>
      </w:r>
      <w:r w:rsidR="00D94810" w:rsidRPr="00B300EE">
        <w:rPr>
          <w:rFonts w:ascii="Times New Roman" w:hAnsi="Times New Roman" w:cs="Times New Roman"/>
        </w:rPr>
        <w:t>criando um</w:t>
      </w:r>
      <w:r w:rsidRPr="00B300EE">
        <w:rPr>
          <w:rFonts w:ascii="Times New Roman" w:hAnsi="Times New Roman" w:cs="Times New Roman"/>
        </w:rPr>
        <w:t xml:space="preserve"> modelo, que pode ainda ser utilizado em outros estados brasileiros, entende-se que as concessões firmadas entre a Sabesp e os Municípios da URAE-1 podem ser utilizadas como parâmetro de um estudo sobre a possibilidade e a viabilidade jurídica de inclusão de mecanismos de incentivo em contratos de concessão de saneamento básico. </w:t>
      </w:r>
    </w:p>
    <w:p w14:paraId="1D5E84D9"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Para compreensão do tema, é importante rememorar que a Lei federal 14.026/2020 determinou a regionalização para prestação de serviços de saneamento básico, em busca de um ganho de escala que simplificaria o atingimento das metas de universalização dos serviços. O Estado de São Paulo optou pela regionalização a partir da criação de Unidades Regionais de Água e Esgoto, por meio da publicação da Lei estadual 17.383, de 5 de julho de 2021, adotando um modelo de regionalização por adesão, não compulsória. </w:t>
      </w:r>
    </w:p>
    <w:p w14:paraId="4E1B4CFA"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Foram inseridos na URAE-1 os Municípios atendidos pela Sabesp, que serão objeto de análise deste estudo, justamente em razão do processo de desestatização recente, que pode transformar o caso em verdadeiro parâmetro a impactar outras desestatizações no país. </w:t>
      </w:r>
    </w:p>
    <w:p w14:paraId="0864EBFD" w14:textId="0371AAA5"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Em primeiro lugar, cumpre ressaltar que os contratos de concessão firmados originalmente entre a Sabesp e os Municípios em que atuava foram atualizados para dispor sobre as metas de universalização da prestação dos serviços de abastecimento de água e de esgotamento sanitário e demais disposições previstas na Lei federal 14.026/2020</w:t>
      </w:r>
      <w:r w:rsidR="00EE243E" w:rsidRPr="00B300EE">
        <w:rPr>
          <w:rStyle w:val="Refdenotaderodap"/>
          <w:rFonts w:ascii="Times New Roman" w:hAnsi="Times New Roman" w:cs="Times New Roman"/>
        </w:rPr>
        <w:footnoteReference w:id="21"/>
      </w:r>
      <w:r w:rsidRPr="00B300EE">
        <w:rPr>
          <w:rFonts w:ascii="Times New Roman" w:hAnsi="Times New Roman" w:cs="Times New Roman"/>
        </w:rPr>
        <w:t xml:space="preserve">.  </w:t>
      </w:r>
    </w:p>
    <w:p w14:paraId="22BE023B"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 recomposição do equilíbrio econômico-financeiro desses contratos se deu por meio da extensão de prazo contratual, conferindo à Sabesp um ativo relevante, bem como garantindo a uniformização do prazo, essencial para uma prestação regionalizada eficiente, já que o sistema opera em rede e dependente de uma forma de subsídio entre Municípios. </w:t>
      </w:r>
    </w:p>
    <w:p w14:paraId="6E68698C"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O modelo desenvolvido adotou elementos de regulação contratual, haja vista que em uma concessão é impossível que a regulação se afaste totalmente do modelo contratual, que confere segurança jurídica ao investidor. Porém foram mantidos elementos da regulação discricionária anteriormente adotado, como a definição de valores tarifários e de bens vinculados pela agência reguladora – no caso a ARSESP.</w:t>
      </w:r>
    </w:p>
    <w:p w14:paraId="36A61114"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Dos termos contratuais, destaca-se:</w:t>
      </w:r>
    </w:p>
    <w:p w14:paraId="1BE9F16D" w14:textId="77777777" w:rsidR="00462D97" w:rsidRPr="00B300EE" w:rsidRDefault="00462D97" w:rsidP="00AD782E">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Cláusula 5. A ARSESP, sem prejuízo de outros direitos e obrigações estabelecidos neste CONTRATO, na LEGISLAÇÃO APLICÁVEL e na REGULAÇÃO, para fins das atividades decorrentes da prestação dos SERVIÇOS, tem os seguintes direitos e obrigações, visando a assegurar a aplicação dos termos do CONTRATO e de seus ANEXOS: [...]</w:t>
      </w:r>
    </w:p>
    <w:p w14:paraId="78DFAF2C" w14:textId="77777777" w:rsidR="00462D97" w:rsidRPr="00B300EE" w:rsidRDefault="00462D97" w:rsidP="00AD782E">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lastRenderedPageBreak/>
        <w:t>(k) zelar pela preservação do equilíbrio econômico-financeiro do CONTRATO, nos termos do Anexo V – MODELO REGULATÓRIO;</w:t>
      </w:r>
    </w:p>
    <w:p w14:paraId="38501D40" w14:textId="77777777" w:rsidR="00462D97" w:rsidRPr="00B300EE" w:rsidRDefault="00462D97" w:rsidP="00AD782E">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 xml:space="preserve">(o) conduzir as REVISÕES TARIFÁRIAS PERIÓDICAS, assim como as demais atividades sob sua responsabilidade, bem como conduzir as REVISÕES EXTRAORDINÁRIAS, nos casos previstos neste CONTRATO, observando integralmente as disposições do Anexo V – MODELO REGULATÓRIO para tanto; </w:t>
      </w:r>
    </w:p>
    <w:p w14:paraId="747EFA3C" w14:textId="77777777" w:rsidR="00462D97" w:rsidRPr="00B300EE" w:rsidRDefault="00462D97" w:rsidP="00AD782E">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(s) definir, nas REVISÕES TARIFÁRIAS PERIÓDICAS e, excepcionalmente, nas REVISÕES EXTRAORDINÁRIAS, o valor das TARIFAS DE EQUILÍBRIO aplicável ao CICLO TARIFÁRIO subsequente, bem como a sua distribuição nas diversas categorias de USUÁRIOS, observada a disciplina prevista neste CONTRATO e em seus ANEXOS e, subsidiariamente, na REGULAÇÃO;</w:t>
      </w:r>
    </w:p>
    <w:p w14:paraId="4652D5C5" w14:textId="77777777" w:rsidR="00462D97" w:rsidRPr="00B300EE" w:rsidRDefault="00462D97" w:rsidP="00462D97">
      <w:pPr>
        <w:spacing w:after="0" w:line="360" w:lineRule="auto"/>
        <w:ind w:firstLine="709"/>
        <w:jc w:val="both"/>
        <w:rPr>
          <w:rFonts w:ascii="Times New Roman" w:hAnsi="Times New Roman" w:cs="Times New Roman"/>
        </w:rPr>
      </w:pPr>
    </w:p>
    <w:p w14:paraId="72DFB7B6" w14:textId="4AE92180"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Isso posto, tem-se que o modelo contratual adotado não segue os moldes, por exemplo, dos contratos de concessão de </w:t>
      </w:r>
      <w:r w:rsidR="00A933A3">
        <w:rPr>
          <w:rFonts w:ascii="Times New Roman" w:hAnsi="Times New Roman" w:cs="Times New Roman"/>
        </w:rPr>
        <w:t>transportes</w:t>
      </w:r>
      <w:r w:rsidRPr="00B300EE">
        <w:rPr>
          <w:rFonts w:ascii="Times New Roman" w:hAnsi="Times New Roman" w:cs="Times New Roman"/>
        </w:rPr>
        <w:t xml:space="preserve"> outrora estudados, mas tem as suas particularidades considerando justamente esse modelo regulatório híbrido. </w:t>
      </w:r>
    </w:p>
    <w:p w14:paraId="0B97B675"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Além disso, no instrumento contratual foi prevista a existência dos chamados investimentos "prudentes", para além dos investimentos obrigatórios, que possibilitam o cumprimento das metas de universalização. Não são investimentos cuja forma seja prevista exaustivamente pelos documentos contratuais, mas investimentos que sejam necessários ao cumprimento das metas de universalização da prestação de serviços. </w:t>
      </w:r>
    </w:p>
    <w:p w14:paraId="563F6B5D" w14:textId="1C8F4A72"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Esses investimentos devem ser considerados em sede de revisão tarifária. </w:t>
      </w:r>
    </w:p>
    <w:p w14:paraId="5A06A5DA" w14:textId="77777777" w:rsidR="00462D97" w:rsidRPr="00B300EE" w:rsidRDefault="00462D97" w:rsidP="00EE243E">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Cláusula 39. Na REVISÃO TARIFÁRIA PERIÓDICA, a ARSESP deverá definir as TARIFAS para o CICLO TARIFÁRIO subsequente, estabelecendo a RECEITA REQUERIDA a partir dos valores necessários para remunerar os custos incorridos na prestação dos SERVIÇOS, em regime de eficiência, e os INVESTIMENTOS realizados de modo prudente, nos termos e condições do Anexo V – MODELO REGULATÓRIO. (grifo nosso)</w:t>
      </w:r>
    </w:p>
    <w:p w14:paraId="2545F5B1" w14:textId="77777777" w:rsidR="00EE243E" w:rsidRPr="00B300EE" w:rsidRDefault="00EE243E" w:rsidP="00462D97">
      <w:pPr>
        <w:spacing w:after="0" w:line="360" w:lineRule="auto"/>
        <w:ind w:firstLine="709"/>
        <w:jc w:val="both"/>
        <w:rPr>
          <w:rFonts w:ascii="Times New Roman" w:hAnsi="Times New Roman" w:cs="Times New Roman"/>
        </w:rPr>
      </w:pPr>
    </w:p>
    <w:p w14:paraId="4C157895" w14:textId="210DCA5A"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Já o modelo regulatório, previsto no Anexo V, inclui esses investimentos na Base de Ativos Regulatória (BAR)</w:t>
      </w:r>
      <w:r w:rsidR="003E3306">
        <w:rPr>
          <w:rFonts w:ascii="Times New Roman" w:hAnsi="Times New Roman" w:cs="Times New Roman"/>
        </w:rPr>
        <w:t>:</w:t>
      </w:r>
    </w:p>
    <w:p w14:paraId="6EBFC48B" w14:textId="77777777" w:rsidR="00462D97" w:rsidRPr="00B300EE" w:rsidRDefault="00462D97" w:rsidP="00EE243E">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(b) BASE DE ATIVOS REGULATÓRIA (BAR): constituída por todos os investimentos (i) elegíveis – afetos a prestação do serviço; (</w:t>
      </w:r>
      <w:proofErr w:type="spellStart"/>
      <w:r w:rsidRPr="00B300EE">
        <w:rPr>
          <w:rFonts w:ascii="Times New Roman" w:hAnsi="Times New Roman" w:cs="Times New Roman"/>
          <w:sz w:val="20"/>
          <w:szCs w:val="20"/>
        </w:rPr>
        <w:t>ii</w:t>
      </w:r>
      <w:proofErr w:type="spellEnd"/>
      <w:r w:rsidRPr="00B300EE">
        <w:rPr>
          <w:rFonts w:ascii="Times New Roman" w:hAnsi="Times New Roman" w:cs="Times New Roman"/>
          <w:sz w:val="20"/>
          <w:szCs w:val="20"/>
        </w:rPr>
        <w:t>) úteis – necessários a prestação do serviço; (</w:t>
      </w:r>
      <w:proofErr w:type="spellStart"/>
      <w:r w:rsidRPr="00B300EE">
        <w:rPr>
          <w:rFonts w:ascii="Times New Roman" w:hAnsi="Times New Roman" w:cs="Times New Roman"/>
          <w:sz w:val="20"/>
          <w:szCs w:val="20"/>
        </w:rPr>
        <w:t>iii</w:t>
      </w:r>
      <w:proofErr w:type="spellEnd"/>
      <w:r w:rsidRPr="00B300EE">
        <w:rPr>
          <w:rFonts w:ascii="Times New Roman" w:hAnsi="Times New Roman" w:cs="Times New Roman"/>
          <w:sz w:val="20"/>
          <w:szCs w:val="20"/>
        </w:rPr>
        <w:t>) prudentes – executados com custos compatíveis com preços de mercado e (</w:t>
      </w:r>
      <w:proofErr w:type="spellStart"/>
      <w:r w:rsidRPr="00B300EE">
        <w:rPr>
          <w:rFonts w:ascii="Times New Roman" w:hAnsi="Times New Roman" w:cs="Times New Roman"/>
          <w:sz w:val="20"/>
          <w:szCs w:val="20"/>
        </w:rPr>
        <w:t>iv</w:t>
      </w:r>
      <w:proofErr w:type="spellEnd"/>
      <w:r w:rsidRPr="00B300EE">
        <w:rPr>
          <w:rFonts w:ascii="Times New Roman" w:hAnsi="Times New Roman" w:cs="Times New Roman"/>
          <w:sz w:val="20"/>
          <w:szCs w:val="20"/>
        </w:rPr>
        <w:t>) em uso pelo prestador, realizados de forma onerosa por ele, os quais devem ser remunerados e amortizados por meio das TARIFAS;</w:t>
      </w:r>
    </w:p>
    <w:p w14:paraId="4DE3EF39" w14:textId="77777777" w:rsidR="00462D97" w:rsidRPr="00B300EE" w:rsidRDefault="00462D97" w:rsidP="00EE243E">
      <w:pPr>
        <w:spacing w:after="0" w:line="240" w:lineRule="auto"/>
        <w:ind w:left="2268"/>
        <w:jc w:val="both"/>
        <w:rPr>
          <w:rFonts w:ascii="Times New Roman" w:hAnsi="Times New Roman" w:cs="Times New Roman"/>
          <w:sz w:val="20"/>
          <w:szCs w:val="20"/>
        </w:rPr>
      </w:pPr>
      <w:r w:rsidRPr="00B300EE">
        <w:rPr>
          <w:rFonts w:ascii="Times New Roman" w:hAnsi="Times New Roman" w:cs="Times New Roman"/>
          <w:sz w:val="20"/>
          <w:szCs w:val="20"/>
        </w:rPr>
        <w:t xml:space="preserve">(i) BASE DE REMUNERAÇÃO REGULATÓRIA (BRR): corresponde ao montante de investimentos prudentes ainda não depreciados que serão remunerados pela TAXA DE REMUNERAÇÃO REGULATÓRIA nas TARIFAS. É composta pela soma da </w:t>
      </w:r>
      <w:proofErr w:type="spellStart"/>
      <w:r w:rsidRPr="00B300EE">
        <w:rPr>
          <w:rFonts w:ascii="Times New Roman" w:hAnsi="Times New Roman" w:cs="Times New Roman"/>
          <w:sz w:val="20"/>
          <w:szCs w:val="20"/>
        </w:rPr>
        <w:t>BARLiq</w:t>
      </w:r>
      <w:proofErr w:type="spellEnd"/>
      <w:r w:rsidRPr="00B300EE">
        <w:rPr>
          <w:rFonts w:ascii="Times New Roman" w:hAnsi="Times New Roman" w:cs="Times New Roman"/>
          <w:sz w:val="20"/>
          <w:szCs w:val="20"/>
        </w:rPr>
        <w:t xml:space="preserve"> e da NCG;</w:t>
      </w:r>
    </w:p>
    <w:p w14:paraId="098ECB33" w14:textId="77777777" w:rsidR="00EE243E" w:rsidRPr="00B300EE" w:rsidRDefault="00EE243E" w:rsidP="00EE243E">
      <w:pPr>
        <w:spacing w:after="0" w:line="240" w:lineRule="auto"/>
        <w:ind w:left="2268"/>
        <w:jc w:val="both"/>
        <w:rPr>
          <w:rFonts w:ascii="Times New Roman" w:hAnsi="Times New Roman" w:cs="Times New Roman"/>
          <w:sz w:val="20"/>
          <w:szCs w:val="20"/>
        </w:rPr>
      </w:pPr>
    </w:p>
    <w:p w14:paraId="3C5D38BF"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Ora, se esses investimentos compõem as bases de ativos, é evidente que serão contabilizados na realização dos cálculos tarifários, evidente que a concessionária prestadora de serviços será remunerada por esses investimentos. </w:t>
      </w:r>
    </w:p>
    <w:p w14:paraId="5F56C576"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No caso da Sabesp, o modelo de regulação discricionária adotada passou a ser o </w:t>
      </w:r>
      <w:proofErr w:type="spellStart"/>
      <w:r w:rsidRPr="00B300EE">
        <w:rPr>
          <w:rFonts w:ascii="Times New Roman" w:hAnsi="Times New Roman" w:cs="Times New Roman"/>
          <w:i/>
          <w:iCs/>
        </w:rPr>
        <w:t>backward</w:t>
      </w:r>
      <w:proofErr w:type="spellEnd"/>
      <w:r w:rsidRPr="00B300EE">
        <w:rPr>
          <w:rFonts w:ascii="Times New Roman" w:hAnsi="Times New Roman" w:cs="Times New Roman"/>
          <w:i/>
          <w:iCs/>
        </w:rPr>
        <w:t xml:space="preserve"> </w:t>
      </w:r>
      <w:proofErr w:type="spellStart"/>
      <w:r w:rsidRPr="00B300EE">
        <w:rPr>
          <w:rFonts w:ascii="Times New Roman" w:hAnsi="Times New Roman" w:cs="Times New Roman"/>
          <w:i/>
          <w:iCs/>
        </w:rPr>
        <w:t>looking</w:t>
      </w:r>
      <w:proofErr w:type="spellEnd"/>
      <w:r w:rsidRPr="00B300EE">
        <w:rPr>
          <w:rFonts w:ascii="Times New Roman" w:hAnsi="Times New Roman" w:cs="Times New Roman"/>
        </w:rPr>
        <w:t xml:space="preserve">, por meio do qual os custos empregados no último ciclo regulatório são calculados de forma a serem remunerados pela tarifa a ser implementada no ciclo seguinte. </w:t>
      </w:r>
      <w:r w:rsidRPr="00B300EE">
        <w:rPr>
          <w:rFonts w:ascii="Times New Roman" w:hAnsi="Times New Roman" w:cs="Times New Roman"/>
        </w:rPr>
        <w:lastRenderedPageBreak/>
        <w:t xml:space="preserve">Registre-se que aqui a alteração realizada quando da desestatização da Companhia, sendo que o modelo anteriormente adotado – denominado </w:t>
      </w:r>
      <w:proofErr w:type="spellStart"/>
      <w:r w:rsidRPr="00B300EE">
        <w:rPr>
          <w:rFonts w:ascii="Times New Roman" w:hAnsi="Times New Roman" w:cs="Times New Roman"/>
          <w:i/>
          <w:iCs/>
        </w:rPr>
        <w:t>forward</w:t>
      </w:r>
      <w:proofErr w:type="spellEnd"/>
      <w:r w:rsidRPr="00B300EE">
        <w:rPr>
          <w:rFonts w:ascii="Times New Roman" w:hAnsi="Times New Roman" w:cs="Times New Roman"/>
          <w:i/>
          <w:iCs/>
        </w:rPr>
        <w:t xml:space="preserve"> </w:t>
      </w:r>
      <w:proofErr w:type="spellStart"/>
      <w:r w:rsidRPr="00B300EE">
        <w:rPr>
          <w:rFonts w:ascii="Times New Roman" w:hAnsi="Times New Roman" w:cs="Times New Roman"/>
          <w:i/>
          <w:iCs/>
        </w:rPr>
        <w:t>looking</w:t>
      </w:r>
      <w:proofErr w:type="spellEnd"/>
      <w:r w:rsidRPr="00B300EE">
        <w:rPr>
          <w:rFonts w:ascii="Times New Roman" w:hAnsi="Times New Roman" w:cs="Times New Roman"/>
        </w:rPr>
        <w:t xml:space="preserve"> – previa a composição tarifária a partir de uma estimativa de custos para o ciclo seguinte. </w:t>
      </w:r>
    </w:p>
    <w:p w14:paraId="1EE2240C" w14:textId="362FD900" w:rsidR="00462D97" w:rsidRPr="00234F25" w:rsidRDefault="00462D97" w:rsidP="00234F25">
      <w:pPr>
        <w:spacing w:after="0" w:line="240" w:lineRule="auto"/>
        <w:ind w:left="2268"/>
        <w:jc w:val="both"/>
        <w:rPr>
          <w:rFonts w:ascii="Times New Roman" w:hAnsi="Times New Roman" w:cs="Times New Roman"/>
          <w:sz w:val="20"/>
          <w:szCs w:val="20"/>
        </w:rPr>
      </w:pPr>
      <w:r w:rsidRPr="00234F25">
        <w:rPr>
          <w:rFonts w:ascii="Times New Roman" w:hAnsi="Times New Roman" w:cs="Times New Roman"/>
          <w:sz w:val="20"/>
          <w:szCs w:val="20"/>
        </w:rPr>
        <w:t xml:space="preserve">Quanto ao modelo regulatório, um ponto de destaque da minuta do contrato de concessão é a previsão de reajuste tarifário e revisão tarifária periódica com abordagem </w:t>
      </w:r>
      <w:proofErr w:type="spellStart"/>
      <w:r w:rsidRPr="00234F25">
        <w:rPr>
          <w:rFonts w:ascii="Times New Roman" w:hAnsi="Times New Roman" w:cs="Times New Roman"/>
          <w:i/>
          <w:iCs/>
          <w:sz w:val="20"/>
          <w:szCs w:val="20"/>
        </w:rPr>
        <w:t>backward</w:t>
      </w:r>
      <w:proofErr w:type="spellEnd"/>
      <w:r w:rsidRPr="00234F25">
        <w:rPr>
          <w:rFonts w:ascii="Times New Roman" w:hAnsi="Times New Roman" w:cs="Times New Roman"/>
          <w:i/>
          <w:iCs/>
          <w:sz w:val="20"/>
          <w:szCs w:val="20"/>
        </w:rPr>
        <w:t xml:space="preserve"> </w:t>
      </w:r>
      <w:proofErr w:type="spellStart"/>
      <w:r w:rsidRPr="00234F25">
        <w:rPr>
          <w:rFonts w:ascii="Times New Roman" w:hAnsi="Times New Roman" w:cs="Times New Roman"/>
          <w:i/>
          <w:iCs/>
          <w:sz w:val="20"/>
          <w:szCs w:val="20"/>
        </w:rPr>
        <w:t>looking</w:t>
      </w:r>
      <w:proofErr w:type="spellEnd"/>
      <w:r w:rsidRPr="00234F25">
        <w:rPr>
          <w:rFonts w:ascii="Times New Roman" w:hAnsi="Times New Roman" w:cs="Times New Roman"/>
          <w:sz w:val="20"/>
          <w:szCs w:val="20"/>
        </w:rPr>
        <w:t>, isto é, com incorporação do valor dos investimentos na tarifa após a sua realização. Nesse sentido, no processo de definição das tarifas para o ciclo tarifário subsequente, a Agência Reguladora de Serviços Públicos do Estado de São Paulo (</w:t>
      </w:r>
      <w:proofErr w:type="spellStart"/>
      <w:r w:rsidRPr="00234F25">
        <w:rPr>
          <w:rFonts w:ascii="Times New Roman" w:hAnsi="Times New Roman" w:cs="Times New Roman"/>
          <w:sz w:val="20"/>
          <w:szCs w:val="20"/>
        </w:rPr>
        <w:t>Arsesp</w:t>
      </w:r>
      <w:proofErr w:type="spellEnd"/>
      <w:r w:rsidRPr="00234F25">
        <w:rPr>
          <w:rFonts w:ascii="Times New Roman" w:hAnsi="Times New Roman" w:cs="Times New Roman"/>
          <w:sz w:val="20"/>
          <w:szCs w:val="20"/>
        </w:rPr>
        <w:t xml:space="preserve">) deverá considerar os valores necessários para remunerar os custos da concessionária e os investimentos realizados calculados com base no período referencial de 12 meses, considerando janeiro a dezembro do ano anterior à revisão tarifária periódica. Trata-se, portanto, de uma consideração dos custos e investimentos </w:t>
      </w:r>
      <w:proofErr w:type="spellStart"/>
      <w:r w:rsidRPr="00234F25">
        <w:rPr>
          <w:rFonts w:ascii="Times New Roman" w:hAnsi="Times New Roman" w:cs="Times New Roman"/>
          <w:sz w:val="20"/>
          <w:szCs w:val="20"/>
        </w:rPr>
        <w:t>ex</w:t>
      </w:r>
      <w:proofErr w:type="spellEnd"/>
      <w:r w:rsidRPr="00234F25">
        <w:rPr>
          <w:rFonts w:ascii="Times New Roman" w:hAnsi="Times New Roman" w:cs="Times New Roman"/>
          <w:sz w:val="20"/>
          <w:szCs w:val="20"/>
        </w:rPr>
        <w:t xml:space="preserve"> post, o que gera incentivos para que a Sabesp realize os tão almejados investimentos necessários à universalização</w:t>
      </w:r>
      <w:r w:rsidR="008F7522" w:rsidRPr="00234F25">
        <w:rPr>
          <w:rStyle w:val="Refdenotaderodap"/>
          <w:rFonts w:ascii="Times New Roman" w:hAnsi="Times New Roman" w:cs="Times New Roman"/>
          <w:sz w:val="20"/>
          <w:szCs w:val="20"/>
        </w:rPr>
        <w:footnoteReference w:id="22"/>
      </w:r>
      <w:r w:rsidRPr="00234F25">
        <w:rPr>
          <w:rFonts w:ascii="Times New Roman" w:hAnsi="Times New Roman" w:cs="Times New Roman"/>
          <w:sz w:val="20"/>
          <w:szCs w:val="20"/>
        </w:rPr>
        <w:t>.</w:t>
      </w:r>
    </w:p>
    <w:p w14:paraId="0957B824" w14:textId="77777777" w:rsidR="00234F25" w:rsidRDefault="00234F25" w:rsidP="00462D97">
      <w:pPr>
        <w:spacing w:after="0" w:line="360" w:lineRule="auto"/>
        <w:ind w:firstLine="709"/>
        <w:jc w:val="both"/>
        <w:rPr>
          <w:rFonts w:ascii="Times New Roman" w:hAnsi="Times New Roman" w:cs="Times New Roman"/>
        </w:rPr>
      </w:pPr>
    </w:p>
    <w:p w14:paraId="648DB494" w14:textId="40D3685E"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Independentemente disso, registre-se que os custos e a base regulatória são os fundamentos para a composição tarifária. E, se há investimentos “prudentes” a serem realizados pela concessionária para fins de cumprimento das metas de universalização – ainda que não exaustivamente detalhados, tem-se que: (i) a concessionária detém certa liberdade na realização desses investimentos prudentes; (</w:t>
      </w:r>
      <w:proofErr w:type="spellStart"/>
      <w:r w:rsidRPr="00B300EE">
        <w:rPr>
          <w:rFonts w:ascii="Times New Roman" w:hAnsi="Times New Roman" w:cs="Times New Roman"/>
        </w:rPr>
        <w:t>ii</w:t>
      </w:r>
      <w:proofErr w:type="spellEnd"/>
      <w:r w:rsidRPr="00B300EE">
        <w:rPr>
          <w:rFonts w:ascii="Times New Roman" w:hAnsi="Times New Roman" w:cs="Times New Roman"/>
        </w:rPr>
        <w:t xml:space="preserve">) uma vez realizados, na forma prevista no Modelo Regulatório, passarão a compor a base de ativos, que, por sua vez, é elemento considerado na revisão tarifária; tem-se, como natural conclusão: a concessionária é incentivada a investimentos prudentes para fins de cumprimento das metas de universalização da prestação de serviços de abastecimento de água e de esgotamento sanitário. </w:t>
      </w:r>
    </w:p>
    <w:p w14:paraId="2B5571E6"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A ideia do modelo é incentivar o investimento da concessionária justamente para composição tarifária, sendo a maioria dos investimentos exaustivamente previstos mínimos, cabendo certo grau de discricionariedade a esse privado para a execução desses investimentos. </w:t>
      </w:r>
    </w:p>
    <w:p w14:paraId="07FF601F" w14:textId="6226229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Sobre o tema, o Relatório de Consulta Pública afirma:</w:t>
      </w:r>
    </w:p>
    <w:p w14:paraId="74B4BEA8" w14:textId="77777777" w:rsidR="00462D97" w:rsidRPr="00B559A3" w:rsidRDefault="00462D97" w:rsidP="00B559A3">
      <w:pPr>
        <w:spacing w:after="0" w:line="240" w:lineRule="auto"/>
        <w:ind w:left="2268"/>
        <w:jc w:val="both"/>
        <w:rPr>
          <w:rFonts w:ascii="Times New Roman" w:hAnsi="Times New Roman" w:cs="Times New Roman"/>
          <w:sz w:val="20"/>
          <w:szCs w:val="20"/>
        </w:rPr>
      </w:pPr>
      <w:r w:rsidRPr="00B559A3">
        <w:rPr>
          <w:rFonts w:ascii="Times New Roman" w:hAnsi="Times New Roman" w:cs="Times New Roman"/>
          <w:sz w:val="20"/>
          <w:szCs w:val="20"/>
        </w:rPr>
        <w:t xml:space="preserve">As Contribuições buscaram indicar e/ou melhor caracterizar as projeções dos índices de cobertura, para garantir a universalização dos serviços até 2029. Assim, os Investimentos Obrigatórios foram avaliados sempre verificando dados e volume de investimentos de forma a compatibilizar o escopo com o Plano de Investimentos Referencial e com o Plano Regional de Saneamento Básico, cuja abrangência e prevalência é destacada no art. 17, §2º da Lei Federal n.º 11.445/2007. </w:t>
      </w:r>
    </w:p>
    <w:p w14:paraId="5503303C" w14:textId="77777777" w:rsidR="00462D97" w:rsidRPr="00B559A3" w:rsidRDefault="00462D97" w:rsidP="00B559A3">
      <w:pPr>
        <w:spacing w:after="0" w:line="240" w:lineRule="auto"/>
        <w:ind w:left="2268"/>
        <w:jc w:val="both"/>
        <w:rPr>
          <w:rFonts w:ascii="Times New Roman" w:hAnsi="Times New Roman" w:cs="Times New Roman"/>
          <w:sz w:val="20"/>
          <w:szCs w:val="20"/>
        </w:rPr>
      </w:pPr>
      <w:r w:rsidRPr="00B559A3">
        <w:rPr>
          <w:rFonts w:ascii="Times New Roman" w:hAnsi="Times New Roman" w:cs="Times New Roman"/>
          <w:sz w:val="20"/>
          <w:szCs w:val="20"/>
        </w:rPr>
        <w:t xml:space="preserve">É importante destacar que a previsão de Investimentos Obrigatórios no Projeto tem como finalidade viabilizar segurança jurídica e operacional para a SABESP e para os usuários e entes municipais, de modo a permitir a convergência entre um rol de investimentos previamente estabelecidos, a dinâmica orientada pelas metas de universalização e as hipóteses de revisão dos documentos nos momentos pertinentes, sempre atualizando e compatibilizando os investimentos com a dinâmica dos serviços. </w:t>
      </w:r>
    </w:p>
    <w:p w14:paraId="765E5BB7" w14:textId="2404AE64" w:rsidR="00462D97" w:rsidRPr="00B559A3" w:rsidRDefault="006B7F6A" w:rsidP="00B559A3">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w:t>
      </w:r>
    </w:p>
    <w:p w14:paraId="7411FDB3" w14:textId="77777777" w:rsidR="00462D97" w:rsidRPr="00B559A3" w:rsidRDefault="00462D97" w:rsidP="00B559A3">
      <w:pPr>
        <w:spacing w:after="0" w:line="240" w:lineRule="auto"/>
        <w:ind w:left="2268"/>
        <w:jc w:val="both"/>
        <w:rPr>
          <w:rFonts w:ascii="Times New Roman" w:hAnsi="Times New Roman" w:cs="Times New Roman"/>
          <w:sz w:val="20"/>
          <w:szCs w:val="20"/>
        </w:rPr>
      </w:pPr>
      <w:r w:rsidRPr="00B559A3">
        <w:rPr>
          <w:rFonts w:ascii="Times New Roman" w:hAnsi="Times New Roman" w:cs="Times New Roman"/>
          <w:sz w:val="20"/>
          <w:szCs w:val="20"/>
        </w:rPr>
        <w:t xml:space="preserve">Não se pode descuidar, de outro lado, que o Anexo II de cada município lista intervenções específicas importantes que devem ser consideradas pela SABESP em </w:t>
      </w:r>
      <w:r w:rsidRPr="00B559A3">
        <w:rPr>
          <w:rFonts w:ascii="Times New Roman" w:hAnsi="Times New Roman" w:cs="Times New Roman"/>
          <w:sz w:val="20"/>
          <w:szCs w:val="20"/>
        </w:rPr>
        <w:lastRenderedPageBreak/>
        <w:t xml:space="preserve">seu plano de investimentos, e a concretização dos investimentos obrigatórios é uma providência essencial para o atingimento das metas. </w:t>
      </w:r>
    </w:p>
    <w:p w14:paraId="713EAFDD" w14:textId="77777777" w:rsidR="00462D97" w:rsidRPr="00B559A3" w:rsidRDefault="00462D97" w:rsidP="00B559A3">
      <w:pPr>
        <w:spacing w:after="0" w:line="240" w:lineRule="auto"/>
        <w:ind w:left="2268"/>
        <w:jc w:val="both"/>
        <w:rPr>
          <w:rFonts w:ascii="Times New Roman" w:hAnsi="Times New Roman" w:cs="Times New Roman"/>
          <w:b/>
          <w:bCs/>
          <w:sz w:val="20"/>
          <w:szCs w:val="20"/>
        </w:rPr>
      </w:pPr>
      <w:r w:rsidRPr="00B559A3">
        <w:rPr>
          <w:rFonts w:ascii="Times New Roman" w:hAnsi="Times New Roman" w:cs="Times New Roman"/>
          <w:b/>
          <w:bCs/>
          <w:sz w:val="20"/>
          <w:szCs w:val="20"/>
        </w:rPr>
        <w:t xml:space="preserve">Com base nesse racional, busca-se conferir à SABESP a liberdade para adotar a tecnologia mais atual e eficiente possível, sem descuidar das intervenções importantes para cada Município, adotando como foco a universalização dos serviços, que se dá por meio da ampliação das metas de cobertura, e perpassa pela consecução dos investimentos obrigatórios. (grifo nosso). </w:t>
      </w:r>
    </w:p>
    <w:p w14:paraId="0CEDAA99" w14:textId="77777777" w:rsidR="00462D97" w:rsidRPr="00B300EE" w:rsidRDefault="00462D97" w:rsidP="00462D97">
      <w:pPr>
        <w:spacing w:after="0" w:line="360" w:lineRule="auto"/>
        <w:ind w:firstLine="709"/>
        <w:jc w:val="both"/>
        <w:rPr>
          <w:rFonts w:ascii="Times New Roman" w:hAnsi="Times New Roman" w:cs="Times New Roman"/>
        </w:rPr>
      </w:pPr>
    </w:p>
    <w:p w14:paraId="14B6660F"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Vê-se, portanto, um contrato de concessão </w:t>
      </w:r>
      <w:r w:rsidRPr="006B7F6A">
        <w:rPr>
          <w:rFonts w:ascii="Times New Roman" w:hAnsi="Times New Roman" w:cs="Times New Roman"/>
          <w:i/>
          <w:iCs/>
        </w:rPr>
        <w:t>sui generis</w:t>
      </w:r>
      <w:r w:rsidRPr="00B300EE">
        <w:rPr>
          <w:rFonts w:ascii="Times New Roman" w:hAnsi="Times New Roman" w:cs="Times New Roman"/>
        </w:rPr>
        <w:t xml:space="preserve">, no qual há uma margem de discricionariedade do prestador para a definição de investimentos que repercutirão na sua remuneração. </w:t>
      </w:r>
    </w:p>
    <w:p w14:paraId="347602F3"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Tem-se uma inversão do modelo tradicional – em que se prevê investimentos e um cronograma de execução, e, em paralelo, uma garantia de remuneração. Assim, em eventual descumprimento contratual, com inadimplemento dos investimentos, a concessionária pode até ser penalizada pelo inadimplemento, se adotados os fatores de desempenho. Mas, em linhas gerais, sua remuneração é mantida em sua maioria. </w:t>
      </w:r>
    </w:p>
    <w:p w14:paraId="2E5BF247" w14:textId="77777777" w:rsidR="00462D97" w:rsidRPr="00B300EE" w:rsidRDefault="00462D97" w:rsidP="00462D97">
      <w:pPr>
        <w:spacing w:after="0" w:line="360" w:lineRule="auto"/>
        <w:ind w:firstLine="709"/>
        <w:jc w:val="both"/>
        <w:rPr>
          <w:rFonts w:ascii="Times New Roman" w:hAnsi="Times New Roman" w:cs="Times New Roman"/>
        </w:rPr>
      </w:pPr>
      <w:r w:rsidRPr="00B300EE">
        <w:rPr>
          <w:rFonts w:ascii="Times New Roman" w:hAnsi="Times New Roman" w:cs="Times New Roman"/>
        </w:rPr>
        <w:t xml:space="preserve">Nesse caso específico não, a realização de investimentos é condição para o aumento de remuneração do prestador, conferindo claro incentivo à implementação </w:t>
      </w:r>
      <w:proofErr w:type="gramStart"/>
      <w:r w:rsidRPr="00B300EE">
        <w:rPr>
          <w:rFonts w:ascii="Times New Roman" w:hAnsi="Times New Roman" w:cs="Times New Roman"/>
        </w:rPr>
        <w:t>dos mesmos</w:t>
      </w:r>
      <w:proofErr w:type="gramEnd"/>
      <w:r w:rsidRPr="00B300EE">
        <w:rPr>
          <w:rFonts w:ascii="Times New Roman" w:hAnsi="Times New Roman" w:cs="Times New Roman"/>
        </w:rPr>
        <w:t xml:space="preserve">. Evidencia-se, portanto, um início de aplicação de mecanismos de incentivo no setor de saneamento básico, e, mais do que isso, demonstra sua viabilidade jurídica diante de um setor com tantas complexidades. </w:t>
      </w:r>
    </w:p>
    <w:p w14:paraId="481AC840" w14:textId="77777777" w:rsidR="00055279" w:rsidRPr="00B300EE" w:rsidRDefault="00055279" w:rsidP="00823DB9">
      <w:pPr>
        <w:spacing w:after="0" w:line="360" w:lineRule="auto"/>
        <w:ind w:firstLine="709"/>
        <w:jc w:val="both"/>
        <w:rPr>
          <w:rFonts w:ascii="Times New Roman" w:hAnsi="Times New Roman" w:cs="Times New Roman"/>
        </w:rPr>
      </w:pPr>
    </w:p>
    <w:p w14:paraId="1F347817" w14:textId="38A91D03" w:rsidR="00823DB9" w:rsidRPr="00B300EE" w:rsidRDefault="00055279" w:rsidP="00A933A3">
      <w:pPr>
        <w:pStyle w:val="Ttulo2"/>
      </w:pPr>
      <w:r w:rsidRPr="00B300EE">
        <w:t xml:space="preserve">4.2. </w:t>
      </w:r>
      <w:r w:rsidR="00147409" w:rsidRPr="00A933A3">
        <w:rPr>
          <w:rStyle w:val="Ttulo3Char"/>
          <w:i/>
          <w:iCs/>
        </w:rPr>
        <w:t>Discussão</w:t>
      </w:r>
      <w:r w:rsidR="00823DB9" w:rsidRPr="00B300EE">
        <w:t xml:space="preserve"> </w:t>
      </w:r>
    </w:p>
    <w:p w14:paraId="79816A8A" w14:textId="04997097" w:rsidR="00BF4FEC" w:rsidRDefault="00271EC3" w:rsidP="00C17B4F">
      <w:pPr>
        <w:spacing w:after="0" w:line="360" w:lineRule="auto"/>
        <w:ind w:firstLine="709"/>
        <w:jc w:val="both"/>
        <w:rPr>
          <w:rFonts w:ascii="Times New Roman" w:hAnsi="Times New Roman" w:cs="Times New Roman"/>
        </w:rPr>
      </w:pPr>
      <w:r>
        <w:rPr>
          <w:rFonts w:ascii="Times New Roman" w:hAnsi="Times New Roman" w:cs="Times New Roman"/>
        </w:rPr>
        <w:t xml:space="preserve">A principal discussão que se coloca nesta pesquisa é a de transposição dos mecanismos de incentivo </w:t>
      </w:r>
      <w:r w:rsidR="00C17B4F">
        <w:rPr>
          <w:rFonts w:ascii="Times New Roman" w:hAnsi="Times New Roman" w:cs="Times New Roman"/>
        </w:rPr>
        <w:t xml:space="preserve">aos contratos de concessão de serviços públicos de saneamento básico e a forma de sua implementação. Ou seja: quais desses mecanismos </w:t>
      </w:r>
      <w:r w:rsidR="00071A62">
        <w:rPr>
          <w:rFonts w:ascii="Times New Roman" w:hAnsi="Times New Roman" w:cs="Times New Roman"/>
        </w:rPr>
        <w:t xml:space="preserve">existentes, por exemplo, nos contratos de concessão de </w:t>
      </w:r>
      <w:r w:rsidR="00A933A3">
        <w:rPr>
          <w:rFonts w:ascii="Times New Roman" w:hAnsi="Times New Roman" w:cs="Times New Roman"/>
        </w:rPr>
        <w:t>transportes</w:t>
      </w:r>
      <w:r w:rsidR="00071A62">
        <w:rPr>
          <w:rFonts w:ascii="Times New Roman" w:hAnsi="Times New Roman" w:cs="Times New Roman"/>
        </w:rPr>
        <w:t xml:space="preserve">, poderiam ser utilizados em contratos de concessão de saneamento básico para fins de contribuir com a universalização da prestação de serviços. </w:t>
      </w:r>
    </w:p>
    <w:p w14:paraId="5166BED5" w14:textId="4647AA76" w:rsidR="00071A62" w:rsidRDefault="004360C5" w:rsidP="00C17B4F">
      <w:pPr>
        <w:spacing w:after="0" w:line="360" w:lineRule="auto"/>
        <w:ind w:firstLine="709"/>
        <w:jc w:val="both"/>
        <w:rPr>
          <w:rFonts w:ascii="Times New Roman" w:hAnsi="Times New Roman" w:cs="Times New Roman"/>
        </w:rPr>
      </w:pPr>
      <w:r>
        <w:rPr>
          <w:rFonts w:ascii="Times New Roman" w:hAnsi="Times New Roman" w:cs="Times New Roman"/>
        </w:rPr>
        <w:t>Inicialmente entende-se como viável tanto a utilização de sistemas de KPI, quanto eventual prorrogação de prazo contratual ou bonificação extra ao concessionário</w:t>
      </w:r>
      <w:r w:rsidR="0002012E">
        <w:rPr>
          <w:rFonts w:ascii="Times New Roman" w:hAnsi="Times New Roman" w:cs="Times New Roman"/>
        </w:rPr>
        <w:t>, com consequente ampliação do volume de receita auferido</w:t>
      </w:r>
      <w:r w:rsidR="00206424">
        <w:rPr>
          <w:rFonts w:ascii="Times New Roman" w:hAnsi="Times New Roman" w:cs="Times New Roman"/>
        </w:rPr>
        <w:t xml:space="preserve">. essa forma, pretende-se a estruturação de contratos de concessão que, ainda que contem com o arrolamento de sanções por descumprimento contratual, </w:t>
      </w:r>
      <w:proofErr w:type="gramStart"/>
      <w:r w:rsidR="00206424">
        <w:rPr>
          <w:rFonts w:ascii="Times New Roman" w:hAnsi="Times New Roman" w:cs="Times New Roman"/>
        </w:rPr>
        <w:t>contem</w:t>
      </w:r>
      <w:proofErr w:type="gramEnd"/>
      <w:r w:rsidR="00206424">
        <w:rPr>
          <w:rFonts w:ascii="Times New Roman" w:hAnsi="Times New Roman" w:cs="Times New Roman"/>
        </w:rPr>
        <w:t xml:space="preserve"> também com essa alternativa, de </w:t>
      </w:r>
      <w:r w:rsidR="00BE1613">
        <w:rPr>
          <w:rFonts w:ascii="Times New Roman" w:hAnsi="Times New Roman" w:cs="Times New Roman"/>
        </w:rPr>
        <w:t xml:space="preserve">bonificação do concessionário – por meio de sanção </w:t>
      </w:r>
      <w:proofErr w:type="spellStart"/>
      <w:r w:rsidR="00BE1613">
        <w:rPr>
          <w:rFonts w:ascii="Times New Roman" w:hAnsi="Times New Roman" w:cs="Times New Roman"/>
        </w:rPr>
        <w:t>premial</w:t>
      </w:r>
      <w:proofErr w:type="spellEnd"/>
      <w:r w:rsidR="00BE1613">
        <w:rPr>
          <w:rFonts w:ascii="Times New Roman" w:hAnsi="Times New Roman" w:cs="Times New Roman"/>
        </w:rPr>
        <w:t xml:space="preserve"> – que o incentiva à prestação de um serviço para além do adequado. </w:t>
      </w:r>
    </w:p>
    <w:p w14:paraId="69F97624" w14:textId="1FDBEEA4" w:rsidR="00BE1613" w:rsidRPr="00B300EE" w:rsidRDefault="00BE1613" w:rsidP="00C17B4F">
      <w:pPr>
        <w:spacing w:after="0" w:line="360" w:lineRule="auto"/>
        <w:ind w:firstLine="709"/>
        <w:jc w:val="both"/>
        <w:rPr>
          <w:rFonts w:ascii="Times New Roman" w:hAnsi="Times New Roman" w:cs="Times New Roman"/>
        </w:rPr>
      </w:pPr>
      <w:r>
        <w:rPr>
          <w:rFonts w:ascii="Times New Roman" w:hAnsi="Times New Roman" w:cs="Times New Roman"/>
        </w:rPr>
        <w:t xml:space="preserve">Contudo, é necessário considerar a viabilidade econômico-financeira desse modelo, uma vez que, diferentemente dos contratos de concessão de </w:t>
      </w:r>
      <w:r w:rsidR="00A933A3">
        <w:rPr>
          <w:rFonts w:ascii="Times New Roman" w:hAnsi="Times New Roman" w:cs="Times New Roman"/>
        </w:rPr>
        <w:t>transportes</w:t>
      </w:r>
      <w:r>
        <w:rPr>
          <w:rFonts w:ascii="Times New Roman" w:hAnsi="Times New Roman" w:cs="Times New Roman"/>
        </w:rPr>
        <w:t xml:space="preserve">, o aumento do valor </w:t>
      </w:r>
      <w:r>
        <w:rPr>
          <w:rFonts w:ascii="Times New Roman" w:hAnsi="Times New Roman" w:cs="Times New Roman"/>
        </w:rPr>
        <w:lastRenderedPageBreak/>
        <w:t xml:space="preserve">tarifário não se mostra como alternativa viável, dada a sensibilidade do usuário e a essencialidade do serviço. Por essa razão, os próximos passos da pesquisa envolvem uma análise e avaliação desse aspecto. </w:t>
      </w:r>
    </w:p>
    <w:p w14:paraId="7D672C3A" w14:textId="77777777" w:rsidR="00BF4FEC" w:rsidRPr="00B300EE" w:rsidRDefault="00BF4FEC" w:rsidP="00BF4FEC">
      <w:pPr>
        <w:rPr>
          <w:rFonts w:ascii="Times New Roman" w:hAnsi="Times New Roman" w:cs="Times New Roman"/>
        </w:rPr>
      </w:pPr>
    </w:p>
    <w:p w14:paraId="1C327075" w14:textId="594061C6" w:rsidR="00823DB9" w:rsidRPr="00B300EE" w:rsidRDefault="00BF4FEC" w:rsidP="00BF4FEC">
      <w:pPr>
        <w:pStyle w:val="Ttulo1"/>
      </w:pPr>
      <w:r w:rsidRPr="00B300EE">
        <w:t>5. CONSIDERAÇÕES FINAIS</w:t>
      </w:r>
    </w:p>
    <w:p w14:paraId="00C531DF" w14:textId="75B14990" w:rsidR="00630B32" w:rsidRPr="00630B32" w:rsidRDefault="00630B32" w:rsidP="00630B32">
      <w:pPr>
        <w:spacing w:after="0" w:line="360" w:lineRule="auto"/>
        <w:ind w:firstLine="709"/>
        <w:jc w:val="both"/>
        <w:rPr>
          <w:rFonts w:ascii="Times New Roman" w:hAnsi="Times New Roman" w:cs="Times New Roman"/>
        </w:rPr>
      </w:pPr>
      <w:r w:rsidRPr="00630B32">
        <w:rPr>
          <w:rFonts w:ascii="Times New Roman" w:hAnsi="Times New Roman" w:cs="Times New Roman"/>
        </w:rPr>
        <w:t xml:space="preserve">Este Relatório teve por objetivo simplesmente explicitar as pesquisas em desenvolvimento, com a construção de um mínimo arco metodológico e teórico que possa demonstrar os resultados que vêm sendo obtidos e as expectativas a partir deles e da realização de novas pesquisas. Nota-se que: </w:t>
      </w:r>
    </w:p>
    <w:p w14:paraId="2816E45F" w14:textId="77777777" w:rsidR="00630B32" w:rsidRPr="00630B32" w:rsidRDefault="00630B32" w:rsidP="00BE1613">
      <w:pPr>
        <w:numPr>
          <w:ilvl w:val="0"/>
          <w:numId w:val="1"/>
        </w:numPr>
        <w:spacing w:after="0" w:line="360" w:lineRule="auto"/>
        <w:ind w:left="1134" w:firstLine="0"/>
        <w:jc w:val="both"/>
        <w:rPr>
          <w:rFonts w:ascii="Times New Roman" w:hAnsi="Times New Roman" w:cs="Times New Roman"/>
        </w:rPr>
      </w:pPr>
      <w:r w:rsidRPr="00630B32">
        <w:rPr>
          <w:rFonts w:ascii="Times New Roman" w:hAnsi="Times New Roman" w:cs="Times New Roman"/>
        </w:rPr>
        <w:t xml:space="preserve">O setor de saneamento básico se distingue do setor rodoviário, razão pela qual algumas das conclusões, e, principalmente, alguns dos exemplos obtidos no setor rodoviário não serão suficientes ou adequados para serem transpostos ao setor de saneamento básico; </w:t>
      </w:r>
    </w:p>
    <w:p w14:paraId="1143D85F" w14:textId="77777777" w:rsidR="00630B32" w:rsidRPr="00630B32" w:rsidRDefault="00630B32" w:rsidP="00BE1613">
      <w:pPr>
        <w:numPr>
          <w:ilvl w:val="0"/>
          <w:numId w:val="1"/>
        </w:numPr>
        <w:spacing w:after="0" w:line="360" w:lineRule="auto"/>
        <w:ind w:left="1134" w:firstLine="0"/>
        <w:jc w:val="both"/>
        <w:rPr>
          <w:rFonts w:ascii="Times New Roman" w:hAnsi="Times New Roman" w:cs="Times New Roman"/>
        </w:rPr>
      </w:pPr>
      <w:r w:rsidRPr="00630B32">
        <w:rPr>
          <w:rFonts w:ascii="Times New Roman" w:hAnsi="Times New Roman" w:cs="Times New Roman"/>
        </w:rPr>
        <w:t xml:space="preserve">Existem algumas dificuldades intrínsecas à universalização dos serviços de saneamento e sobre elas a regulação exerce um papel essencial; </w:t>
      </w:r>
    </w:p>
    <w:p w14:paraId="72D07AE7" w14:textId="77777777" w:rsidR="00630B32" w:rsidRPr="00630B32" w:rsidRDefault="00630B32" w:rsidP="00BE1613">
      <w:pPr>
        <w:numPr>
          <w:ilvl w:val="0"/>
          <w:numId w:val="1"/>
        </w:numPr>
        <w:spacing w:after="0" w:line="360" w:lineRule="auto"/>
        <w:ind w:left="1134" w:firstLine="0"/>
        <w:jc w:val="both"/>
        <w:rPr>
          <w:rFonts w:ascii="Times New Roman" w:hAnsi="Times New Roman" w:cs="Times New Roman"/>
        </w:rPr>
      </w:pPr>
      <w:r w:rsidRPr="00630B32">
        <w:rPr>
          <w:rFonts w:ascii="Times New Roman" w:hAnsi="Times New Roman" w:cs="Times New Roman"/>
        </w:rPr>
        <w:t>No caso dos serviços de abastecimento de água e de esgotamento sanitário, que aqui nos interessa em razão das metas de universalização contratual, vê-se que a regulação discricionária ocupa um importante papel ainda, dado o histórico do setor.</w:t>
      </w:r>
    </w:p>
    <w:p w14:paraId="4307F5ED" w14:textId="77777777" w:rsidR="00630B32" w:rsidRPr="00630B32" w:rsidRDefault="00630B32" w:rsidP="00BE1613">
      <w:pPr>
        <w:numPr>
          <w:ilvl w:val="0"/>
          <w:numId w:val="1"/>
        </w:numPr>
        <w:spacing w:after="0" w:line="360" w:lineRule="auto"/>
        <w:ind w:left="1134" w:firstLine="0"/>
        <w:jc w:val="both"/>
        <w:rPr>
          <w:rFonts w:ascii="Times New Roman" w:hAnsi="Times New Roman" w:cs="Times New Roman"/>
        </w:rPr>
      </w:pPr>
      <w:r w:rsidRPr="00630B32">
        <w:rPr>
          <w:rFonts w:ascii="Times New Roman" w:hAnsi="Times New Roman" w:cs="Times New Roman"/>
        </w:rPr>
        <w:t xml:space="preserve">Em análise, portanto, às normativas regulatórias, foi possível observar a aplicação da regulação responsiva já no sentido do escalonamento das sanções de acordo com a proporcionalidade entre o dano causado e as infrações, bem como a condução de processos sancionadores que contam com a ampla defesa e contraditório preservados dos prestadores, e, ainda, a possibilidade de substituição de sanções, por meio de compromissos de ajustamento de condutas, bastante focados em resultados em detrimento de uma punibilidade indiscriminada. </w:t>
      </w:r>
    </w:p>
    <w:p w14:paraId="23726D06" w14:textId="77777777" w:rsidR="00630B32" w:rsidRPr="00630B32" w:rsidRDefault="00630B32" w:rsidP="00BE1613">
      <w:pPr>
        <w:numPr>
          <w:ilvl w:val="0"/>
          <w:numId w:val="1"/>
        </w:numPr>
        <w:spacing w:after="0" w:line="360" w:lineRule="auto"/>
        <w:ind w:left="1134" w:firstLine="0"/>
        <w:jc w:val="both"/>
        <w:rPr>
          <w:rFonts w:ascii="Times New Roman" w:hAnsi="Times New Roman" w:cs="Times New Roman"/>
        </w:rPr>
      </w:pPr>
      <w:r w:rsidRPr="00630B32">
        <w:rPr>
          <w:rFonts w:ascii="Times New Roman" w:hAnsi="Times New Roman" w:cs="Times New Roman"/>
        </w:rPr>
        <w:t xml:space="preserve">Mas, no que diz respeito à sanção </w:t>
      </w:r>
      <w:proofErr w:type="spellStart"/>
      <w:r w:rsidRPr="00630B32">
        <w:rPr>
          <w:rFonts w:ascii="Times New Roman" w:hAnsi="Times New Roman" w:cs="Times New Roman"/>
        </w:rPr>
        <w:t>premial</w:t>
      </w:r>
      <w:proofErr w:type="spellEnd"/>
      <w:r w:rsidRPr="00630B32">
        <w:rPr>
          <w:rFonts w:ascii="Times New Roman" w:hAnsi="Times New Roman" w:cs="Times New Roman"/>
        </w:rPr>
        <w:t xml:space="preserve"> e incentivos de melhoria da prestação de serviços para além do adequado, não foi possível identificar nas normativas regulatórias. </w:t>
      </w:r>
    </w:p>
    <w:p w14:paraId="77CD568B" w14:textId="77777777" w:rsidR="00630B32" w:rsidRPr="00630B32" w:rsidRDefault="00630B32" w:rsidP="00BE1613">
      <w:pPr>
        <w:numPr>
          <w:ilvl w:val="0"/>
          <w:numId w:val="1"/>
        </w:numPr>
        <w:spacing w:after="0" w:line="360" w:lineRule="auto"/>
        <w:ind w:left="1134" w:firstLine="0"/>
        <w:jc w:val="both"/>
        <w:rPr>
          <w:rFonts w:ascii="Times New Roman" w:hAnsi="Times New Roman" w:cs="Times New Roman"/>
        </w:rPr>
      </w:pPr>
      <w:r w:rsidRPr="00630B32">
        <w:rPr>
          <w:rFonts w:ascii="Times New Roman" w:hAnsi="Times New Roman" w:cs="Times New Roman"/>
        </w:rPr>
        <w:t xml:space="preserve">Por outro lado, passou o estudo a investigar as particularidades do contrato de concessão firmado entre a Sabesp e os Municípios da URAE-1, no Estado de São Paulo, considerando sua abrangência e influência nacional, justamente com a finalidade de compreender a possibilidade de inclusão desses mecanismos de incentivo no bojo dos instrumentos contratuais; </w:t>
      </w:r>
    </w:p>
    <w:p w14:paraId="1B7E0AC2" w14:textId="77777777" w:rsidR="00630B32" w:rsidRPr="00630B32" w:rsidRDefault="00630B32" w:rsidP="00BE1613">
      <w:pPr>
        <w:numPr>
          <w:ilvl w:val="0"/>
          <w:numId w:val="1"/>
        </w:numPr>
        <w:spacing w:after="0" w:line="360" w:lineRule="auto"/>
        <w:ind w:left="1134" w:firstLine="0"/>
        <w:jc w:val="both"/>
        <w:rPr>
          <w:rFonts w:ascii="Times New Roman" w:hAnsi="Times New Roman" w:cs="Times New Roman"/>
        </w:rPr>
      </w:pPr>
      <w:r w:rsidRPr="00630B32">
        <w:rPr>
          <w:rFonts w:ascii="Times New Roman" w:hAnsi="Times New Roman" w:cs="Times New Roman"/>
        </w:rPr>
        <w:lastRenderedPageBreak/>
        <w:t xml:space="preserve">Nesse contrato, foi verificada a existência de investimentos obrigatórios e investimentos prudentes, sendo esses últimos não descritos de forma minuciosa pelos instrumentos contratuais, cabendo à concessionária a realização de investimentos prudentes ao atingimento das metas de universalização dos serviços. </w:t>
      </w:r>
    </w:p>
    <w:p w14:paraId="4D6F7C7B" w14:textId="77777777" w:rsidR="00630B32" w:rsidRPr="00630B32" w:rsidRDefault="00630B32" w:rsidP="00BE1613">
      <w:pPr>
        <w:numPr>
          <w:ilvl w:val="0"/>
          <w:numId w:val="1"/>
        </w:numPr>
        <w:spacing w:after="0" w:line="360" w:lineRule="auto"/>
        <w:ind w:left="1134" w:firstLine="0"/>
        <w:jc w:val="both"/>
        <w:rPr>
          <w:rFonts w:ascii="Times New Roman" w:hAnsi="Times New Roman" w:cs="Times New Roman"/>
        </w:rPr>
      </w:pPr>
      <w:r w:rsidRPr="00630B32">
        <w:rPr>
          <w:rFonts w:ascii="Times New Roman" w:hAnsi="Times New Roman" w:cs="Times New Roman"/>
        </w:rPr>
        <w:t xml:space="preserve">Esses investimentos – considerando a regulação discricionária a que a Sabesp de sujeita – passam a compor a base de ativos, e, consequentemente, a definição de valores tarifários para os próximos ciclos regulatórios. </w:t>
      </w:r>
    </w:p>
    <w:p w14:paraId="490769E0" w14:textId="77777777" w:rsidR="00630B32" w:rsidRPr="00630B32" w:rsidRDefault="00630B32" w:rsidP="00BE1613">
      <w:pPr>
        <w:numPr>
          <w:ilvl w:val="0"/>
          <w:numId w:val="1"/>
        </w:numPr>
        <w:spacing w:after="0" w:line="360" w:lineRule="auto"/>
        <w:ind w:left="1134" w:firstLine="0"/>
        <w:jc w:val="both"/>
        <w:rPr>
          <w:rFonts w:ascii="Times New Roman" w:hAnsi="Times New Roman" w:cs="Times New Roman"/>
        </w:rPr>
      </w:pPr>
      <w:r w:rsidRPr="00630B32">
        <w:rPr>
          <w:rFonts w:ascii="Times New Roman" w:hAnsi="Times New Roman" w:cs="Times New Roman"/>
        </w:rPr>
        <w:t xml:space="preserve">Tem-se, portanto, um incentivo aos investimentos da concessionária, uma vez que sua realização impacta diretamente em sua remuneração, evidenciando um futuro promissor na utilização dessas ferramentas em contratos de concessão de saneamento, mesmo considerando suas particularidades. </w:t>
      </w:r>
    </w:p>
    <w:p w14:paraId="55D97628" w14:textId="582E8509" w:rsidR="00630B32" w:rsidRPr="00B300EE" w:rsidRDefault="00BE1613" w:rsidP="00823DB9">
      <w:pPr>
        <w:spacing w:after="0" w:line="360" w:lineRule="auto"/>
        <w:ind w:firstLine="709"/>
        <w:jc w:val="both"/>
        <w:rPr>
          <w:rFonts w:ascii="Times New Roman" w:hAnsi="Times New Roman" w:cs="Times New Roman"/>
        </w:rPr>
      </w:pPr>
      <w:r>
        <w:rPr>
          <w:rFonts w:ascii="Times New Roman" w:hAnsi="Times New Roman" w:cs="Times New Roman"/>
        </w:rPr>
        <w:t xml:space="preserve">Por essa razão, conclui-se pela viabilidade do uso desses mecanismos em contratos de concessão de saneamento básico – evidentemente sem a possível comprovação de efetividade – mas de uma forma específica para o setor. </w:t>
      </w:r>
    </w:p>
    <w:p w14:paraId="3EE71DC2" w14:textId="77777777" w:rsidR="00630B32" w:rsidRPr="00B300EE" w:rsidRDefault="00630B32" w:rsidP="00823DB9">
      <w:pPr>
        <w:spacing w:after="0" w:line="360" w:lineRule="auto"/>
        <w:ind w:firstLine="709"/>
        <w:jc w:val="both"/>
        <w:rPr>
          <w:rFonts w:ascii="Times New Roman" w:hAnsi="Times New Roman" w:cs="Times New Roman"/>
        </w:rPr>
      </w:pPr>
    </w:p>
    <w:p w14:paraId="3C477C45" w14:textId="77777777" w:rsidR="00BF4FEC" w:rsidRDefault="00BF4FEC" w:rsidP="00852826">
      <w:pPr>
        <w:pStyle w:val="Ttulo1"/>
        <w:rPr>
          <w:rStyle w:val="Ttulo1Char"/>
          <w:b/>
          <w:bCs/>
        </w:rPr>
      </w:pPr>
      <w:r w:rsidRPr="00852826">
        <w:rPr>
          <w:rStyle w:val="Ttulo1Char"/>
          <w:b/>
          <w:bCs/>
        </w:rPr>
        <w:t>6.</w:t>
      </w:r>
      <w:r w:rsidRPr="00852826">
        <w:rPr>
          <w:b w:val="0"/>
          <w:bCs w:val="0"/>
        </w:rPr>
        <w:t xml:space="preserve"> </w:t>
      </w:r>
      <w:r w:rsidRPr="00852826">
        <w:rPr>
          <w:rStyle w:val="Ttulo1Char"/>
          <w:b/>
          <w:bCs/>
        </w:rPr>
        <w:t>REFERÊNCIAS</w:t>
      </w:r>
    </w:p>
    <w:p w14:paraId="0572775E" w14:textId="77777777" w:rsidR="00852826" w:rsidRPr="00852826" w:rsidRDefault="00852826" w:rsidP="00852826">
      <w:pPr>
        <w:jc w:val="both"/>
        <w:rPr>
          <w:rFonts w:ascii="Times New Roman" w:hAnsi="Times New Roman" w:cs="Times New Roman"/>
        </w:rPr>
      </w:pPr>
    </w:p>
    <w:p w14:paraId="6B727F0D" w14:textId="77777777" w:rsidR="00852826" w:rsidRPr="00852826" w:rsidRDefault="00852826" w:rsidP="00852826">
      <w:pPr>
        <w:jc w:val="both"/>
        <w:rPr>
          <w:rFonts w:ascii="Times New Roman" w:hAnsi="Times New Roman" w:cs="Times New Roman"/>
        </w:rPr>
      </w:pPr>
      <w:r w:rsidRPr="00852826">
        <w:rPr>
          <w:rFonts w:ascii="Times New Roman" w:hAnsi="Times New Roman" w:cs="Times New Roman"/>
        </w:rPr>
        <w:t>ANATEL: Resolução nº 629, de 16 de dezembro de 2013. Disponível em: https://informacoes.anatel.gov.br/legislacao/resolucoes/2013/680-resolucao-629.</w:t>
      </w:r>
    </w:p>
    <w:p w14:paraId="2280F615" w14:textId="77777777" w:rsidR="00852826" w:rsidRPr="00852826" w:rsidRDefault="00852826" w:rsidP="00852826">
      <w:pPr>
        <w:jc w:val="both"/>
        <w:rPr>
          <w:rFonts w:ascii="Times New Roman" w:hAnsi="Times New Roman" w:cs="Times New Roman"/>
        </w:rPr>
      </w:pPr>
      <w:r w:rsidRPr="00852826">
        <w:rPr>
          <w:rFonts w:ascii="Times New Roman" w:hAnsi="Times New Roman" w:cs="Times New Roman"/>
        </w:rPr>
        <w:t xml:space="preserve">ANTAQ: Resolução nº 92, de 15 de dezembro de 2022. Disponível em: https://sophia.antaq.gov.br/Terminal/acervo/detalhe/32452?guid=1687894190760 e alterada pela RESOLUÇÃO nº 105/2023. Disponível em: https://sophia.antaq.gov.br/Terminal/Acervo/Detalhe/33953?a=1&amp;guid=1687894190760. </w:t>
      </w:r>
    </w:p>
    <w:p w14:paraId="486D4DE2" w14:textId="77777777" w:rsidR="00852826" w:rsidRPr="00852826" w:rsidRDefault="00852826" w:rsidP="00852826">
      <w:pPr>
        <w:jc w:val="both"/>
        <w:rPr>
          <w:rFonts w:ascii="Times New Roman" w:hAnsi="Times New Roman" w:cs="Times New Roman"/>
        </w:rPr>
      </w:pPr>
      <w:r w:rsidRPr="00852826">
        <w:rPr>
          <w:rFonts w:ascii="Times New Roman" w:hAnsi="Times New Roman" w:cs="Times New Roman"/>
        </w:rPr>
        <w:t>ANTT. EDITAL No 005/2013. Contrato de Concessão da Rodovia Federal BR-163/MS: trecho entre a divisa com o estado do Mato Grosso e a divisa com o Paraná. 2013. Disponível em: https://www.gov.br/antt/pt-br/assuntos/rodovias/concessionarias/lista-de-concessoes/ms-via/documentos-de-gestao/contrato-e-aditivos/contrato.pdf/view</w:t>
      </w:r>
    </w:p>
    <w:p w14:paraId="2451B12B" w14:textId="77777777" w:rsidR="00852826" w:rsidRPr="00852826" w:rsidRDefault="00852826" w:rsidP="00852826">
      <w:pPr>
        <w:jc w:val="both"/>
        <w:rPr>
          <w:rFonts w:ascii="Times New Roman" w:hAnsi="Times New Roman" w:cs="Times New Roman"/>
        </w:rPr>
      </w:pPr>
      <w:r w:rsidRPr="00852826">
        <w:rPr>
          <w:rFonts w:ascii="Times New Roman" w:hAnsi="Times New Roman" w:cs="Times New Roman"/>
        </w:rPr>
        <w:t>ANTT: RESOLUÇÃO Nº 5.823, DE 12 DE JUNHO DE 2018. Disponível em: https://anttlegis.antt.gov.br/action/ActionDatalegis.php?acao=abrirTextoAto&amp;link=S&amp;tipo=RES&amp;numeroAto=00005823&amp;seqAto=000&amp;valorAno=2018&amp;orgao=DG/ANTT/MTPA&amp;cod_modulo=392&amp;cod_menu=7220</w:t>
      </w:r>
    </w:p>
    <w:p w14:paraId="6D067ED5" w14:textId="77777777" w:rsidR="00852826" w:rsidRPr="00852826" w:rsidRDefault="00852826" w:rsidP="00852826">
      <w:pPr>
        <w:jc w:val="both"/>
        <w:rPr>
          <w:rFonts w:ascii="Times New Roman" w:hAnsi="Times New Roman" w:cs="Times New Roman"/>
        </w:rPr>
      </w:pPr>
      <w:r w:rsidRPr="00852826">
        <w:rPr>
          <w:rFonts w:ascii="Times New Roman" w:hAnsi="Times New Roman" w:cs="Times New Roman"/>
          <w:lang w:val="en-US"/>
        </w:rPr>
        <w:t xml:space="preserve">AUSTRALIA. QUEENSLAND. Airport Link/Northern Busway (Windsor to Kedron) /EWAG Projects - Project Deed. </w:t>
      </w:r>
      <w:r w:rsidRPr="00852826">
        <w:rPr>
          <w:rFonts w:ascii="Times New Roman" w:hAnsi="Times New Roman" w:cs="Times New Roman"/>
        </w:rPr>
        <w:t>Disponível em: https://www.tmr.qld.gov.au/-/media/busind/Transport-sectors/Toll-roads/airportlinkprojectdeed.pdf?la=en</w:t>
      </w:r>
    </w:p>
    <w:p w14:paraId="2D3CA4C5" w14:textId="77777777" w:rsidR="00852826" w:rsidRPr="00852826" w:rsidRDefault="00852826" w:rsidP="00852826">
      <w:pPr>
        <w:jc w:val="both"/>
        <w:rPr>
          <w:rFonts w:ascii="Times New Roman" w:hAnsi="Times New Roman" w:cs="Times New Roman"/>
          <w:lang w:val="en-US"/>
        </w:rPr>
      </w:pPr>
      <w:r w:rsidRPr="00852826">
        <w:rPr>
          <w:rFonts w:ascii="Times New Roman" w:hAnsi="Times New Roman" w:cs="Times New Roman"/>
          <w:lang w:val="en-US"/>
        </w:rPr>
        <w:lastRenderedPageBreak/>
        <w:t>AUSTRALIA. VITORIA. Concession Deed Mitcham - Frankston Freeway https://dokumen.tips/documents/east-link-concession-document291.html?page=3#google_vignette</w:t>
      </w:r>
    </w:p>
    <w:p w14:paraId="0A89E8EB" w14:textId="77777777" w:rsidR="00852826" w:rsidRPr="00852826" w:rsidRDefault="00852826" w:rsidP="00852826">
      <w:pPr>
        <w:jc w:val="both"/>
        <w:rPr>
          <w:rFonts w:ascii="Times New Roman" w:hAnsi="Times New Roman" w:cs="Times New Roman"/>
          <w:lang w:val="en-US"/>
        </w:rPr>
      </w:pPr>
      <w:r w:rsidRPr="00852826">
        <w:rPr>
          <w:rFonts w:ascii="Times New Roman" w:hAnsi="Times New Roman" w:cs="Times New Roman"/>
          <w:lang w:val="en-US"/>
        </w:rPr>
        <w:t>AYRES, Ian; BRAITHWAITE. Responsive Regulation: transcending the deregulation debate. Oxford Socio-legal Studies, Oxford University Press: Nova York, 1995.</w:t>
      </w:r>
    </w:p>
    <w:p w14:paraId="67B9408E" w14:textId="77777777" w:rsidR="00852826" w:rsidRPr="00852826" w:rsidRDefault="00852826" w:rsidP="00852826">
      <w:pPr>
        <w:jc w:val="both"/>
        <w:rPr>
          <w:rFonts w:ascii="Times New Roman" w:hAnsi="Times New Roman" w:cs="Times New Roman"/>
        </w:rPr>
      </w:pPr>
      <w:r w:rsidRPr="008711C4">
        <w:rPr>
          <w:rFonts w:ascii="Times New Roman" w:hAnsi="Times New Roman" w:cs="Times New Roman"/>
          <w:lang w:val="en-US"/>
        </w:rPr>
        <w:t xml:space="preserve">BOGOSSIAN, André; PINHO, Mariana. </w:t>
      </w:r>
      <w:r w:rsidRPr="00852826">
        <w:rPr>
          <w:rFonts w:ascii="Times New Roman" w:hAnsi="Times New Roman" w:cs="Times New Roman"/>
        </w:rPr>
        <w:t>Inovações na modelagem de concessões no saneamento. Portal Jota. 22.05.2024. Disponível em: https://www.jota.info/opiniao-e-analise/artigos/inovacoes-na-modelagem-de-concessoes-no-saneamento-2.</w:t>
      </w:r>
    </w:p>
    <w:p w14:paraId="48EE88D6" w14:textId="77777777" w:rsidR="00852826" w:rsidRPr="008711C4" w:rsidRDefault="00852826" w:rsidP="00852826">
      <w:pPr>
        <w:jc w:val="both"/>
        <w:rPr>
          <w:rFonts w:ascii="Times New Roman" w:hAnsi="Times New Roman" w:cs="Times New Roman"/>
          <w:lang w:val="es-419"/>
        </w:rPr>
      </w:pPr>
      <w:r w:rsidRPr="00852826">
        <w:rPr>
          <w:rFonts w:ascii="Times New Roman" w:hAnsi="Times New Roman" w:cs="Times New Roman"/>
          <w:lang w:val="es-419"/>
        </w:rPr>
        <w:t xml:space="preserve">ESPANHA. Ministerio </w:t>
      </w:r>
      <w:proofErr w:type="spellStart"/>
      <w:r w:rsidRPr="00852826">
        <w:rPr>
          <w:rFonts w:ascii="Times New Roman" w:hAnsi="Times New Roman" w:cs="Times New Roman"/>
          <w:lang w:val="es-419"/>
        </w:rPr>
        <w:t>del</w:t>
      </w:r>
      <w:proofErr w:type="spellEnd"/>
      <w:r w:rsidRPr="00852826">
        <w:rPr>
          <w:rFonts w:ascii="Times New Roman" w:hAnsi="Times New Roman" w:cs="Times New Roman"/>
          <w:lang w:val="es-419"/>
        </w:rPr>
        <w:t xml:space="preserve"> Fomento. PLIEGO DE CLÁUSULAS ADMINISTRATIVAS PARTICULARES PARA EL CONCURSO, POR PROCEDIMIENTO ABIERTO, DE LA CONCESIÓN PARA LA CONSTRUCCIÓN, CONSERVACIÓN Y EXPLOTACIÓN DE LA AUTOPISTA DE PEAJE MADRID-TOLEDO Y LA AUTOVÍA LIBRE DE PEAJE A-40 DE CASTILLA-MANCHA, TRAMO: CIRCUNVALACIÓN NORTE DE TOLEDO. Exposición de motivos. Agencia Estatal Boletín Oficial del Estado. </w:t>
      </w:r>
      <w:proofErr w:type="spellStart"/>
      <w:r w:rsidRPr="008711C4">
        <w:rPr>
          <w:rFonts w:ascii="Times New Roman" w:hAnsi="Times New Roman" w:cs="Times New Roman"/>
          <w:lang w:val="es-419"/>
        </w:rPr>
        <w:t>Disponível</w:t>
      </w:r>
      <w:proofErr w:type="spellEnd"/>
      <w:r w:rsidRPr="008711C4">
        <w:rPr>
          <w:rFonts w:ascii="Times New Roman" w:hAnsi="Times New Roman" w:cs="Times New Roman"/>
          <w:lang w:val="es-419"/>
        </w:rPr>
        <w:t xml:space="preserve"> em: </w:t>
      </w:r>
      <w:hyperlink r:id="rId7" w:history="1">
        <w:r w:rsidRPr="008711C4">
          <w:rPr>
            <w:rStyle w:val="Hyperlink"/>
            <w:rFonts w:ascii="Times New Roman" w:hAnsi="Times New Roman" w:cs="Times New Roman"/>
            <w:lang w:val="es-419"/>
          </w:rPr>
          <w:t>https://www.boe.es/diario_boe/txt.php?id=BOE-A-2003-15944</w:t>
        </w:r>
      </w:hyperlink>
    </w:p>
    <w:p w14:paraId="02046040" w14:textId="77777777" w:rsidR="00852826" w:rsidRPr="008711C4" w:rsidRDefault="00852826" w:rsidP="00852826">
      <w:pPr>
        <w:jc w:val="both"/>
        <w:rPr>
          <w:rFonts w:ascii="Times New Roman" w:hAnsi="Times New Roman" w:cs="Times New Roman"/>
          <w:lang w:val="en-US"/>
        </w:rPr>
      </w:pPr>
      <w:r w:rsidRPr="008711C4">
        <w:rPr>
          <w:rFonts w:ascii="Times New Roman" w:hAnsi="Times New Roman" w:cs="Times New Roman"/>
          <w:lang w:val="es-419"/>
        </w:rPr>
        <w:t xml:space="preserve"> </w:t>
      </w:r>
      <w:r w:rsidRPr="00852826">
        <w:rPr>
          <w:rFonts w:ascii="Times New Roman" w:hAnsi="Times New Roman" w:cs="Times New Roman"/>
        </w:rPr>
        <w:t xml:space="preserve">ESTADOS UNIDOS DA AMÉRICA. VIRGINIA DEPARTMENT OF TRANSPORTATION. </w:t>
      </w:r>
      <w:r w:rsidRPr="00852826">
        <w:rPr>
          <w:rFonts w:ascii="Times New Roman" w:hAnsi="Times New Roman" w:cs="Times New Roman"/>
          <w:lang w:val="en-US"/>
        </w:rPr>
        <w:t xml:space="preserve">AGREEMENT RELATING TO THE I-95/395 HOV/HOT LANES PROJECT, 2017. </w:t>
      </w:r>
      <w:proofErr w:type="spellStart"/>
      <w:r w:rsidRPr="00852826">
        <w:rPr>
          <w:rFonts w:ascii="Times New Roman" w:hAnsi="Times New Roman" w:cs="Times New Roman"/>
          <w:lang w:val="en-US"/>
        </w:rPr>
        <w:t>Disponível</w:t>
      </w:r>
      <w:proofErr w:type="spellEnd"/>
      <w:r w:rsidRPr="00852826">
        <w:rPr>
          <w:rFonts w:ascii="Times New Roman" w:hAnsi="Times New Roman" w:cs="Times New Roman"/>
          <w:lang w:val="en-US"/>
        </w:rPr>
        <w:t xml:space="preserve"> </w:t>
      </w:r>
      <w:proofErr w:type="spellStart"/>
      <w:r w:rsidRPr="00852826">
        <w:rPr>
          <w:rFonts w:ascii="Times New Roman" w:hAnsi="Times New Roman" w:cs="Times New Roman"/>
          <w:lang w:val="en-US"/>
        </w:rPr>
        <w:t>em</w:t>
      </w:r>
      <w:proofErr w:type="spellEnd"/>
      <w:r w:rsidRPr="00852826">
        <w:rPr>
          <w:rFonts w:ascii="Times New Roman" w:hAnsi="Times New Roman" w:cs="Times New Roman"/>
          <w:lang w:val="en-US"/>
        </w:rPr>
        <w:t>: https://www.transportation.gov/buildamerica/projects/project-highlights/i-95-hovhot-lanes-northern-virginia</w:t>
      </w:r>
    </w:p>
    <w:p w14:paraId="7CED16F1" w14:textId="77777777" w:rsidR="00852826" w:rsidRPr="00852826" w:rsidRDefault="00852826" w:rsidP="00852826">
      <w:pPr>
        <w:jc w:val="both"/>
        <w:rPr>
          <w:rFonts w:ascii="Times New Roman" w:hAnsi="Times New Roman" w:cs="Times New Roman"/>
          <w:lang w:val="en-US"/>
        </w:rPr>
      </w:pPr>
      <w:r w:rsidRPr="00852826">
        <w:rPr>
          <w:rFonts w:ascii="Times New Roman" w:hAnsi="Times New Roman" w:cs="Times New Roman"/>
        </w:rPr>
        <w:t xml:space="preserve">ESTADOS UNIDOS DA AMÉRICA. VIRGINIA DEPARTMENT OF TRANSPORTATION. </w:t>
      </w:r>
      <w:r w:rsidRPr="00852826">
        <w:rPr>
          <w:rFonts w:ascii="Times New Roman" w:hAnsi="Times New Roman" w:cs="Times New Roman"/>
          <w:lang w:val="en-US"/>
        </w:rPr>
        <w:t xml:space="preserve">AGREEMENT RELATING TO THE I-95/395 HOV/HOT LANES PROJECT, 2017. </w:t>
      </w:r>
      <w:proofErr w:type="spellStart"/>
      <w:r w:rsidRPr="00852826">
        <w:rPr>
          <w:rFonts w:ascii="Times New Roman" w:hAnsi="Times New Roman" w:cs="Times New Roman"/>
          <w:lang w:val="en-US"/>
        </w:rPr>
        <w:t>Disponível</w:t>
      </w:r>
      <w:proofErr w:type="spellEnd"/>
      <w:r w:rsidRPr="00852826">
        <w:rPr>
          <w:rFonts w:ascii="Times New Roman" w:hAnsi="Times New Roman" w:cs="Times New Roman"/>
          <w:lang w:val="en-US"/>
        </w:rPr>
        <w:t xml:space="preserve"> </w:t>
      </w:r>
      <w:proofErr w:type="spellStart"/>
      <w:r w:rsidRPr="00852826">
        <w:rPr>
          <w:rFonts w:ascii="Times New Roman" w:hAnsi="Times New Roman" w:cs="Times New Roman"/>
          <w:lang w:val="en-US"/>
        </w:rPr>
        <w:t>em</w:t>
      </w:r>
      <w:proofErr w:type="spellEnd"/>
      <w:r w:rsidRPr="00852826">
        <w:rPr>
          <w:rFonts w:ascii="Times New Roman" w:hAnsi="Times New Roman" w:cs="Times New Roman"/>
          <w:lang w:val="en-US"/>
        </w:rPr>
        <w:t>: https://www.transportation.gov/buildamerica/projects/project-highlights/i-95-hovhot-lanes-northern-virginia</w:t>
      </w:r>
    </w:p>
    <w:p w14:paraId="2E961563" w14:textId="77777777" w:rsidR="00852826" w:rsidRPr="00852826" w:rsidRDefault="00852826" w:rsidP="00852826">
      <w:pPr>
        <w:jc w:val="both"/>
        <w:rPr>
          <w:rFonts w:ascii="Times New Roman" w:hAnsi="Times New Roman" w:cs="Times New Roman"/>
        </w:rPr>
      </w:pPr>
      <w:r w:rsidRPr="00852826">
        <w:rPr>
          <w:rFonts w:ascii="Times New Roman" w:hAnsi="Times New Roman" w:cs="Times New Roman"/>
        </w:rPr>
        <w:t xml:space="preserve">PALMA, Juliana </w:t>
      </w:r>
      <w:proofErr w:type="spellStart"/>
      <w:r w:rsidRPr="00852826">
        <w:rPr>
          <w:rFonts w:ascii="Times New Roman" w:hAnsi="Times New Roman" w:cs="Times New Roman"/>
        </w:rPr>
        <w:t>Bonacordi</w:t>
      </w:r>
      <w:proofErr w:type="spellEnd"/>
      <w:r w:rsidRPr="00852826">
        <w:rPr>
          <w:rFonts w:ascii="Times New Roman" w:hAnsi="Times New Roman" w:cs="Times New Roman"/>
        </w:rPr>
        <w:t xml:space="preserve"> de. Regulação responsiva: a visão do TCU. Portal Jota. Disponível em: </w:t>
      </w:r>
      <w:hyperlink r:id="rId8" w:history="1">
        <w:r w:rsidRPr="000C1721">
          <w:rPr>
            <w:rStyle w:val="Hyperlink"/>
            <w:rFonts w:ascii="Times New Roman" w:hAnsi="Times New Roman" w:cs="Times New Roman"/>
          </w:rPr>
          <w:t>https://sbdp.org.br/wp-content/uploads/2023/10/11.10.2023-Regulacao-responsiva-a-visao-do-TCU.pdf</w:t>
        </w:r>
      </w:hyperlink>
    </w:p>
    <w:p w14:paraId="4EBF4EDB" w14:textId="77777777" w:rsidR="00852826" w:rsidRPr="00852826" w:rsidRDefault="00852826" w:rsidP="00852826">
      <w:pPr>
        <w:jc w:val="both"/>
        <w:rPr>
          <w:rFonts w:ascii="Times New Roman" w:hAnsi="Times New Roman" w:cs="Times New Roman"/>
        </w:rPr>
      </w:pPr>
      <w:r w:rsidRPr="00852826">
        <w:rPr>
          <w:rFonts w:ascii="Times New Roman" w:hAnsi="Times New Roman" w:cs="Times New Roman"/>
        </w:rPr>
        <w:t xml:space="preserve">SENNA, Laís Ribeiro de. Concessões Eficientes: a importância da análise de exequibilidade das propostas. São Paulo: </w:t>
      </w:r>
      <w:proofErr w:type="spellStart"/>
      <w:r w:rsidRPr="00852826">
        <w:rPr>
          <w:rFonts w:ascii="Times New Roman" w:hAnsi="Times New Roman" w:cs="Times New Roman"/>
        </w:rPr>
        <w:t>Lumen</w:t>
      </w:r>
      <w:proofErr w:type="spellEnd"/>
      <w:r w:rsidRPr="00852826">
        <w:rPr>
          <w:rFonts w:ascii="Times New Roman" w:hAnsi="Times New Roman" w:cs="Times New Roman"/>
        </w:rPr>
        <w:t xml:space="preserve"> Juris, 2024. </w:t>
      </w:r>
    </w:p>
    <w:p w14:paraId="1C4103DF" w14:textId="77777777" w:rsidR="00852826" w:rsidRPr="00852826" w:rsidRDefault="00852826" w:rsidP="00852826">
      <w:pPr>
        <w:jc w:val="both"/>
        <w:rPr>
          <w:rFonts w:ascii="Times New Roman" w:hAnsi="Times New Roman" w:cs="Times New Roman"/>
        </w:rPr>
      </w:pPr>
      <w:r w:rsidRPr="00852826">
        <w:rPr>
          <w:rFonts w:ascii="Times New Roman" w:hAnsi="Times New Roman" w:cs="Times New Roman"/>
        </w:rPr>
        <w:t xml:space="preserve">VÉRAS, Rafael; SANDOVAL, Daniela. O Novo Marco Regulatório do Saneamento e os novos quadrantes da Regulação Contratual. Coluna Fórum. 26.11.2020. Disponível em: </w:t>
      </w:r>
      <w:hyperlink r:id="rId9" w:history="1">
        <w:r w:rsidRPr="000C1721">
          <w:rPr>
            <w:rStyle w:val="Hyperlink"/>
            <w:rFonts w:ascii="Times New Roman" w:hAnsi="Times New Roman" w:cs="Times New Roman"/>
          </w:rPr>
          <w:t>https://editoraforum.com.br/noticias/o-novo-marco-regulatorio-do-saneamento-e-os-novos-quadrantes-da-regulacao-contratual-coluna-direito-da-infraestrutura/</w:t>
        </w:r>
      </w:hyperlink>
      <w:r w:rsidRPr="00852826">
        <w:rPr>
          <w:rFonts w:ascii="Times New Roman" w:hAnsi="Times New Roman" w:cs="Times New Roman"/>
        </w:rPr>
        <w:t>.</w:t>
      </w:r>
    </w:p>
    <w:p w14:paraId="053E5376" w14:textId="43149A5A" w:rsidR="00852826" w:rsidRPr="008711C4" w:rsidRDefault="00852826" w:rsidP="00852826">
      <w:pPr>
        <w:jc w:val="both"/>
        <w:rPr>
          <w:rFonts w:ascii="Times New Roman" w:hAnsi="Times New Roman" w:cs="Times New Roman"/>
        </w:rPr>
      </w:pPr>
      <w:r w:rsidRPr="00852826">
        <w:rPr>
          <w:rFonts w:ascii="Times New Roman" w:hAnsi="Times New Roman" w:cs="Times New Roman"/>
        </w:rPr>
        <w:t xml:space="preserve">VORONOFF, Alice; MENDES, </w:t>
      </w:r>
      <w:proofErr w:type="spellStart"/>
      <w:r w:rsidRPr="00852826">
        <w:rPr>
          <w:rFonts w:ascii="Times New Roman" w:hAnsi="Times New Roman" w:cs="Times New Roman"/>
        </w:rPr>
        <w:t>Flavine</w:t>
      </w:r>
      <w:proofErr w:type="spellEnd"/>
      <w:r w:rsidRPr="00852826">
        <w:rPr>
          <w:rFonts w:ascii="Times New Roman" w:hAnsi="Times New Roman" w:cs="Times New Roman"/>
        </w:rPr>
        <w:t>. Papel da sanção na melhoria dos serviços públicos e demais atividades reguladas. Portal Conjur. 14.10.2022. Disponível em: https://www.conjur.com.br/2022-out-14/voronoffe-mendes-releitura-direito-regulatorio-sancionador</w:t>
      </w:r>
    </w:p>
    <w:sectPr w:rsidR="00852826" w:rsidRPr="008711C4" w:rsidSect="00823DB9">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13C0D" w14:textId="77777777" w:rsidR="00E21285" w:rsidRDefault="00E21285" w:rsidP="00B5237F">
      <w:pPr>
        <w:spacing w:after="0" w:line="240" w:lineRule="auto"/>
      </w:pPr>
      <w:r>
        <w:separator/>
      </w:r>
    </w:p>
  </w:endnote>
  <w:endnote w:type="continuationSeparator" w:id="0">
    <w:p w14:paraId="3635351C" w14:textId="77777777" w:rsidR="00E21285" w:rsidRDefault="00E21285" w:rsidP="00B52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0EFBA" w14:textId="77777777" w:rsidR="00E21285" w:rsidRDefault="00E21285" w:rsidP="00B5237F">
      <w:pPr>
        <w:spacing w:after="0" w:line="240" w:lineRule="auto"/>
      </w:pPr>
      <w:r>
        <w:separator/>
      </w:r>
    </w:p>
  </w:footnote>
  <w:footnote w:type="continuationSeparator" w:id="0">
    <w:p w14:paraId="6F7BED6F" w14:textId="77777777" w:rsidR="00E21285" w:rsidRDefault="00E21285" w:rsidP="00B5237F">
      <w:pPr>
        <w:spacing w:after="0" w:line="240" w:lineRule="auto"/>
      </w:pPr>
      <w:r>
        <w:continuationSeparator/>
      </w:r>
    </w:p>
  </w:footnote>
  <w:footnote w:id="1">
    <w:p w14:paraId="49A8D8FD" w14:textId="0502940C" w:rsidR="00130AD0" w:rsidRPr="00130AD0" w:rsidRDefault="00130AD0"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rPr>
        <w:t xml:space="preserve"> Pesquisa em desenvolvimento na Faculdade de Direito da Universidade de São Paulo</w:t>
      </w:r>
    </w:p>
  </w:footnote>
  <w:footnote w:id="2">
    <w:p w14:paraId="142B8356" w14:textId="77777777" w:rsidR="002D6041" w:rsidRPr="00130AD0" w:rsidRDefault="002D6041"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rPr>
        <w:t xml:space="preserve"> Fonte: Controladoria-Geral da União. Secretaria de Controle Interno. Relatório de Avaliação. Unidade Examinada: ANATEL: Brasília, DF. 2020. Disponível em: https://eaud.cgu.gov.br/relatorios/download/886363</w:t>
      </w:r>
    </w:p>
  </w:footnote>
  <w:footnote w:id="3">
    <w:p w14:paraId="73C0D031" w14:textId="0A5A1DDC" w:rsidR="002D6041" w:rsidRPr="00130AD0" w:rsidRDefault="002D6041"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rPr>
        <w:t xml:space="preserve"> Fonte: Controladoria-Geral da União. Secretaria de Controle Interno. Relatório de Avaliação. Unidade Examinada: ANATEÇ; Brasília, DF. 2020. Disponível em: https://eaud.cgu.gov.br/relatorios/download/886363</w:t>
      </w:r>
    </w:p>
  </w:footnote>
  <w:footnote w:id="4">
    <w:p w14:paraId="46FFE515" w14:textId="77777777" w:rsidR="002D6041" w:rsidRPr="00130AD0" w:rsidRDefault="002D6041"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rPr>
        <w:t xml:space="preserve"> Fonte: Controladoria-Geral da União. Secretaria de Controle Interno. Relatório de Avaliação. Unidade Examinada: ANATEÇ; Brasília, DF. 2020. Disponível em: https://eaud.cgu.gov.br/relatorios/download/886363</w:t>
      </w:r>
    </w:p>
  </w:footnote>
  <w:footnote w:id="5">
    <w:p w14:paraId="4A25C84F" w14:textId="77777777" w:rsidR="0061398B" w:rsidRPr="00130AD0" w:rsidRDefault="0061398B"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rPr>
        <w:t xml:space="preserve"> A esse respeito, ver: SENNA, Laís Ribeiro de. Concessões Eficientes: a importância da análise de exequibilidade das propostas. São Paulo: </w:t>
      </w:r>
      <w:proofErr w:type="spellStart"/>
      <w:r w:rsidRPr="00130AD0">
        <w:rPr>
          <w:rFonts w:ascii="Times New Roman" w:hAnsi="Times New Roman" w:cs="Times New Roman"/>
        </w:rPr>
        <w:t>Lumen</w:t>
      </w:r>
      <w:proofErr w:type="spellEnd"/>
      <w:r w:rsidRPr="00130AD0">
        <w:rPr>
          <w:rFonts w:ascii="Times New Roman" w:hAnsi="Times New Roman" w:cs="Times New Roman"/>
        </w:rPr>
        <w:t xml:space="preserve"> Juris, 2024. </w:t>
      </w:r>
    </w:p>
  </w:footnote>
  <w:footnote w:id="6">
    <w:p w14:paraId="3053B86B" w14:textId="4E1F2FE8" w:rsidR="00644E6C" w:rsidRPr="00130AD0" w:rsidRDefault="00644E6C"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rPr>
        <w:t xml:space="preserve"> VÉRAS, Rafael; SANDOVAL, Daniela. O Novo Marco Regulatório do Saneamento e os novos quadrantes da Regulação Contratual. Coluna Fórum. 26.11.2020. Disponível em: https://editoraforum.com.br/noticias/o-novo-marco-regulatorio-do-saneamento-e-os-novos-quadrantes-da-regulacao-contratual-coluna-direito-da-infraestrutura/.</w:t>
      </w:r>
    </w:p>
  </w:footnote>
  <w:footnote w:id="7">
    <w:p w14:paraId="3C8E4F67" w14:textId="77777777" w:rsidR="00B300EE" w:rsidRPr="00130AD0" w:rsidRDefault="00B300EE" w:rsidP="00130AD0">
      <w:pPr>
        <w:pStyle w:val="Textodenotaderodap"/>
        <w:jc w:val="both"/>
        <w:rPr>
          <w:rFonts w:ascii="Times New Roman" w:hAnsi="Times New Roman" w:cs="Times New Roman"/>
          <w:lang w:val="en-US"/>
        </w:rPr>
      </w:pPr>
      <w:r w:rsidRPr="00130AD0">
        <w:rPr>
          <w:rStyle w:val="Refdenotaderodap"/>
          <w:rFonts w:ascii="Times New Roman" w:hAnsi="Times New Roman" w:cs="Times New Roman"/>
        </w:rPr>
        <w:footnoteRef/>
      </w:r>
      <w:r w:rsidRPr="00130AD0">
        <w:rPr>
          <w:rFonts w:ascii="Times New Roman" w:hAnsi="Times New Roman" w:cs="Times New Roman"/>
          <w:lang w:val="en-US"/>
        </w:rPr>
        <w:t xml:space="preserve"> AYRES, Ian; BRAITHWAITE. Responsive Regulation: transcending the deregulation debate. Oxford Socio-legal Studies, Oxford University Press: Nova York, 1995.</w:t>
      </w:r>
    </w:p>
  </w:footnote>
  <w:footnote w:id="8">
    <w:p w14:paraId="3A88EC13" w14:textId="77777777" w:rsidR="00B300EE" w:rsidRPr="00130AD0" w:rsidRDefault="00B300EE"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lang w:val="en-US"/>
        </w:rPr>
        <w:t xml:space="preserve"> AYRES, Ian; BRAITHWAITE. Responsive Regulation: transcending the deregulation debate. </w:t>
      </w:r>
      <w:r w:rsidRPr="00130AD0">
        <w:rPr>
          <w:rFonts w:ascii="Times New Roman" w:hAnsi="Times New Roman" w:cs="Times New Roman"/>
        </w:rPr>
        <w:t xml:space="preserve">Oxford Socio-legal </w:t>
      </w:r>
      <w:proofErr w:type="spellStart"/>
      <w:r w:rsidRPr="00130AD0">
        <w:rPr>
          <w:rFonts w:ascii="Times New Roman" w:hAnsi="Times New Roman" w:cs="Times New Roman"/>
        </w:rPr>
        <w:t>Studies</w:t>
      </w:r>
      <w:proofErr w:type="spellEnd"/>
      <w:r w:rsidRPr="00130AD0">
        <w:rPr>
          <w:rFonts w:ascii="Times New Roman" w:hAnsi="Times New Roman" w:cs="Times New Roman"/>
        </w:rPr>
        <w:t xml:space="preserve">, Oxford </w:t>
      </w:r>
      <w:proofErr w:type="spellStart"/>
      <w:r w:rsidRPr="00130AD0">
        <w:rPr>
          <w:rFonts w:ascii="Times New Roman" w:hAnsi="Times New Roman" w:cs="Times New Roman"/>
        </w:rPr>
        <w:t>University</w:t>
      </w:r>
      <w:proofErr w:type="spellEnd"/>
      <w:r w:rsidRPr="00130AD0">
        <w:rPr>
          <w:rFonts w:ascii="Times New Roman" w:hAnsi="Times New Roman" w:cs="Times New Roman"/>
        </w:rPr>
        <w:t xml:space="preserve"> Press: Nova York, 1995.</w:t>
      </w:r>
    </w:p>
  </w:footnote>
  <w:footnote w:id="9">
    <w:p w14:paraId="31D55D95" w14:textId="77777777" w:rsidR="00B300EE" w:rsidRPr="00130AD0" w:rsidRDefault="00B300EE"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rPr>
        <w:t xml:space="preserve"> PALMA, Juliana </w:t>
      </w:r>
      <w:proofErr w:type="spellStart"/>
      <w:r w:rsidRPr="00130AD0">
        <w:rPr>
          <w:rFonts w:ascii="Times New Roman" w:hAnsi="Times New Roman" w:cs="Times New Roman"/>
        </w:rPr>
        <w:t>Bonacordi</w:t>
      </w:r>
      <w:proofErr w:type="spellEnd"/>
      <w:r w:rsidRPr="00130AD0">
        <w:rPr>
          <w:rFonts w:ascii="Times New Roman" w:hAnsi="Times New Roman" w:cs="Times New Roman"/>
        </w:rPr>
        <w:t xml:space="preserve"> de. Regulação responsiva: a visão do TCU. Portal Jota. Disponível em: https://sbdp.org.br/wp-content/uploads/2023/10/11.10.2023-Regulacao-responsiva-a-visao-do-TCU.pdf</w:t>
      </w:r>
    </w:p>
  </w:footnote>
  <w:footnote w:id="10">
    <w:p w14:paraId="6173FE4F" w14:textId="77777777" w:rsidR="00B300EE" w:rsidRPr="00130AD0" w:rsidRDefault="00B300EE" w:rsidP="00130AD0">
      <w:pPr>
        <w:pStyle w:val="NormalWeb"/>
        <w:spacing w:before="0" w:beforeAutospacing="0" w:after="0" w:afterAutospacing="0"/>
        <w:jc w:val="both"/>
        <w:rPr>
          <w:sz w:val="20"/>
          <w:szCs w:val="20"/>
        </w:rPr>
      </w:pPr>
      <w:r w:rsidRPr="00130AD0">
        <w:rPr>
          <w:rStyle w:val="Refdenotaderodap"/>
          <w:sz w:val="20"/>
          <w:szCs w:val="20"/>
        </w:rPr>
        <w:footnoteRef/>
      </w:r>
      <w:r w:rsidRPr="00130AD0">
        <w:rPr>
          <w:sz w:val="20"/>
          <w:szCs w:val="20"/>
        </w:rPr>
        <w:t xml:space="preserve"> VORONOFF, Alice; MENDES, </w:t>
      </w:r>
      <w:proofErr w:type="spellStart"/>
      <w:r w:rsidRPr="00130AD0">
        <w:rPr>
          <w:sz w:val="20"/>
          <w:szCs w:val="20"/>
        </w:rPr>
        <w:t>Flavine</w:t>
      </w:r>
      <w:proofErr w:type="spellEnd"/>
      <w:r w:rsidRPr="00130AD0">
        <w:rPr>
          <w:sz w:val="20"/>
          <w:szCs w:val="20"/>
        </w:rPr>
        <w:t>. Papel da sanção na melhoria dos serviços públicos e demais atividades reguladas. Portal Conjur. 14.10.2022. Disponível em: https://www.conjur.com.br/2022-out-14/voronoffe-mendes-releitura-direito-regulatorio-sancionador</w:t>
      </w:r>
    </w:p>
  </w:footnote>
  <w:footnote w:id="11">
    <w:p w14:paraId="238CF53D" w14:textId="77777777" w:rsidR="00E85423" w:rsidRPr="00130AD0" w:rsidRDefault="00E85423" w:rsidP="00130AD0">
      <w:pPr>
        <w:pStyle w:val="NormalWeb"/>
        <w:spacing w:before="0" w:beforeAutospacing="0" w:after="0" w:afterAutospacing="0"/>
        <w:jc w:val="both"/>
        <w:rPr>
          <w:sz w:val="20"/>
          <w:szCs w:val="20"/>
        </w:rPr>
      </w:pPr>
      <w:r w:rsidRPr="00130AD0">
        <w:rPr>
          <w:rStyle w:val="Refdenotaderodap"/>
          <w:sz w:val="20"/>
          <w:szCs w:val="20"/>
        </w:rPr>
        <w:footnoteRef/>
      </w:r>
      <w:r w:rsidRPr="00130AD0">
        <w:rPr>
          <w:sz w:val="20"/>
          <w:szCs w:val="20"/>
        </w:rPr>
        <w:t xml:space="preserve"> ANATEL: Resolução nº 629, de 16 de dezembro de 2013. Disponível em: https://informacoes.anatel.gov.br/legislacao/resolucoes/2013/680-resolucao-629.</w:t>
      </w:r>
    </w:p>
    <w:p w14:paraId="71A8DCE7" w14:textId="77777777" w:rsidR="00E85423" w:rsidRPr="00130AD0" w:rsidRDefault="00E85423" w:rsidP="00130AD0">
      <w:pPr>
        <w:pStyle w:val="NormalWeb"/>
        <w:spacing w:before="0" w:beforeAutospacing="0" w:after="0" w:afterAutospacing="0"/>
        <w:jc w:val="both"/>
        <w:rPr>
          <w:sz w:val="20"/>
          <w:szCs w:val="20"/>
        </w:rPr>
      </w:pPr>
      <w:r w:rsidRPr="00130AD0">
        <w:rPr>
          <w:sz w:val="20"/>
          <w:szCs w:val="20"/>
        </w:rPr>
        <w:t>ANTT: RESOLUÇÃO Nº 5.823, DE 12 DE JUNHO DE 2018. Disponível em: https://anttlegis.antt.gov.br/action/ActionDatalegis.php?acao=abrirTextoAto&amp;link=S&amp;tipo=RES&amp;numeroAto=00005823&amp;seqAto=000&amp;valorAno=2018&amp;orgao=DG/ANTT/MTPA&amp;cod_modulo=392&amp;cod_menu=7220</w:t>
      </w:r>
    </w:p>
    <w:p w14:paraId="762F8F83" w14:textId="77777777" w:rsidR="00E85423" w:rsidRPr="00130AD0" w:rsidRDefault="00E85423" w:rsidP="00130AD0">
      <w:pPr>
        <w:pStyle w:val="NormalWeb"/>
        <w:spacing w:before="0" w:beforeAutospacing="0" w:after="0" w:afterAutospacing="0"/>
        <w:jc w:val="both"/>
        <w:rPr>
          <w:sz w:val="20"/>
          <w:szCs w:val="20"/>
        </w:rPr>
      </w:pPr>
      <w:r w:rsidRPr="00130AD0">
        <w:rPr>
          <w:sz w:val="20"/>
          <w:szCs w:val="20"/>
        </w:rPr>
        <w:t>ANTAQ: Resolução nº 92, de 15 de dezembro de 2022. Disponível em: https://sophia.antaq.gov.br/Terminal/acervo/detalhe/32452?guid=1687894190760 e alterada pela RESOLUÇÃO nº 105/2023. Disponível em: https://sophia.antaq.gov.br/Terminal/Acervo/Detalhe/33953?a=1&amp;guid=1687894190760. </w:t>
      </w:r>
    </w:p>
  </w:footnote>
  <w:footnote w:id="12">
    <w:p w14:paraId="19A18FB3" w14:textId="77777777" w:rsidR="00E85423" w:rsidRPr="00130AD0" w:rsidRDefault="00E85423" w:rsidP="00130AD0">
      <w:pPr>
        <w:pStyle w:val="NormalWeb"/>
        <w:spacing w:before="0" w:beforeAutospacing="0" w:after="0" w:afterAutospacing="0"/>
        <w:jc w:val="both"/>
        <w:rPr>
          <w:sz w:val="20"/>
          <w:szCs w:val="20"/>
        </w:rPr>
      </w:pPr>
      <w:r w:rsidRPr="00130AD0">
        <w:rPr>
          <w:rStyle w:val="Refdenotaderodap"/>
          <w:rFonts w:eastAsiaTheme="majorEastAsia"/>
          <w:sz w:val="20"/>
          <w:szCs w:val="20"/>
        </w:rPr>
        <w:footnoteRef/>
      </w:r>
      <w:r w:rsidRPr="00130AD0">
        <w:rPr>
          <w:sz w:val="20"/>
          <w:szCs w:val="20"/>
        </w:rPr>
        <w:t xml:space="preserve"> </w:t>
      </w:r>
      <w:r w:rsidRPr="00130AD0">
        <w:rPr>
          <w:color w:val="000000"/>
          <w:sz w:val="20"/>
          <w:szCs w:val="20"/>
        </w:rPr>
        <w:t>Disponível em: https://www.gov.br/anac/pt-br/assuntos/regulacao-responsiva/conheca-o-projeto-regulacao-responsiva</w:t>
      </w:r>
    </w:p>
  </w:footnote>
  <w:footnote w:id="13">
    <w:p w14:paraId="66128A49" w14:textId="77777777" w:rsidR="00E85423" w:rsidRPr="00130AD0" w:rsidRDefault="00E85423" w:rsidP="00130AD0">
      <w:pPr>
        <w:pStyle w:val="NormalWeb"/>
        <w:spacing w:before="0" w:beforeAutospacing="0" w:after="0" w:afterAutospacing="0"/>
        <w:jc w:val="both"/>
        <w:rPr>
          <w:sz w:val="20"/>
          <w:szCs w:val="20"/>
        </w:rPr>
      </w:pPr>
      <w:r w:rsidRPr="00130AD0">
        <w:rPr>
          <w:rStyle w:val="Refdenotaderodap"/>
          <w:sz w:val="20"/>
          <w:szCs w:val="20"/>
        </w:rPr>
        <w:footnoteRef/>
      </w:r>
      <w:r w:rsidRPr="00130AD0">
        <w:rPr>
          <w:sz w:val="20"/>
          <w:szCs w:val="20"/>
        </w:rPr>
        <w:t xml:space="preserve"> Disponível em: https://www.gov.br/anac/pt-br/assuntos/regulacao-responsiva/conheca-o-projeto-regulacao-responsiva</w:t>
      </w:r>
    </w:p>
    <w:p w14:paraId="704FFE90" w14:textId="77777777" w:rsidR="00E85423" w:rsidRPr="00130AD0" w:rsidRDefault="00E85423" w:rsidP="00130AD0">
      <w:pPr>
        <w:pStyle w:val="Textodenotaderodap"/>
        <w:jc w:val="both"/>
        <w:rPr>
          <w:rFonts w:ascii="Times New Roman" w:hAnsi="Times New Roman" w:cs="Times New Roman"/>
        </w:rPr>
      </w:pPr>
    </w:p>
  </w:footnote>
  <w:footnote w:id="14">
    <w:p w14:paraId="134B9BF7" w14:textId="078FBFBD" w:rsidR="00694790" w:rsidRPr="00130AD0" w:rsidRDefault="00694790"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rPr>
        <w:t xml:space="preserve"> </w:t>
      </w:r>
      <w:r w:rsidR="00F47897" w:rsidRPr="00130AD0">
        <w:rPr>
          <w:rFonts w:ascii="Times New Roman" w:hAnsi="Times New Roman" w:cs="Times New Roman"/>
        </w:rPr>
        <w:t>ANTT. EDITAL No 005/2013. Contrato de Concessão da Rodovia Federal BR-163/MS: trecho entre a divisa com o estado do Mato Grosso e a divisa com o Paraná. 2013. Disponível em: https://www.gov.br/antt/pt-br/assuntos/rodovias/concessionarias/lista-de-concessoes/ms-via/documentos-de-gestao/contrato-e-aditivos/contrato.pdf/view</w:t>
      </w:r>
    </w:p>
  </w:footnote>
  <w:footnote w:id="15">
    <w:p w14:paraId="5E4B32BB" w14:textId="1195F47E" w:rsidR="00FC0FCA" w:rsidRPr="00130AD0" w:rsidRDefault="00FC0FCA" w:rsidP="00130AD0">
      <w:pPr>
        <w:pStyle w:val="Textodenotaderodap"/>
        <w:jc w:val="both"/>
        <w:rPr>
          <w:rFonts w:ascii="Times New Roman" w:hAnsi="Times New Roman" w:cs="Times New Roman"/>
          <w:lang w:val="en-US"/>
        </w:rPr>
      </w:pPr>
      <w:r w:rsidRPr="00130AD0">
        <w:rPr>
          <w:rStyle w:val="Refdenotaderodap"/>
          <w:rFonts w:ascii="Times New Roman" w:hAnsi="Times New Roman" w:cs="Times New Roman"/>
        </w:rPr>
        <w:footnoteRef/>
      </w:r>
      <w:r w:rsidRPr="00130AD0">
        <w:rPr>
          <w:rFonts w:ascii="Times New Roman" w:hAnsi="Times New Roman" w:cs="Times New Roman"/>
        </w:rPr>
        <w:t xml:space="preserve"> ESTADOS UNIDOS DA AMÉRICA. VIRGINIA DEPARTMENT OF TRANSPORTATION. </w:t>
      </w:r>
      <w:r w:rsidRPr="00130AD0">
        <w:rPr>
          <w:rFonts w:ascii="Times New Roman" w:hAnsi="Times New Roman" w:cs="Times New Roman"/>
          <w:lang w:val="en-US"/>
        </w:rPr>
        <w:t xml:space="preserve">AGREEMENT RELATING TO THE I-95/395 HOV/HOT LANES PROJECT, 2017. </w:t>
      </w:r>
      <w:proofErr w:type="spellStart"/>
      <w:r w:rsidRPr="00130AD0">
        <w:rPr>
          <w:rFonts w:ascii="Times New Roman" w:hAnsi="Times New Roman" w:cs="Times New Roman"/>
          <w:lang w:val="en-US"/>
        </w:rPr>
        <w:t>Disponível</w:t>
      </w:r>
      <w:proofErr w:type="spellEnd"/>
      <w:r w:rsidRPr="00130AD0">
        <w:rPr>
          <w:rFonts w:ascii="Times New Roman" w:hAnsi="Times New Roman" w:cs="Times New Roman"/>
          <w:lang w:val="en-US"/>
        </w:rPr>
        <w:t xml:space="preserve"> </w:t>
      </w:r>
      <w:proofErr w:type="spellStart"/>
      <w:r w:rsidRPr="00130AD0">
        <w:rPr>
          <w:rFonts w:ascii="Times New Roman" w:hAnsi="Times New Roman" w:cs="Times New Roman"/>
          <w:lang w:val="en-US"/>
        </w:rPr>
        <w:t>em</w:t>
      </w:r>
      <w:proofErr w:type="spellEnd"/>
      <w:r w:rsidRPr="00130AD0">
        <w:rPr>
          <w:rFonts w:ascii="Times New Roman" w:hAnsi="Times New Roman" w:cs="Times New Roman"/>
          <w:lang w:val="en-US"/>
        </w:rPr>
        <w:t>: https://www.transportation.gov/buildamerica/projects/project-highlights/i-95-hovhot-lanes-northern-virginia</w:t>
      </w:r>
    </w:p>
  </w:footnote>
  <w:footnote w:id="16">
    <w:p w14:paraId="05E60C40" w14:textId="77777777" w:rsidR="00FC0FCA" w:rsidRPr="00130AD0" w:rsidRDefault="00FC0FCA" w:rsidP="00130AD0">
      <w:pPr>
        <w:pStyle w:val="Textodenotaderodap"/>
        <w:jc w:val="both"/>
        <w:rPr>
          <w:rFonts w:ascii="Times New Roman" w:hAnsi="Times New Roman" w:cs="Times New Roman"/>
          <w:lang w:val="en-US"/>
        </w:rPr>
      </w:pPr>
      <w:r w:rsidRPr="00130AD0">
        <w:rPr>
          <w:rStyle w:val="Refdenotaderodap"/>
          <w:rFonts w:ascii="Times New Roman" w:hAnsi="Times New Roman" w:cs="Times New Roman"/>
        </w:rPr>
        <w:footnoteRef/>
      </w:r>
      <w:r w:rsidRPr="00130AD0">
        <w:rPr>
          <w:rFonts w:ascii="Times New Roman" w:hAnsi="Times New Roman" w:cs="Times New Roman"/>
        </w:rPr>
        <w:t xml:space="preserve"> ESTADOS UNIDOS DA AMÉRICA. VIRGINIA DEPARTMENT OF TRANSPORTATION. </w:t>
      </w:r>
      <w:r w:rsidRPr="00130AD0">
        <w:rPr>
          <w:rFonts w:ascii="Times New Roman" w:hAnsi="Times New Roman" w:cs="Times New Roman"/>
          <w:lang w:val="en-US"/>
        </w:rPr>
        <w:t xml:space="preserve">AGREEMENT RELATING TO THE I-95/395 HOV/HOT LANES PROJECT, 2017. </w:t>
      </w:r>
      <w:proofErr w:type="spellStart"/>
      <w:r w:rsidRPr="00130AD0">
        <w:rPr>
          <w:rFonts w:ascii="Times New Roman" w:hAnsi="Times New Roman" w:cs="Times New Roman"/>
          <w:lang w:val="en-US"/>
        </w:rPr>
        <w:t>Disponível</w:t>
      </w:r>
      <w:proofErr w:type="spellEnd"/>
      <w:r w:rsidRPr="00130AD0">
        <w:rPr>
          <w:rFonts w:ascii="Times New Roman" w:hAnsi="Times New Roman" w:cs="Times New Roman"/>
          <w:lang w:val="en-US"/>
        </w:rPr>
        <w:t xml:space="preserve"> </w:t>
      </w:r>
      <w:proofErr w:type="spellStart"/>
      <w:r w:rsidRPr="00130AD0">
        <w:rPr>
          <w:rFonts w:ascii="Times New Roman" w:hAnsi="Times New Roman" w:cs="Times New Roman"/>
          <w:lang w:val="en-US"/>
        </w:rPr>
        <w:t>em</w:t>
      </w:r>
      <w:proofErr w:type="spellEnd"/>
      <w:r w:rsidRPr="00130AD0">
        <w:rPr>
          <w:rFonts w:ascii="Times New Roman" w:hAnsi="Times New Roman" w:cs="Times New Roman"/>
          <w:lang w:val="en-US"/>
        </w:rPr>
        <w:t>: https://www.transportation.gov/buildamerica/projects/project-highlights/i-95-hovhot-lanes-northern-virginia</w:t>
      </w:r>
    </w:p>
  </w:footnote>
  <w:footnote w:id="17">
    <w:p w14:paraId="65709E55" w14:textId="77777777" w:rsidR="00FC0FCA" w:rsidRPr="00130AD0" w:rsidRDefault="00FC0FCA" w:rsidP="00130AD0">
      <w:pPr>
        <w:pStyle w:val="Textodenotaderodap"/>
        <w:jc w:val="both"/>
        <w:rPr>
          <w:rFonts w:ascii="Times New Roman" w:hAnsi="Times New Roman" w:cs="Times New Roman"/>
          <w:lang w:val="en-US"/>
        </w:rPr>
      </w:pPr>
      <w:r w:rsidRPr="00130AD0">
        <w:rPr>
          <w:rStyle w:val="Refdenotaderodap"/>
          <w:rFonts w:ascii="Times New Roman" w:hAnsi="Times New Roman" w:cs="Times New Roman"/>
        </w:rPr>
        <w:footnoteRef/>
      </w:r>
      <w:r w:rsidRPr="00130AD0">
        <w:rPr>
          <w:rFonts w:ascii="Times New Roman" w:hAnsi="Times New Roman" w:cs="Times New Roman"/>
          <w:lang w:val="en-US"/>
        </w:rPr>
        <w:t xml:space="preserve"> AUSTRALIA. VITORIA. Concession Deed Mitcham - Frankston Freeway https://dokumen.tips/documents/east-link-concession-document291.html?page=3#google_vignette</w:t>
      </w:r>
    </w:p>
  </w:footnote>
  <w:footnote w:id="18">
    <w:p w14:paraId="3FC5B048" w14:textId="567E8D97" w:rsidR="00FC0FCA" w:rsidRPr="00130AD0" w:rsidRDefault="00FC0FCA"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lang w:val="en-US"/>
        </w:rPr>
        <w:t xml:space="preserve"> AUSTRALIA. QUEENSLAND. Airport Link/Northern Busway (Windsor to Kedron) /EWAG Projects - Project Deed. </w:t>
      </w:r>
      <w:r w:rsidRPr="00130AD0">
        <w:rPr>
          <w:rFonts w:ascii="Times New Roman" w:hAnsi="Times New Roman" w:cs="Times New Roman"/>
        </w:rPr>
        <w:t>Disponível em: https://www.tmr.qld.gov.au/-/media/busind/Transport-sectors/Toll-roads/airportlinkprojectdeed.pdf?la=en</w:t>
      </w:r>
    </w:p>
  </w:footnote>
  <w:footnote w:id="19">
    <w:p w14:paraId="4A3CE568" w14:textId="28F8638B" w:rsidR="00FC0FCA" w:rsidRPr="00130AD0" w:rsidRDefault="00FC0FCA"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lang w:val="en-US"/>
        </w:rPr>
        <w:t xml:space="preserve"> AUSTRALIA. QUEENSLAND. Airport Link/Northern Busway (Windsor to Kedron) /EWAG Projects - Project Deed. </w:t>
      </w:r>
      <w:r w:rsidRPr="00130AD0">
        <w:rPr>
          <w:rFonts w:ascii="Times New Roman" w:hAnsi="Times New Roman" w:cs="Times New Roman"/>
        </w:rPr>
        <w:t>Disponível em: https://www.tmr.qld.gov.au/-/media/busind/Transport-sectors/Toll-roads/airportlinkprojectdeed.pdf?la=en</w:t>
      </w:r>
    </w:p>
  </w:footnote>
  <w:footnote w:id="20">
    <w:p w14:paraId="0BF22AF1" w14:textId="326D91C2" w:rsidR="00FC0FCA" w:rsidRPr="00130AD0" w:rsidRDefault="00FC0FCA" w:rsidP="00130AD0">
      <w:pPr>
        <w:pStyle w:val="Textodenotaderodap"/>
        <w:jc w:val="both"/>
        <w:rPr>
          <w:rFonts w:ascii="Times New Roman" w:hAnsi="Times New Roman" w:cs="Times New Roman"/>
          <w:lang w:val="es-419"/>
        </w:rPr>
      </w:pPr>
      <w:r w:rsidRPr="00130AD0">
        <w:rPr>
          <w:rStyle w:val="Refdenotaderodap"/>
          <w:rFonts w:ascii="Times New Roman" w:hAnsi="Times New Roman" w:cs="Times New Roman"/>
        </w:rPr>
        <w:footnoteRef/>
      </w:r>
      <w:r w:rsidRPr="00130AD0">
        <w:rPr>
          <w:rFonts w:ascii="Times New Roman" w:hAnsi="Times New Roman" w:cs="Times New Roman"/>
          <w:lang w:val="es-419"/>
        </w:rPr>
        <w:t xml:space="preserve"> ESPANHA. Ministerio </w:t>
      </w:r>
      <w:proofErr w:type="spellStart"/>
      <w:r w:rsidRPr="00130AD0">
        <w:rPr>
          <w:rFonts w:ascii="Times New Roman" w:hAnsi="Times New Roman" w:cs="Times New Roman"/>
          <w:lang w:val="es-419"/>
        </w:rPr>
        <w:t>del</w:t>
      </w:r>
      <w:proofErr w:type="spellEnd"/>
      <w:r w:rsidRPr="00130AD0">
        <w:rPr>
          <w:rFonts w:ascii="Times New Roman" w:hAnsi="Times New Roman" w:cs="Times New Roman"/>
          <w:lang w:val="es-419"/>
        </w:rPr>
        <w:t xml:space="preserve"> Fomento. PLIEGO DE CLÁUSULAS ADMINISTRATIVAS PARTICULARES PARA EL CONCURSO, POR PROCEDIMIENTO ABIERTO, DE LA CONCESIÓN PARA LA CONSTRUCCIÓN, CONSERVACIÓN Y EXPLOTACIÓN DE LA AUTOPISTA DE PEAJE MADRID-TOLEDO Y LA AUTOVÍA LIBRE DE PEAJE A-40 DE CASTILLA-MANCHA, TRAMO: CIRCUNVALACIÓN NORTE DE TOLEDO. Exposición de motivos. Agencia Estatal Boletín Oficial del Estado. </w:t>
      </w:r>
      <w:proofErr w:type="spellStart"/>
      <w:r w:rsidRPr="00130AD0">
        <w:rPr>
          <w:rFonts w:ascii="Times New Roman" w:hAnsi="Times New Roman" w:cs="Times New Roman"/>
          <w:lang w:val="es-419"/>
        </w:rPr>
        <w:t>Disponível</w:t>
      </w:r>
      <w:proofErr w:type="spellEnd"/>
      <w:r w:rsidRPr="00130AD0">
        <w:rPr>
          <w:rFonts w:ascii="Times New Roman" w:hAnsi="Times New Roman" w:cs="Times New Roman"/>
          <w:lang w:val="es-419"/>
        </w:rPr>
        <w:t xml:space="preserve"> em: https://www.boe.es/diario_boe/txt.php?id=BOE-A-2003-15944</w:t>
      </w:r>
    </w:p>
  </w:footnote>
  <w:footnote w:id="21">
    <w:p w14:paraId="3AAC2F7E" w14:textId="5B6773E7" w:rsidR="00EE243E" w:rsidRPr="00130AD0" w:rsidRDefault="00EE243E"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rPr>
        <w:t xml:space="preserve"> </w:t>
      </w:r>
      <w:r w:rsidR="00AE7A3A" w:rsidRPr="00130AD0">
        <w:rPr>
          <w:rFonts w:ascii="Times New Roman" w:hAnsi="Times New Roman" w:cs="Times New Roman"/>
        </w:rPr>
        <w:t>Documentação relativa à desestatização prevista em: https://semil.sp.gov.br/desestatizacaosabesp/documentacao/</w:t>
      </w:r>
    </w:p>
  </w:footnote>
  <w:footnote w:id="22">
    <w:p w14:paraId="64A498F5" w14:textId="0D1CD0CC" w:rsidR="008F7522" w:rsidRPr="00130AD0" w:rsidRDefault="008F7522" w:rsidP="00130AD0">
      <w:pPr>
        <w:pStyle w:val="Textodenotaderodap"/>
        <w:jc w:val="both"/>
        <w:rPr>
          <w:rFonts w:ascii="Times New Roman" w:hAnsi="Times New Roman" w:cs="Times New Roman"/>
        </w:rPr>
      </w:pPr>
      <w:r w:rsidRPr="00130AD0">
        <w:rPr>
          <w:rStyle w:val="Refdenotaderodap"/>
          <w:rFonts w:ascii="Times New Roman" w:hAnsi="Times New Roman" w:cs="Times New Roman"/>
        </w:rPr>
        <w:footnoteRef/>
      </w:r>
      <w:r w:rsidRPr="00130AD0">
        <w:rPr>
          <w:rFonts w:ascii="Times New Roman" w:hAnsi="Times New Roman" w:cs="Times New Roman"/>
        </w:rPr>
        <w:t xml:space="preserve"> </w:t>
      </w:r>
      <w:r w:rsidR="009B54A7" w:rsidRPr="00130AD0">
        <w:rPr>
          <w:rFonts w:ascii="Times New Roman" w:hAnsi="Times New Roman" w:cs="Times New Roman"/>
        </w:rPr>
        <w:t>BOGOSSIAN, Andr</w:t>
      </w:r>
      <w:r w:rsidR="00852826" w:rsidRPr="00130AD0">
        <w:rPr>
          <w:rFonts w:ascii="Times New Roman" w:hAnsi="Times New Roman" w:cs="Times New Roman"/>
        </w:rPr>
        <w:t>é</w:t>
      </w:r>
      <w:r w:rsidR="009B54A7" w:rsidRPr="00130AD0">
        <w:rPr>
          <w:rFonts w:ascii="Times New Roman" w:hAnsi="Times New Roman" w:cs="Times New Roman"/>
        </w:rPr>
        <w:t>; PINHO, Mariana. Inovações na modelagem de concessões no saneamento. Portal Jota. 22.05.2024. Disponível em: https://www.jota.info/opiniao-e-analise/artigos/inovacoes-na-modelagem-de-concessoes-no-saneamento-2.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352CF"/>
    <w:multiLevelType w:val="hybridMultilevel"/>
    <w:tmpl w:val="501EF90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479D2085"/>
    <w:multiLevelType w:val="hybridMultilevel"/>
    <w:tmpl w:val="0E46E38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1704BD7"/>
    <w:multiLevelType w:val="hybridMultilevel"/>
    <w:tmpl w:val="711835D0"/>
    <w:lvl w:ilvl="0" w:tplc="04160001">
      <w:start w:val="1"/>
      <w:numFmt w:val="bullet"/>
      <w:lvlText w:val=""/>
      <w:lvlJc w:val="left"/>
      <w:pPr>
        <w:ind w:left="1485" w:hanging="360"/>
      </w:pPr>
      <w:rPr>
        <w:rFonts w:ascii="Symbol" w:hAnsi="Symbol"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3" w15:restartNumberingAfterBreak="0">
    <w:nsid w:val="79336172"/>
    <w:multiLevelType w:val="hybridMultilevel"/>
    <w:tmpl w:val="AB207A3E"/>
    <w:lvl w:ilvl="0" w:tplc="5C769E2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731537073">
    <w:abstractNumId w:val="1"/>
  </w:num>
  <w:num w:numId="2" w16cid:durableId="748387400">
    <w:abstractNumId w:val="3"/>
  </w:num>
  <w:num w:numId="3" w16cid:durableId="2064328873">
    <w:abstractNumId w:val="0"/>
  </w:num>
  <w:num w:numId="4" w16cid:durableId="1386414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DB9"/>
    <w:rsid w:val="000011B4"/>
    <w:rsid w:val="00003522"/>
    <w:rsid w:val="00016160"/>
    <w:rsid w:val="0002012E"/>
    <w:rsid w:val="00037952"/>
    <w:rsid w:val="00055279"/>
    <w:rsid w:val="000644BF"/>
    <w:rsid w:val="00071A62"/>
    <w:rsid w:val="000A3B67"/>
    <w:rsid w:val="000A44EF"/>
    <w:rsid w:val="000B0C44"/>
    <w:rsid w:val="00130AD0"/>
    <w:rsid w:val="00147409"/>
    <w:rsid w:val="0015592D"/>
    <w:rsid w:val="001559C9"/>
    <w:rsid w:val="001B1676"/>
    <w:rsid w:val="00206424"/>
    <w:rsid w:val="002213FE"/>
    <w:rsid w:val="00234F25"/>
    <w:rsid w:val="00271EC3"/>
    <w:rsid w:val="0028245C"/>
    <w:rsid w:val="002845D0"/>
    <w:rsid w:val="002B6359"/>
    <w:rsid w:val="002D1B0B"/>
    <w:rsid w:val="002D6041"/>
    <w:rsid w:val="00330C09"/>
    <w:rsid w:val="00370200"/>
    <w:rsid w:val="003E3306"/>
    <w:rsid w:val="00417EC5"/>
    <w:rsid w:val="0042550C"/>
    <w:rsid w:val="004360C5"/>
    <w:rsid w:val="00462D97"/>
    <w:rsid w:val="004F7674"/>
    <w:rsid w:val="00513DBD"/>
    <w:rsid w:val="00522D52"/>
    <w:rsid w:val="005576AA"/>
    <w:rsid w:val="00571229"/>
    <w:rsid w:val="005A78A4"/>
    <w:rsid w:val="005C0959"/>
    <w:rsid w:val="005C5853"/>
    <w:rsid w:val="005F5F0B"/>
    <w:rsid w:val="0061398B"/>
    <w:rsid w:val="00614AF3"/>
    <w:rsid w:val="00616B27"/>
    <w:rsid w:val="00630B32"/>
    <w:rsid w:val="006326D5"/>
    <w:rsid w:val="00643625"/>
    <w:rsid w:val="00644E6C"/>
    <w:rsid w:val="00677DDB"/>
    <w:rsid w:val="00694790"/>
    <w:rsid w:val="006B7F6A"/>
    <w:rsid w:val="006E1B0E"/>
    <w:rsid w:val="00730978"/>
    <w:rsid w:val="007524E5"/>
    <w:rsid w:val="00785784"/>
    <w:rsid w:val="00785D44"/>
    <w:rsid w:val="00795F33"/>
    <w:rsid w:val="007A1997"/>
    <w:rsid w:val="007B6CD5"/>
    <w:rsid w:val="007D796E"/>
    <w:rsid w:val="0080469A"/>
    <w:rsid w:val="00823DB9"/>
    <w:rsid w:val="008352F2"/>
    <w:rsid w:val="00852826"/>
    <w:rsid w:val="008711C4"/>
    <w:rsid w:val="008732FE"/>
    <w:rsid w:val="008C202F"/>
    <w:rsid w:val="008F7522"/>
    <w:rsid w:val="00970EAC"/>
    <w:rsid w:val="00982483"/>
    <w:rsid w:val="009A1C1B"/>
    <w:rsid w:val="009A42AB"/>
    <w:rsid w:val="009B54A7"/>
    <w:rsid w:val="009D6C9E"/>
    <w:rsid w:val="009F6E9C"/>
    <w:rsid w:val="00A11F82"/>
    <w:rsid w:val="00A72904"/>
    <w:rsid w:val="00A933A3"/>
    <w:rsid w:val="00AD782E"/>
    <w:rsid w:val="00AE6BA0"/>
    <w:rsid w:val="00AE7A3A"/>
    <w:rsid w:val="00B300EE"/>
    <w:rsid w:val="00B5237F"/>
    <w:rsid w:val="00B559A3"/>
    <w:rsid w:val="00B914D7"/>
    <w:rsid w:val="00BB1093"/>
    <w:rsid w:val="00BB52DD"/>
    <w:rsid w:val="00BC02D3"/>
    <w:rsid w:val="00BE1613"/>
    <w:rsid w:val="00BF170D"/>
    <w:rsid w:val="00BF4FEC"/>
    <w:rsid w:val="00C11C64"/>
    <w:rsid w:val="00C13EBF"/>
    <w:rsid w:val="00C17B4F"/>
    <w:rsid w:val="00CA2973"/>
    <w:rsid w:val="00CB5CCA"/>
    <w:rsid w:val="00CC4065"/>
    <w:rsid w:val="00CD15B0"/>
    <w:rsid w:val="00D4705A"/>
    <w:rsid w:val="00D6664A"/>
    <w:rsid w:val="00D83080"/>
    <w:rsid w:val="00D86D5B"/>
    <w:rsid w:val="00D879AB"/>
    <w:rsid w:val="00D94810"/>
    <w:rsid w:val="00D9657C"/>
    <w:rsid w:val="00DF4EB9"/>
    <w:rsid w:val="00E21285"/>
    <w:rsid w:val="00E27236"/>
    <w:rsid w:val="00E65223"/>
    <w:rsid w:val="00E66A5B"/>
    <w:rsid w:val="00E74BE8"/>
    <w:rsid w:val="00E83CA7"/>
    <w:rsid w:val="00E84BFB"/>
    <w:rsid w:val="00E85423"/>
    <w:rsid w:val="00E93A0D"/>
    <w:rsid w:val="00EB3405"/>
    <w:rsid w:val="00ED69EB"/>
    <w:rsid w:val="00EE243E"/>
    <w:rsid w:val="00EF3014"/>
    <w:rsid w:val="00F13F32"/>
    <w:rsid w:val="00F22B56"/>
    <w:rsid w:val="00F47897"/>
    <w:rsid w:val="00F5619C"/>
    <w:rsid w:val="00F81C0A"/>
    <w:rsid w:val="00F84CAD"/>
    <w:rsid w:val="00F91BBC"/>
    <w:rsid w:val="00F96BE7"/>
    <w:rsid w:val="00FA2D7C"/>
    <w:rsid w:val="00FB0F21"/>
    <w:rsid w:val="00FC0FCA"/>
    <w:rsid w:val="00FC5E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3BF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F7522"/>
    <w:pPr>
      <w:spacing w:after="0" w:line="360" w:lineRule="auto"/>
      <w:ind w:firstLine="709"/>
      <w:jc w:val="both"/>
      <w:outlineLvl w:val="0"/>
    </w:pPr>
    <w:rPr>
      <w:rFonts w:ascii="Times New Roman" w:hAnsi="Times New Roman" w:cs="Times New Roman"/>
      <w:b/>
      <w:bCs/>
    </w:rPr>
  </w:style>
  <w:style w:type="paragraph" w:styleId="Ttulo2">
    <w:name w:val="heading 2"/>
    <w:basedOn w:val="Normal"/>
    <w:next w:val="Normal"/>
    <w:link w:val="Ttulo2Char"/>
    <w:uiPriority w:val="9"/>
    <w:unhideWhenUsed/>
    <w:qFormat/>
    <w:rsid w:val="008F7522"/>
    <w:pPr>
      <w:spacing w:after="0" w:line="360" w:lineRule="auto"/>
      <w:ind w:firstLine="709"/>
      <w:jc w:val="both"/>
      <w:outlineLvl w:val="1"/>
    </w:pPr>
    <w:rPr>
      <w:rFonts w:ascii="Times New Roman" w:hAnsi="Times New Roman" w:cs="Times New Roman"/>
      <w:i/>
      <w:iCs/>
    </w:rPr>
  </w:style>
  <w:style w:type="paragraph" w:styleId="Ttulo3">
    <w:name w:val="heading 3"/>
    <w:basedOn w:val="Ttulo2"/>
    <w:next w:val="Normal"/>
    <w:link w:val="Ttulo3Char"/>
    <w:uiPriority w:val="9"/>
    <w:unhideWhenUsed/>
    <w:qFormat/>
    <w:rsid w:val="00055279"/>
    <w:pPr>
      <w:outlineLvl w:val="2"/>
    </w:pPr>
  </w:style>
  <w:style w:type="paragraph" w:styleId="Ttulo4">
    <w:name w:val="heading 4"/>
    <w:basedOn w:val="Ttulo3"/>
    <w:next w:val="Normal"/>
    <w:link w:val="Ttulo4Char"/>
    <w:uiPriority w:val="9"/>
    <w:unhideWhenUsed/>
    <w:qFormat/>
    <w:rsid w:val="00055279"/>
    <w:pPr>
      <w:outlineLvl w:val="3"/>
    </w:pPr>
    <w:rPr>
      <w:i w:val="0"/>
      <w:iCs w:val="0"/>
      <w:u w:val="single"/>
    </w:rPr>
  </w:style>
  <w:style w:type="paragraph" w:styleId="Ttulo5">
    <w:name w:val="heading 5"/>
    <w:basedOn w:val="Normal"/>
    <w:next w:val="Normal"/>
    <w:link w:val="Ttulo5Char"/>
    <w:uiPriority w:val="9"/>
    <w:semiHidden/>
    <w:unhideWhenUsed/>
    <w:qFormat/>
    <w:rsid w:val="00823D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23D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23D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23D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23DB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F7522"/>
    <w:rPr>
      <w:rFonts w:ascii="Times New Roman" w:hAnsi="Times New Roman" w:cs="Times New Roman"/>
      <w:b/>
      <w:bCs/>
    </w:rPr>
  </w:style>
  <w:style w:type="character" w:customStyle="1" w:styleId="Ttulo2Char">
    <w:name w:val="Título 2 Char"/>
    <w:basedOn w:val="Fontepargpadro"/>
    <w:link w:val="Ttulo2"/>
    <w:uiPriority w:val="9"/>
    <w:rsid w:val="008F7522"/>
    <w:rPr>
      <w:rFonts w:ascii="Times New Roman" w:hAnsi="Times New Roman" w:cs="Times New Roman"/>
      <w:i/>
      <w:iCs/>
    </w:rPr>
  </w:style>
  <w:style w:type="character" w:customStyle="1" w:styleId="Ttulo3Char">
    <w:name w:val="Título 3 Char"/>
    <w:basedOn w:val="Fontepargpadro"/>
    <w:link w:val="Ttulo3"/>
    <w:uiPriority w:val="9"/>
    <w:rsid w:val="00055279"/>
    <w:rPr>
      <w:rFonts w:ascii="Times New Roman" w:hAnsi="Times New Roman" w:cs="Times New Roman"/>
      <w:i/>
      <w:iCs/>
    </w:rPr>
  </w:style>
  <w:style w:type="character" w:customStyle="1" w:styleId="Ttulo4Char">
    <w:name w:val="Título 4 Char"/>
    <w:basedOn w:val="Fontepargpadro"/>
    <w:link w:val="Ttulo4"/>
    <w:uiPriority w:val="9"/>
    <w:rsid w:val="00055279"/>
    <w:rPr>
      <w:rFonts w:ascii="Times New Roman" w:hAnsi="Times New Roman" w:cs="Times New Roman"/>
      <w:u w:val="single"/>
    </w:rPr>
  </w:style>
  <w:style w:type="character" w:customStyle="1" w:styleId="Ttulo5Char">
    <w:name w:val="Título 5 Char"/>
    <w:basedOn w:val="Fontepargpadro"/>
    <w:link w:val="Ttulo5"/>
    <w:uiPriority w:val="9"/>
    <w:semiHidden/>
    <w:rsid w:val="00823DB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23DB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23DB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23DB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23DB9"/>
    <w:rPr>
      <w:rFonts w:eastAsiaTheme="majorEastAsia" w:cstheme="majorBidi"/>
      <w:color w:val="272727" w:themeColor="text1" w:themeTint="D8"/>
    </w:rPr>
  </w:style>
  <w:style w:type="paragraph" w:styleId="Ttulo">
    <w:name w:val="Title"/>
    <w:basedOn w:val="Normal"/>
    <w:next w:val="Normal"/>
    <w:link w:val="TtuloChar"/>
    <w:uiPriority w:val="10"/>
    <w:qFormat/>
    <w:rsid w:val="00823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23D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23DB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23DB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23DB9"/>
    <w:pPr>
      <w:spacing w:before="160"/>
      <w:jc w:val="center"/>
    </w:pPr>
    <w:rPr>
      <w:i/>
      <w:iCs/>
      <w:color w:val="404040" w:themeColor="text1" w:themeTint="BF"/>
    </w:rPr>
  </w:style>
  <w:style w:type="character" w:customStyle="1" w:styleId="CitaoChar">
    <w:name w:val="Citação Char"/>
    <w:basedOn w:val="Fontepargpadro"/>
    <w:link w:val="Citao"/>
    <w:uiPriority w:val="29"/>
    <w:rsid w:val="00823DB9"/>
    <w:rPr>
      <w:i/>
      <w:iCs/>
      <w:color w:val="404040" w:themeColor="text1" w:themeTint="BF"/>
    </w:rPr>
  </w:style>
  <w:style w:type="paragraph" w:styleId="PargrafodaLista">
    <w:name w:val="List Paragraph"/>
    <w:basedOn w:val="Normal"/>
    <w:uiPriority w:val="34"/>
    <w:qFormat/>
    <w:rsid w:val="00823DB9"/>
    <w:pPr>
      <w:ind w:left="720"/>
      <w:contextualSpacing/>
    </w:pPr>
  </w:style>
  <w:style w:type="character" w:styleId="nfaseIntensa">
    <w:name w:val="Intense Emphasis"/>
    <w:basedOn w:val="Fontepargpadro"/>
    <w:uiPriority w:val="21"/>
    <w:qFormat/>
    <w:rsid w:val="00823DB9"/>
    <w:rPr>
      <w:i/>
      <w:iCs/>
      <w:color w:val="0F4761" w:themeColor="accent1" w:themeShade="BF"/>
    </w:rPr>
  </w:style>
  <w:style w:type="paragraph" w:styleId="CitaoIntensa">
    <w:name w:val="Intense Quote"/>
    <w:basedOn w:val="Normal"/>
    <w:next w:val="Normal"/>
    <w:link w:val="CitaoIntensaChar"/>
    <w:uiPriority w:val="30"/>
    <w:qFormat/>
    <w:rsid w:val="00823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23DB9"/>
    <w:rPr>
      <w:i/>
      <w:iCs/>
      <w:color w:val="0F4761" w:themeColor="accent1" w:themeShade="BF"/>
    </w:rPr>
  </w:style>
  <w:style w:type="character" w:styleId="RefernciaIntensa">
    <w:name w:val="Intense Reference"/>
    <w:basedOn w:val="Fontepargpadro"/>
    <w:uiPriority w:val="32"/>
    <w:qFormat/>
    <w:rsid w:val="00823DB9"/>
    <w:rPr>
      <w:b/>
      <w:bCs/>
      <w:smallCaps/>
      <w:color w:val="0F4761" w:themeColor="accent1" w:themeShade="BF"/>
      <w:spacing w:val="5"/>
    </w:rPr>
  </w:style>
  <w:style w:type="paragraph" w:styleId="Textodenotaderodap">
    <w:name w:val="footnote text"/>
    <w:basedOn w:val="Normal"/>
    <w:link w:val="TextodenotaderodapChar"/>
    <w:uiPriority w:val="99"/>
    <w:unhideWhenUsed/>
    <w:rsid w:val="00B5237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B5237F"/>
    <w:rPr>
      <w:sz w:val="20"/>
      <w:szCs w:val="20"/>
    </w:rPr>
  </w:style>
  <w:style w:type="character" w:styleId="Refdenotaderodap">
    <w:name w:val="footnote reference"/>
    <w:basedOn w:val="Fontepargpadro"/>
    <w:uiPriority w:val="99"/>
    <w:semiHidden/>
    <w:unhideWhenUsed/>
    <w:rsid w:val="00B5237F"/>
    <w:rPr>
      <w:vertAlign w:val="superscript"/>
    </w:rPr>
  </w:style>
  <w:style w:type="paragraph" w:styleId="NormalWeb">
    <w:name w:val="Normal (Web)"/>
    <w:basedOn w:val="Normal"/>
    <w:uiPriority w:val="99"/>
    <w:unhideWhenUsed/>
    <w:rsid w:val="00B300EE"/>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Hyperlink">
    <w:name w:val="Hyperlink"/>
    <w:basedOn w:val="Fontepargpadro"/>
    <w:uiPriority w:val="99"/>
    <w:unhideWhenUsed/>
    <w:rsid w:val="00852826"/>
    <w:rPr>
      <w:color w:val="467886" w:themeColor="hyperlink"/>
      <w:u w:val="single"/>
    </w:rPr>
  </w:style>
  <w:style w:type="character" w:styleId="MenoPendente">
    <w:name w:val="Unresolved Mention"/>
    <w:basedOn w:val="Fontepargpadro"/>
    <w:uiPriority w:val="99"/>
    <w:semiHidden/>
    <w:unhideWhenUsed/>
    <w:rsid w:val="00852826"/>
    <w:rPr>
      <w:color w:val="605E5C"/>
      <w:shd w:val="clear" w:color="auto" w:fill="E1DFDD"/>
    </w:rPr>
  </w:style>
  <w:style w:type="paragraph" w:styleId="Cabealho">
    <w:name w:val="header"/>
    <w:basedOn w:val="Normal"/>
    <w:link w:val="CabealhoChar"/>
    <w:uiPriority w:val="99"/>
    <w:unhideWhenUsed/>
    <w:rsid w:val="00785D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85D44"/>
  </w:style>
  <w:style w:type="paragraph" w:styleId="Rodap">
    <w:name w:val="footer"/>
    <w:basedOn w:val="Normal"/>
    <w:link w:val="RodapChar"/>
    <w:uiPriority w:val="99"/>
    <w:unhideWhenUsed/>
    <w:rsid w:val="00785D44"/>
    <w:pPr>
      <w:tabs>
        <w:tab w:val="center" w:pos="4252"/>
        <w:tab w:val="right" w:pos="8504"/>
      </w:tabs>
      <w:spacing w:after="0" w:line="240" w:lineRule="auto"/>
    </w:pPr>
  </w:style>
  <w:style w:type="character" w:customStyle="1" w:styleId="RodapChar">
    <w:name w:val="Rodapé Char"/>
    <w:basedOn w:val="Fontepargpadro"/>
    <w:link w:val="Rodap"/>
    <w:uiPriority w:val="99"/>
    <w:rsid w:val="00785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dp.org.br/wp-content/uploads/2023/10/11.10.2023-Regulacao-responsiva-a-visao-do-TCU.pdf" TargetMode="External"/><Relationship Id="rId3" Type="http://schemas.openxmlformats.org/officeDocument/2006/relationships/settings" Target="settings.xml"/><Relationship Id="rId7" Type="http://schemas.openxmlformats.org/officeDocument/2006/relationships/hyperlink" Target="https://www.boe.es/diario_boe/txt.php?id=BOE-A-2003-159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itoraforum.com.br/noticias/o-novo-marco-regulatorio-do-saneamento-e-os-novos-quadrantes-da-regulacao-contratual-coluna-direito-da-infraestrutur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10973</Words>
  <Characters>64305</Characters>
  <Application>Microsoft Office Word</Application>
  <DocSecurity>0</DocSecurity>
  <Lines>1054</Lines>
  <Paragraphs>311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2026-03-09T19:17:00Z</dcterms:created>
  <dcterms:modified xsi:type="dcterms:W3CDTF">2026-03-09T19:29:00Z</dcterms:modified>
</cp:coreProperties>
</file>