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0D242" w14:textId="54106BF6" w:rsidR="005C72EF" w:rsidRDefault="005C72EF" w:rsidP="00A703C8">
      <w:pPr>
        <w:pStyle w:val="Ttulo1"/>
        <w:tabs>
          <w:tab w:val="num" w:pos="720"/>
        </w:tabs>
        <w:spacing w:line="360" w:lineRule="auto"/>
        <w:jc w:val="center"/>
      </w:pPr>
      <w:r w:rsidRPr="001D6BFD">
        <w:t xml:space="preserve">Negociação </w:t>
      </w:r>
      <w:r>
        <w:t>c</w:t>
      </w:r>
      <w:r w:rsidRPr="001D6BFD">
        <w:t>onstitucional:</w:t>
      </w:r>
      <w:r w:rsidR="00932863">
        <w:t xml:space="preserve"> </w:t>
      </w:r>
      <w:r w:rsidR="00A703C8">
        <w:t>O</w:t>
      </w:r>
      <w:r>
        <w:t xml:space="preserve"> papel do</w:t>
      </w:r>
      <w:r w:rsidRPr="001D6BFD">
        <w:t xml:space="preserve"> STF na </w:t>
      </w:r>
      <w:r>
        <w:t>c</w:t>
      </w:r>
      <w:r w:rsidRPr="001D6BFD">
        <w:t xml:space="preserve">elebração de </w:t>
      </w:r>
      <w:r>
        <w:t>a</w:t>
      </w:r>
      <w:r w:rsidRPr="001D6BFD">
        <w:t xml:space="preserve">cordos no </w:t>
      </w:r>
      <w:r>
        <w:t>c</w:t>
      </w:r>
      <w:r w:rsidRPr="001D6BFD">
        <w:t xml:space="preserve">ontrole </w:t>
      </w:r>
      <w:r w:rsidR="00BE1876">
        <w:t xml:space="preserve">CONCENTRADO </w:t>
      </w:r>
      <w:r>
        <w:t>de constitucionalidade</w:t>
      </w:r>
    </w:p>
    <w:p w14:paraId="0977611C" w14:textId="77777777" w:rsidR="005C72EF" w:rsidRDefault="005C72EF" w:rsidP="004208CB">
      <w:pPr>
        <w:tabs>
          <w:tab w:val="num" w:pos="720"/>
        </w:tabs>
        <w:spacing w:line="360" w:lineRule="auto"/>
      </w:pPr>
    </w:p>
    <w:p w14:paraId="1F5ECA1D" w14:textId="36C5A7BB" w:rsidR="004C667B" w:rsidRDefault="00826067" w:rsidP="004208CB">
      <w:pPr>
        <w:tabs>
          <w:tab w:val="num" w:pos="720"/>
        </w:tabs>
        <w:spacing w:line="360" w:lineRule="auto"/>
      </w:pPr>
      <w:r>
        <w:rPr>
          <w:b/>
          <w:bCs/>
        </w:rPr>
        <w:t xml:space="preserve">Resumo: </w:t>
      </w:r>
      <w:r w:rsidR="00CC0608">
        <w:t>Nos últimos anos,</w:t>
      </w:r>
      <w:r w:rsidR="004C667B">
        <w:t xml:space="preserve"> o</w:t>
      </w:r>
      <w:r w:rsidR="004C667B" w:rsidRPr="004C667B">
        <w:t xml:space="preserve"> </w:t>
      </w:r>
      <w:r w:rsidR="004C667B">
        <w:t xml:space="preserve">Supremo Tribunal Federal vem permitindo cada vez mais a celebração de acordos no âmbito do controle </w:t>
      </w:r>
      <w:r w:rsidR="00BE1876">
        <w:t>concentrado</w:t>
      </w:r>
      <w:r w:rsidR="00EB417E">
        <w:t xml:space="preserve"> </w:t>
      </w:r>
      <w:r w:rsidR="004C667B">
        <w:t xml:space="preserve">de constitucionalidade. </w:t>
      </w:r>
      <w:r w:rsidR="0025388C">
        <w:t>O objetivo central do artigo é investigar</w:t>
      </w:r>
      <w:r w:rsidR="008529E7">
        <w:t xml:space="preserve"> </w:t>
      </w:r>
      <w:r w:rsidR="0025388C">
        <w:t xml:space="preserve">as razões que levam o Tribunal a aderir à essa </w:t>
      </w:r>
      <w:r w:rsidR="0058398B">
        <w:t xml:space="preserve">lógica da “justiça negocial”, </w:t>
      </w:r>
      <w:r w:rsidR="0025388C">
        <w:t>mesmo em casos nos quais</w:t>
      </w:r>
      <w:r w:rsidR="005E61BD">
        <w:t xml:space="preserve"> se analisa</w:t>
      </w:r>
      <w:r w:rsidR="00621A80">
        <w:t xml:space="preserve"> a compatibilidade abstrata</w:t>
      </w:r>
      <w:r w:rsidR="005E61BD">
        <w:t xml:space="preserve"> </w:t>
      </w:r>
      <w:r w:rsidR="00621A80">
        <w:t xml:space="preserve">de </w:t>
      </w:r>
      <w:r w:rsidR="00742FEA">
        <w:t xml:space="preserve">leis e </w:t>
      </w:r>
      <w:r w:rsidR="00621A80">
        <w:t xml:space="preserve">atos normativos </w:t>
      </w:r>
      <w:r w:rsidR="004F0664">
        <w:t>em face da Constituição</w:t>
      </w:r>
      <w:r w:rsidR="00172A19">
        <w:t>.</w:t>
      </w:r>
      <w:r w:rsidR="005E61BD">
        <w:t xml:space="preserve"> Para responder a essa indagação, </w:t>
      </w:r>
      <w:r w:rsidR="00A24792">
        <w:t xml:space="preserve">adota-se o método qualitativo, </w:t>
      </w:r>
      <w:r w:rsidR="00A24792" w:rsidRPr="00623422">
        <w:t xml:space="preserve">com base em pesquisa </w:t>
      </w:r>
      <w:r w:rsidR="002A638F" w:rsidRPr="00623422">
        <w:t>documental e bibliográfica</w:t>
      </w:r>
      <w:r w:rsidR="002A638F">
        <w:t>.</w:t>
      </w:r>
      <w:r w:rsidR="00A24792">
        <w:t xml:space="preserve"> A seleção dos materiais considera </w:t>
      </w:r>
      <w:r w:rsidR="000E00A5">
        <w:t xml:space="preserve">os atos normativos e as decisões paradigmáticas do STF a respeito do tema, além da literatura especializada </w:t>
      </w:r>
      <w:r w:rsidR="0077201A">
        <w:t>sobre</w:t>
      </w:r>
      <w:r w:rsidR="000E00A5">
        <w:t xml:space="preserve"> </w:t>
      </w:r>
      <w:r w:rsidR="00AA4039">
        <w:t xml:space="preserve">o </w:t>
      </w:r>
      <w:r w:rsidR="0077201A">
        <w:t>controle de constitucionalidade,</w:t>
      </w:r>
      <w:r w:rsidR="00AA4039">
        <w:t xml:space="preserve"> </w:t>
      </w:r>
      <w:r w:rsidR="00BE1876">
        <w:t xml:space="preserve">sobre </w:t>
      </w:r>
      <w:r w:rsidR="00AA4039">
        <w:t>os</w:t>
      </w:r>
      <w:r w:rsidR="003444AC">
        <w:t xml:space="preserve"> </w:t>
      </w:r>
      <w:r w:rsidR="00875BC3">
        <w:t>acordos celebrados no STF e</w:t>
      </w:r>
      <w:r w:rsidR="00AA4039">
        <w:t xml:space="preserve"> </w:t>
      </w:r>
      <w:r w:rsidR="00BE1876">
        <w:t xml:space="preserve">sobre </w:t>
      </w:r>
      <w:r w:rsidR="00AA4039">
        <w:t>a</w:t>
      </w:r>
      <w:r w:rsidR="00875BC3">
        <w:t xml:space="preserve"> </w:t>
      </w:r>
      <w:r w:rsidR="000E00A5">
        <w:t xml:space="preserve">evolução do papel institucional do </w:t>
      </w:r>
      <w:r w:rsidR="00875BC3">
        <w:t>Tribunal</w:t>
      </w:r>
      <w:r w:rsidR="000E00A5">
        <w:t xml:space="preserve"> desde a </w:t>
      </w:r>
      <w:r w:rsidR="00875BC3">
        <w:t xml:space="preserve">promulgação da </w:t>
      </w:r>
      <w:r w:rsidR="000E00A5">
        <w:t xml:space="preserve">Constituição </w:t>
      </w:r>
      <w:r w:rsidR="004D34D1">
        <w:t>de 198</w:t>
      </w:r>
      <w:r w:rsidR="00875BC3">
        <w:t>8.</w:t>
      </w:r>
      <w:r w:rsidR="003444AC">
        <w:t xml:space="preserve"> A hipótese central do artigo é a de que </w:t>
      </w:r>
      <w:r w:rsidR="00B13CF4">
        <w:t xml:space="preserve">a ampliação do </w:t>
      </w:r>
      <w:r w:rsidR="006D7B43">
        <w:t>protagonismo</w:t>
      </w:r>
      <w:r w:rsidR="00B13CF4">
        <w:t xml:space="preserve"> do STF</w:t>
      </w:r>
      <w:r w:rsidR="00BD7335">
        <w:t xml:space="preserve"> leva à necessidade de criação de mecanismos institucionais inovadores </w:t>
      </w:r>
      <w:r w:rsidR="00226B91">
        <w:t xml:space="preserve">para o enfrentamento </w:t>
      </w:r>
      <w:r w:rsidR="00687F82">
        <w:t xml:space="preserve">dos problemas causados pela “judicialização” e </w:t>
      </w:r>
      <w:r w:rsidR="00226B91">
        <w:t>das críticas à legitimidade do Tribunal.</w:t>
      </w:r>
      <w:r w:rsidR="005A3170">
        <w:t xml:space="preserve"> Espera-se demonstrar</w:t>
      </w:r>
      <w:r w:rsidR="00687F82">
        <w:t xml:space="preserve"> </w:t>
      </w:r>
      <w:r w:rsidR="005A3170">
        <w:t xml:space="preserve">que a celebração de acordos </w:t>
      </w:r>
      <w:r w:rsidR="00FF1E2A">
        <w:t xml:space="preserve">no controle </w:t>
      </w:r>
      <w:r w:rsidR="00BE1876">
        <w:t>concentrado</w:t>
      </w:r>
      <w:r w:rsidR="0028173C">
        <w:t xml:space="preserve"> </w:t>
      </w:r>
      <w:r w:rsidR="00FF1E2A">
        <w:t xml:space="preserve">reflete uma reconfiguração do papel do STF, </w:t>
      </w:r>
      <w:r w:rsidR="00B840E5">
        <w:t xml:space="preserve">que passa a atuar como </w:t>
      </w:r>
      <w:r w:rsidR="001A08AF">
        <w:t xml:space="preserve">mediador </w:t>
      </w:r>
      <w:r w:rsidR="00B840E5">
        <w:t xml:space="preserve">institucional em conflitos complexos, especialmente </w:t>
      </w:r>
      <w:r w:rsidR="001A08AF">
        <w:t>envolvendo temas de alta</w:t>
      </w:r>
      <w:r w:rsidR="00B840E5">
        <w:t xml:space="preserve"> densidade política e social. </w:t>
      </w:r>
      <w:r w:rsidR="00200AE1">
        <w:t xml:space="preserve">Conclui-se que, embora não prevista formalmente em lei, a lógica de acordos no controle </w:t>
      </w:r>
      <w:r w:rsidR="00BE1876">
        <w:t>concentrado</w:t>
      </w:r>
      <w:r w:rsidR="00200AE1">
        <w:t xml:space="preserve"> de constitucionalidade </w:t>
      </w:r>
      <w:r w:rsidR="00120AA2">
        <w:t>representa uma inovação procedimental que desafia os limites tradicionais da jurisdição constitucional</w:t>
      </w:r>
      <w:r w:rsidR="00257F3B">
        <w:t xml:space="preserve">, devendo ser </w:t>
      </w:r>
      <w:r w:rsidR="0035567D">
        <w:t xml:space="preserve">objeto de análises críticas acerca da real capacidade desse mecanismo de responder </w:t>
      </w:r>
      <w:r w:rsidR="00D93408">
        <w:t>aos objetivos que se coloca.</w:t>
      </w:r>
    </w:p>
    <w:p w14:paraId="7E657B6B" w14:textId="5F678D9D" w:rsidR="00826067" w:rsidRDefault="00826067" w:rsidP="004208CB">
      <w:pPr>
        <w:tabs>
          <w:tab w:val="num" w:pos="720"/>
        </w:tabs>
        <w:spacing w:line="360" w:lineRule="auto"/>
      </w:pPr>
      <w:r w:rsidRPr="00185937">
        <w:rPr>
          <w:b/>
          <w:bCs/>
        </w:rPr>
        <w:t>Palavras-chave:</w:t>
      </w:r>
      <w:r>
        <w:t xml:space="preserve"> </w:t>
      </w:r>
      <w:r w:rsidR="00B75735">
        <w:t>A</w:t>
      </w:r>
      <w:r>
        <w:t>cordos; controle de constitucionalidade</w:t>
      </w:r>
      <w:r w:rsidR="00B75735">
        <w:t>; STF</w:t>
      </w:r>
      <w:r w:rsidR="00F22A1A">
        <w:t>.</w:t>
      </w:r>
    </w:p>
    <w:p w14:paraId="02CA2AF0" w14:textId="77777777" w:rsidR="00F22A1A" w:rsidRPr="00F22A1A" w:rsidRDefault="00F22A1A" w:rsidP="004208CB">
      <w:pPr>
        <w:tabs>
          <w:tab w:val="num" w:pos="720"/>
        </w:tabs>
        <w:spacing w:line="360" w:lineRule="auto"/>
      </w:pPr>
    </w:p>
    <w:p w14:paraId="05666D4C" w14:textId="1E8ED173" w:rsidR="00F22A1A" w:rsidRPr="001F6668" w:rsidRDefault="00F22A1A" w:rsidP="00F22A1A">
      <w:pPr>
        <w:tabs>
          <w:tab w:val="num" w:pos="720"/>
        </w:tabs>
        <w:spacing w:line="360" w:lineRule="auto"/>
        <w:rPr>
          <w:lang w:val="en-US"/>
        </w:rPr>
      </w:pPr>
      <w:r w:rsidRPr="00F22A1A">
        <w:rPr>
          <w:b/>
          <w:bCs/>
          <w:lang w:val="en-US"/>
        </w:rPr>
        <w:t>Abstract:</w:t>
      </w:r>
      <w:r>
        <w:rPr>
          <w:b/>
          <w:bCs/>
          <w:lang w:val="en-US"/>
        </w:rPr>
        <w:t xml:space="preserve"> </w:t>
      </w:r>
      <w:r w:rsidRPr="00F22A1A">
        <w:rPr>
          <w:lang w:val="en-US"/>
        </w:rPr>
        <w:t xml:space="preserve">In recent years, the </w:t>
      </w:r>
      <w:r>
        <w:rPr>
          <w:lang w:val="en-US"/>
        </w:rPr>
        <w:t xml:space="preserve">Brazilian </w:t>
      </w:r>
      <w:r w:rsidRPr="00F22A1A">
        <w:rPr>
          <w:lang w:val="en-US"/>
        </w:rPr>
        <w:t>Supreme Federal Court</w:t>
      </w:r>
      <w:r>
        <w:rPr>
          <w:lang w:val="en-US"/>
        </w:rPr>
        <w:t xml:space="preserve"> (STF)</w:t>
      </w:r>
      <w:r w:rsidRPr="00F22A1A">
        <w:rPr>
          <w:lang w:val="en-US"/>
        </w:rPr>
        <w:t xml:space="preserve"> has increasingly allowed the conclusion of agreements within the scope of concentrated constitutional review. </w:t>
      </w:r>
      <w:r w:rsidRPr="001F6668">
        <w:rPr>
          <w:lang w:val="en-US"/>
        </w:rPr>
        <w:t xml:space="preserve">The central purpose of this article is to examine the reasons that lead the Court to embrace the logic of “negotiated justice,” even in cases involving the abstract compatibility of statutes and normative acts with the Constitution. </w:t>
      </w:r>
      <w:r w:rsidRPr="00390CB0">
        <w:rPr>
          <w:lang w:val="en-US"/>
        </w:rPr>
        <w:t xml:space="preserve">To address this question, a qualitative method is employed, based on documentary and bibliographic research. The selection of materials considers normative acts and the Court’s landmark decisions on the subject, as well as specialized literature on constitutional review, agreements concluded before the Court, and the evolution of its institutional role since the enactment of the 1988 Constitution. The article’s core hypothesis is that the expansion of the Court’s protagonism creates the need for innovative </w:t>
      </w:r>
      <w:r w:rsidRPr="00390CB0">
        <w:rPr>
          <w:lang w:val="en-US"/>
        </w:rPr>
        <w:lastRenderedPageBreak/>
        <w:t xml:space="preserve">institutional mechanisms to address the challenges posed by judicialization and criticisms of the Court’s legitimacy. The analysis seeks to demonstrate that the conclusion of agreements in concentrated review reflects a reconfiguration of the Court’s role, positioning it as an </w:t>
      </w:r>
      <w:r w:rsidRPr="001F6668">
        <w:rPr>
          <w:lang w:val="en-US"/>
        </w:rPr>
        <w:t>institutional mediator in complex disputes, particularly those involving issues of high political and social sensitivity. It concludes that, although not formally provided for by law, the logic of agreements in concentrated constitutional review represents a procedural innovation that challenges the traditional boundaries of constitutional jurisdiction and should be subject to critical scrutiny regarding its actual capacity to achieve its intended objectives.</w:t>
      </w:r>
    </w:p>
    <w:p w14:paraId="37A021E5" w14:textId="74A29390" w:rsidR="00A703C8" w:rsidRPr="00BE1876" w:rsidRDefault="00F22A1A" w:rsidP="00F22A1A">
      <w:pPr>
        <w:tabs>
          <w:tab w:val="num" w:pos="720"/>
        </w:tabs>
        <w:spacing w:line="360" w:lineRule="auto"/>
        <w:rPr>
          <w:lang w:val="en-US"/>
        </w:rPr>
      </w:pPr>
      <w:r w:rsidRPr="00F22A1A">
        <w:rPr>
          <w:b/>
          <w:bCs/>
          <w:lang w:val="en-US"/>
        </w:rPr>
        <w:t xml:space="preserve">Keywords: </w:t>
      </w:r>
      <w:r w:rsidRPr="00F22A1A">
        <w:rPr>
          <w:lang w:val="en-US"/>
        </w:rPr>
        <w:t>Agreements; constitutional review; Supreme Federal Court</w:t>
      </w:r>
      <w:r w:rsidRPr="00F22A1A">
        <w:rPr>
          <w:b/>
          <w:bCs/>
          <w:lang w:val="en-US"/>
        </w:rPr>
        <w:t>.</w:t>
      </w:r>
    </w:p>
    <w:p w14:paraId="7D13E9E4" w14:textId="558B0402" w:rsidR="00F22A1A" w:rsidRDefault="00F22A1A">
      <w:pPr>
        <w:rPr>
          <w:lang w:val="en-US"/>
        </w:rPr>
      </w:pPr>
    </w:p>
    <w:p w14:paraId="32C3A0F9" w14:textId="00F87AE5" w:rsidR="00BC421E" w:rsidRPr="00390CB0" w:rsidRDefault="00A9412E">
      <w:r>
        <w:rPr>
          <w:b/>
          <w:bCs/>
        </w:rPr>
        <w:t>E</w:t>
      </w:r>
      <w:r w:rsidR="00BC421E" w:rsidRPr="00BC421E">
        <w:rPr>
          <w:b/>
          <w:bCs/>
        </w:rPr>
        <w:t>ixo Temático</w:t>
      </w:r>
      <w:r w:rsidR="00BC421E">
        <w:t>: Tema 4 – Controle Jurídico de Políticas Públicas</w:t>
      </w:r>
    </w:p>
    <w:p w14:paraId="5E64DB08" w14:textId="77777777" w:rsidR="00390CB0" w:rsidRPr="00390CB0" w:rsidRDefault="00390CB0"/>
    <w:p w14:paraId="60F6A314" w14:textId="6C6C2232" w:rsidR="00EF1C5B" w:rsidRDefault="00925EAC" w:rsidP="00EF1C5B">
      <w:pPr>
        <w:spacing w:after="240" w:line="360" w:lineRule="auto"/>
        <w:rPr>
          <w:szCs w:val="24"/>
        </w:rPr>
      </w:pPr>
      <w:r>
        <w:rPr>
          <w:b/>
          <w:bCs/>
          <w:szCs w:val="24"/>
        </w:rPr>
        <w:t>Sumário</w:t>
      </w:r>
      <w:r w:rsidR="00D2452B">
        <w:rPr>
          <w:b/>
          <w:bCs/>
          <w:szCs w:val="24"/>
        </w:rPr>
        <w:t>:</w:t>
      </w:r>
      <w:r w:rsidR="00EF1C5B" w:rsidRPr="00390CB0">
        <w:rPr>
          <w:szCs w:val="24"/>
        </w:rPr>
        <w:t xml:space="preserve"> 1. </w:t>
      </w:r>
      <w:r w:rsidR="00EF1C5B">
        <w:rPr>
          <w:szCs w:val="24"/>
        </w:rPr>
        <w:t xml:space="preserve">Introdução. </w:t>
      </w:r>
      <w:r w:rsidR="00932863">
        <w:rPr>
          <w:szCs w:val="24"/>
        </w:rPr>
        <w:t>2</w:t>
      </w:r>
      <w:r w:rsidR="00EF1C5B">
        <w:rPr>
          <w:szCs w:val="24"/>
        </w:rPr>
        <w:t>. </w:t>
      </w:r>
      <w:r w:rsidR="00B71556">
        <w:rPr>
          <w:szCs w:val="24"/>
        </w:rPr>
        <w:t>Map</w:t>
      </w:r>
      <w:r w:rsidR="00B71556" w:rsidRPr="00B71556">
        <w:rPr>
          <w:szCs w:val="24"/>
        </w:rPr>
        <w:t>eamento do histórico normativo e da prática de acordos no controle concentrado de constitucionalidade exercido pelo STF</w:t>
      </w:r>
      <w:r w:rsidR="00EF1C5B">
        <w:rPr>
          <w:szCs w:val="24"/>
        </w:rPr>
        <w:t xml:space="preserve">. </w:t>
      </w:r>
      <w:r w:rsidR="005547D8">
        <w:rPr>
          <w:szCs w:val="24"/>
        </w:rPr>
        <w:t>3</w:t>
      </w:r>
      <w:r w:rsidR="00932863">
        <w:rPr>
          <w:szCs w:val="24"/>
        </w:rPr>
        <w:t xml:space="preserve">. STF: da ampliação de poderes à </w:t>
      </w:r>
      <w:proofErr w:type="spellStart"/>
      <w:r w:rsidR="005547D8">
        <w:rPr>
          <w:szCs w:val="24"/>
        </w:rPr>
        <w:t>consensualização</w:t>
      </w:r>
      <w:proofErr w:type="spellEnd"/>
      <w:r w:rsidR="005547D8">
        <w:rPr>
          <w:szCs w:val="24"/>
        </w:rPr>
        <w:t xml:space="preserve"> do controle de constitucionalidade</w:t>
      </w:r>
      <w:r w:rsidR="00932863">
        <w:rPr>
          <w:szCs w:val="24"/>
        </w:rPr>
        <w:t xml:space="preserve">. </w:t>
      </w:r>
      <w:r w:rsidR="00EF1C5B">
        <w:rPr>
          <w:szCs w:val="24"/>
        </w:rPr>
        <w:t>4. Conclusão.</w:t>
      </w:r>
    </w:p>
    <w:p w14:paraId="70DB1C64" w14:textId="0BFF0128" w:rsidR="00EF1C5B" w:rsidRDefault="00143082" w:rsidP="009009D2">
      <w:pPr>
        <w:pStyle w:val="Ttulo1"/>
        <w:spacing w:after="240" w:line="360" w:lineRule="auto"/>
        <w:rPr>
          <w:rFonts w:cs="Times New Roman"/>
          <w:b w:val="0"/>
          <w:bCs/>
          <w:szCs w:val="24"/>
        </w:rPr>
      </w:pPr>
      <w:r>
        <w:rPr>
          <w:rFonts w:cs="Times New Roman"/>
          <w:bCs/>
          <w:caps w:val="0"/>
          <w:szCs w:val="24"/>
        </w:rPr>
        <w:t>1. Introdução</w:t>
      </w:r>
    </w:p>
    <w:p w14:paraId="1D549B9A" w14:textId="64F27D07" w:rsidR="000156C7" w:rsidRPr="001C2C2F" w:rsidRDefault="00FE3DBA" w:rsidP="000156C7">
      <w:pPr>
        <w:spacing w:line="360" w:lineRule="auto"/>
        <w:ind w:firstLine="709"/>
        <w:rPr>
          <w:i/>
          <w:iCs/>
        </w:rPr>
      </w:pPr>
      <w:r>
        <w:t>Nas últimas décadas</w:t>
      </w:r>
      <w:r w:rsidR="000156C7">
        <w:t xml:space="preserve">, </w:t>
      </w:r>
      <w:r w:rsidR="00D414F2">
        <w:t>a elevação</w:t>
      </w:r>
      <w:r w:rsidR="00DC324D">
        <w:t xml:space="preserve"> do número de processos judiciais, </w:t>
      </w:r>
      <w:r w:rsidR="0055163F">
        <w:t xml:space="preserve">as crescentes discussões em torno da </w:t>
      </w:r>
      <w:r w:rsidR="000905CC">
        <w:t xml:space="preserve">judicialização da política e </w:t>
      </w:r>
      <w:r w:rsidR="00343808">
        <w:t>o</w:t>
      </w:r>
      <w:r w:rsidR="000905CC">
        <w:t xml:space="preserve"> aumento do protagonismo </w:t>
      </w:r>
      <w:r w:rsidR="00F65BE6">
        <w:t>do Poder Judiciário</w:t>
      </w:r>
      <w:r w:rsidR="000905CC">
        <w:t xml:space="preserve"> no debate público </w:t>
      </w:r>
      <w:r w:rsidR="00BE16BC">
        <w:t xml:space="preserve">brasileiro </w:t>
      </w:r>
      <w:r w:rsidR="00E87742">
        <w:t xml:space="preserve">vêm fazendo com que o </w:t>
      </w:r>
      <w:r w:rsidR="001961D3">
        <w:t xml:space="preserve">a sociedade em geral </w:t>
      </w:r>
      <w:r w:rsidR="00F65BE6">
        <w:t xml:space="preserve">e o Supremo Tribunal Federal (STF), em especial, </w:t>
      </w:r>
      <w:r w:rsidR="001961D3">
        <w:t xml:space="preserve">passem a buscar soluções inovadoras </w:t>
      </w:r>
      <w:r w:rsidR="00F65BE6">
        <w:t>para a prestação jurisdicional,</w:t>
      </w:r>
      <w:r w:rsidR="0051325E">
        <w:rPr>
          <w:rStyle w:val="Refdenotaderodap"/>
        </w:rPr>
        <w:footnoteReference w:id="1"/>
      </w:r>
      <w:r w:rsidR="00F65BE6">
        <w:t xml:space="preserve"> seja para </w:t>
      </w:r>
      <w:r>
        <w:t xml:space="preserve">dar maior eficiência e celeridade ao sistema processual (a exemplo da Emenda Constitucional </w:t>
      </w:r>
      <w:r w:rsidR="00BC649F">
        <w:t xml:space="preserve"> </w:t>
      </w:r>
      <w:r w:rsidR="00AF4F5B">
        <w:t>nº 45, de 2004</w:t>
      </w:r>
      <w:r w:rsidR="001C2C2F">
        <w:rPr>
          <w:rStyle w:val="Refdenotaderodap"/>
        </w:rPr>
        <w:footnoteReference w:id="2"/>
      </w:r>
      <w:r w:rsidR="00AF4F5B">
        <w:t xml:space="preserve">), seja para </w:t>
      </w:r>
      <w:r w:rsidR="00632F24">
        <w:t xml:space="preserve">buscar novas formas de legitimação do </w:t>
      </w:r>
      <w:r w:rsidR="00BE16BC">
        <w:t xml:space="preserve">Poder </w:t>
      </w:r>
      <w:r w:rsidR="00632F24">
        <w:t xml:space="preserve">Judiciário perante a sociedade (a exemplo da </w:t>
      </w:r>
      <w:r w:rsidR="001C2C2F">
        <w:t xml:space="preserve">institucionalização de mecanismos de participação social, como as audiências públicas e a figura do </w:t>
      </w:r>
      <w:r w:rsidR="001C2C2F">
        <w:rPr>
          <w:i/>
          <w:iCs/>
        </w:rPr>
        <w:t xml:space="preserve">amicus </w:t>
      </w:r>
      <w:proofErr w:type="spellStart"/>
      <w:r w:rsidR="001C2C2F">
        <w:rPr>
          <w:i/>
          <w:iCs/>
        </w:rPr>
        <w:t>curiae</w:t>
      </w:r>
      <w:proofErr w:type="spellEnd"/>
      <w:r w:rsidR="00BE16BC" w:rsidRPr="00BE16BC">
        <w:t>)</w:t>
      </w:r>
      <w:r w:rsidR="001C2C2F">
        <w:rPr>
          <w:i/>
          <w:iCs/>
        </w:rPr>
        <w:t>.</w:t>
      </w:r>
    </w:p>
    <w:p w14:paraId="1ED9DD2F" w14:textId="6B10BF76" w:rsidR="001C2C2F" w:rsidRDefault="00051081" w:rsidP="00632CF8">
      <w:pPr>
        <w:spacing w:line="360" w:lineRule="auto"/>
        <w:ind w:firstLine="709"/>
      </w:pPr>
      <w:r>
        <w:t xml:space="preserve">Uma das alternativas institucionais que tem se destacado nesse contexto, sobretudo </w:t>
      </w:r>
      <w:r w:rsidR="00632CF8">
        <w:t xml:space="preserve">nos últimos dez anos, consiste na inserção </w:t>
      </w:r>
      <w:r w:rsidR="00AF07D7">
        <w:t xml:space="preserve">de mecanismos de autocomposição </w:t>
      </w:r>
      <w:r w:rsidR="00632CF8">
        <w:t xml:space="preserve">em um âmbito no qual essa perspectiva </w:t>
      </w:r>
      <w:r w:rsidR="0055163F">
        <w:t>consensual costumava aparecer</w:t>
      </w:r>
      <w:r w:rsidR="00632CF8">
        <w:t>: o controle concentrado de constitucionalidade.</w:t>
      </w:r>
      <w:r w:rsidR="004A3087">
        <w:rPr>
          <w:rStyle w:val="Refdenotaderodap"/>
        </w:rPr>
        <w:footnoteReference w:id="3"/>
      </w:r>
    </w:p>
    <w:p w14:paraId="1BDEBBCC" w14:textId="3F35B921" w:rsidR="00206B6E" w:rsidRDefault="00206B6E" w:rsidP="00632CF8">
      <w:pPr>
        <w:spacing w:line="360" w:lineRule="auto"/>
        <w:ind w:firstLine="709"/>
      </w:pPr>
      <w:r>
        <w:lastRenderedPageBreak/>
        <w:t xml:space="preserve">Essa </w:t>
      </w:r>
      <w:r w:rsidR="0055163F">
        <w:t>alternativa</w:t>
      </w:r>
      <w:r>
        <w:t xml:space="preserve"> institucional, como qualquer novidade, </w:t>
      </w:r>
      <w:r w:rsidR="00835DA5">
        <w:t xml:space="preserve">vem gerando </w:t>
      </w:r>
      <w:r w:rsidR="0055163F">
        <w:t>grande controvérsia</w:t>
      </w:r>
      <w:r w:rsidR="00835DA5">
        <w:t xml:space="preserve"> no debate público,</w:t>
      </w:r>
      <w:r w:rsidR="007D0176">
        <w:rPr>
          <w:rStyle w:val="Refdenotaderodap"/>
        </w:rPr>
        <w:footnoteReference w:id="4"/>
      </w:r>
      <w:r w:rsidR="00835DA5">
        <w:t xml:space="preserve"> </w:t>
      </w:r>
      <w:r w:rsidR="00527393">
        <w:t>tanto do ponto de vista da dogmática processual e constitucional, que costuma se voltar à discussão sobre o cabimento (ou não) da adoção desses mecanismos em processos de índole primordialmente abstrata,</w:t>
      </w:r>
      <w:r w:rsidR="00055B56">
        <w:t xml:space="preserve"> quanto do ponto de vista da análise política acerca do papel institucional do Poder Judiciário e, notadamente, do STF.</w:t>
      </w:r>
      <w:r w:rsidR="00835DA5">
        <w:t xml:space="preserve"> </w:t>
      </w:r>
    </w:p>
    <w:p w14:paraId="5040ADF4" w14:textId="083CFB49" w:rsidR="003256AF" w:rsidRDefault="003256AF" w:rsidP="003256AF">
      <w:pPr>
        <w:spacing w:line="360" w:lineRule="auto"/>
        <w:ind w:firstLine="709"/>
      </w:pPr>
      <w:r>
        <w:t xml:space="preserve">De um lado, </w:t>
      </w:r>
      <w:r w:rsidR="00103AF5">
        <w:t>posicionam-se</w:t>
      </w:r>
      <w:r>
        <w:t xml:space="preserve"> aqueles qu</w:t>
      </w:r>
      <w:r w:rsidR="00504FA6">
        <w:t>e</w:t>
      </w:r>
      <w:r>
        <w:t xml:space="preserve"> entendem que a inserção de mecanismos consensuais no processo de controle concentrado de constitucionalidade </w:t>
      </w:r>
      <w:r w:rsidR="00103AF5">
        <w:t xml:space="preserve">representaria </w:t>
      </w:r>
      <w:r w:rsidR="00271CAB">
        <w:t>não apenas</w:t>
      </w:r>
      <w:r w:rsidR="00103AF5">
        <w:t xml:space="preserve"> “um dos fenômenos mais relevantes e transformadores do direito contemporâneo”</w:t>
      </w:r>
      <w:r w:rsidR="00271CAB">
        <w:t>, mas</w:t>
      </w:r>
      <w:r w:rsidR="00504FA6">
        <w:t>, nas palavras do Min. Gilmar Mendes, um</w:t>
      </w:r>
      <w:r w:rsidR="00271CAB">
        <w:t xml:space="preserve"> “avanço significativo na qualidade de sua prestação jurisdicional”</w:t>
      </w:r>
      <w:r w:rsidR="00103AF5">
        <w:t xml:space="preserve"> (</w:t>
      </w:r>
      <w:r w:rsidR="00504FA6">
        <w:t>ABBOUD</w:t>
      </w:r>
      <w:r w:rsidR="007101ED">
        <w:t xml:space="preserve"> e NAVARRO, 2025, p. </w:t>
      </w:r>
      <w:r w:rsidR="00E9634C">
        <w:t>7-8</w:t>
      </w:r>
      <w:r w:rsidR="00103AF5">
        <w:t>)</w:t>
      </w:r>
      <w:r w:rsidR="00FE514A">
        <w:t>.</w:t>
      </w:r>
    </w:p>
    <w:p w14:paraId="0238D0CE" w14:textId="30BAD3F9" w:rsidR="008158D8" w:rsidRDefault="00271CAB" w:rsidP="00CB4123">
      <w:pPr>
        <w:spacing w:line="360" w:lineRule="auto"/>
        <w:ind w:firstLine="709"/>
      </w:pPr>
      <w:r>
        <w:t xml:space="preserve">Nesse sentido, por exemplo, </w:t>
      </w:r>
      <w:r w:rsidR="008158D8">
        <w:t xml:space="preserve">na Apresentação ao </w:t>
      </w:r>
      <w:r w:rsidR="007A7149" w:rsidRPr="00385CEB">
        <w:t xml:space="preserve">Manual do Núcleo de Solução Consensual de Conflitos </w:t>
      </w:r>
      <w:r w:rsidR="007A7149">
        <w:t xml:space="preserve">do STF </w:t>
      </w:r>
      <w:r w:rsidR="007A7149" w:rsidRPr="00385CEB">
        <w:t>(NUSOL</w:t>
      </w:r>
      <w:r w:rsidR="007A7149">
        <w:t>/STF</w:t>
      </w:r>
      <w:r w:rsidR="007A7149" w:rsidRPr="00385CEB">
        <w:t>)</w:t>
      </w:r>
      <w:r w:rsidR="008158D8">
        <w:t xml:space="preserve">, o Min. Luís Roberto Barroso defende </w:t>
      </w:r>
      <w:r w:rsidR="007A7149">
        <w:t xml:space="preserve">que </w:t>
      </w:r>
      <w:r w:rsidR="00CB4123">
        <w:t>a adoção da “</w:t>
      </w:r>
      <w:r w:rsidR="008158D8" w:rsidRPr="00F41EAD">
        <w:t>consensu</w:t>
      </w:r>
      <w:r w:rsidR="008158D8" w:rsidRPr="00F41EAD">
        <w:softHyphen/>
        <w:t>alidade no controle de constitucionalidade</w:t>
      </w:r>
      <w:r w:rsidR="00CB4123">
        <w:t>” seria uma iniciativa pioneira do Supremo Tribunal Federal e deveria ser “</w:t>
      </w:r>
      <w:r w:rsidR="008158D8" w:rsidRPr="00F41EAD">
        <w:t>motivo de orgulho para os jurisdicionados</w:t>
      </w:r>
      <w:r w:rsidR="008158D8">
        <w:t>” (</w:t>
      </w:r>
      <w:proofErr w:type="gramStart"/>
      <w:r w:rsidR="00E9634C" w:rsidRPr="00E0035B">
        <w:t xml:space="preserve">STF, </w:t>
      </w:r>
      <w:r w:rsidR="0011377A">
        <w:t> </w:t>
      </w:r>
      <w:r w:rsidR="008158D8" w:rsidRPr="00E0035B">
        <w:t>2025</w:t>
      </w:r>
      <w:proofErr w:type="gramEnd"/>
      <w:r w:rsidR="008158D8" w:rsidRPr="00E0035B">
        <w:t>, p. 5</w:t>
      </w:r>
      <w:r w:rsidR="008158D8">
        <w:t>)</w:t>
      </w:r>
      <w:r w:rsidR="00E0035B">
        <w:t>.</w:t>
      </w:r>
    </w:p>
    <w:p w14:paraId="217E996D" w14:textId="3283322F" w:rsidR="002D16E0" w:rsidRDefault="00271CAB" w:rsidP="003256AF">
      <w:pPr>
        <w:spacing w:line="360" w:lineRule="auto"/>
        <w:ind w:firstLine="709"/>
      </w:pPr>
      <w:r>
        <w:t>Georges Abboud</w:t>
      </w:r>
      <w:r w:rsidR="00CB4123">
        <w:t>, por sua vez, defende</w:t>
      </w:r>
      <w:r w:rsidR="005F7405">
        <w:t xml:space="preserve"> que</w:t>
      </w:r>
      <w:r>
        <w:t xml:space="preserve"> </w:t>
      </w:r>
      <w:r w:rsidR="008A728E">
        <w:t xml:space="preserve">“tendo em vista a insuficiência </w:t>
      </w:r>
      <w:r w:rsidR="005F7405">
        <w:t>do paradigma da decisão para lidar com os paradoxos e com uma sociedade cada vez mais complexa</w:t>
      </w:r>
      <w:r w:rsidR="0017084B">
        <w:t>”, o</w:t>
      </w:r>
      <w:r w:rsidR="006313EC">
        <w:t xml:space="preserve">s acordos </w:t>
      </w:r>
      <w:r w:rsidR="0017084B">
        <w:t>seriam “</w:t>
      </w:r>
      <w:r w:rsidR="006313EC">
        <w:t>a mais inovadora e efetiva ferramenta de atuação do constitucionalismo</w:t>
      </w:r>
      <w:r w:rsidR="00EE6868">
        <w:t xml:space="preserve"> pós-moderno”</w:t>
      </w:r>
      <w:r w:rsidR="00FA4AC4">
        <w:t xml:space="preserve"> (</w:t>
      </w:r>
      <w:r w:rsidR="00FA4AC4" w:rsidRPr="00BE3C6B">
        <w:t xml:space="preserve">ABBOUD, </w:t>
      </w:r>
      <w:r w:rsidR="00BE3C6B" w:rsidRPr="00BE3C6B">
        <w:t>2025</w:t>
      </w:r>
      <w:r w:rsidR="00FA4AC4" w:rsidRPr="00BE3C6B">
        <w:t xml:space="preserve">, p. </w:t>
      </w:r>
      <w:r w:rsidR="00AC6856" w:rsidRPr="00BE3C6B">
        <w:t>83</w:t>
      </w:r>
      <w:r w:rsidR="00AC6856">
        <w:t>).</w:t>
      </w:r>
      <w:r w:rsidR="00357469">
        <w:t xml:space="preserve"> </w:t>
      </w:r>
      <w:r w:rsidR="000F0354">
        <w:t xml:space="preserve">Em artigo publicado mais recentemente </w:t>
      </w:r>
      <w:r w:rsidR="004A599B">
        <w:t>em jornal de grande circulação</w:t>
      </w:r>
      <w:r w:rsidR="000F0354">
        <w:t xml:space="preserve">, </w:t>
      </w:r>
      <w:r w:rsidR="00A456EA">
        <w:t>em resposta</w:t>
      </w:r>
      <w:r w:rsidR="000F0354">
        <w:t xml:space="preserve"> às críticas a</w:t>
      </w:r>
      <w:r w:rsidR="008B73EF">
        <w:t>o uso</w:t>
      </w:r>
      <w:r w:rsidR="000F0354">
        <w:t xml:space="preserve"> </w:t>
      </w:r>
      <w:r w:rsidR="00A456EA">
        <w:t>d</w:t>
      </w:r>
      <w:r w:rsidR="000F0354">
        <w:t>esses mecanismos</w:t>
      </w:r>
      <w:r w:rsidR="00A456EA">
        <w:t xml:space="preserve"> pelo STF</w:t>
      </w:r>
      <w:r w:rsidR="000F0354">
        <w:t xml:space="preserve">, o mesmo autor defende que </w:t>
      </w:r>
      <w:r w:rsidR="00DB0821">
        <w:t xml:space="preserve">a conciliação apresentaria </w:t>
      </w:r>
      <w:r w:rsidR="00E945E0">
        <w:t xml:space="preserve">“vantagens” em comparação com a adjudicação tradicional, por ser “mais rápida, mais plural e complexa”, e </w:t>
      </w:r>
      <w:r w:rsidR="00EB30FA">
        <w:t>não enfraqueceria os direitos fundamentais, servindo para que o STF cumprisse melhor suas “funções contemporâneas</w:t>
      </w:r>
      <w:r w:rsidR="004B6932">
        <w:t>”, de “orientar a política cotidiana por princípios duradouros” (</w:t>
      </w:r>
      <w:r w:rsidR="00224851" w:rsidRPr="00224851">
        <w:t>ABBOUD, 2024</w:t>
      </w:r>
      <w:r w:rsidR="004B6932">
        <w:t>).</w:t>
      </w:r>
    </w:p>
    <w:p w14:paraId="5C7B2D57" w14:textId="5AF0BE30" w:rsidR="00271CAB" w:rsidRDefault="00C14387" w:rsidP="003256AF">
      <w:pPr>
        <w:spacing w:line="360" w:lineRule="auto"/>
        <w:ind w:firstLine="709"/>
      </w:pPr>
      <w:r>
        <w:t>A leitura é confirmada por Saul Tourinho Leal, para quem a aglutinação de “conciliações e acordos supervisionados” pelo STF representaria a atribuição de “novo sentido à jurisdição constitucional brasileira, apresentando ao mundo algo original</w:t>
      </w:r>
      <w:r w:rsidR="000105AD">
        <w:t>”</w:t>
      </w:r>
      <w:r w:rsidR="007E508E">
        <w:t>, que seria “fruto de um jeito de ser que é único” (</w:t>
      </w:r>
      <w:r w:rsidR="00781BCC">
        <w:t xml:space="preserve">LEAL, </w:t>
      </w:r>
      <w:r w:rsidR="00B72C82">
        <w:t>2019</w:t>
      </w:r>
      <w:r w:rsidR="00F7069E">
        <w:t>).</w:t>
      </w:r>
    </w:p>
    <w:p w14:paraId="232B4DDE" w14:textId="2CA27196" w:rsidR="00F7069E" w:rsidRDefault="0037269D" w:rsidP="003256AF">
      <w:pPr>
        <w:spacing w:line="360" w:lineRule="auto"/>
        <w:ind w:firstLine="709"/>
      </w:pPr>
      <w:r>
        <w:t xml:space="preserve">Sob uma perspectiva mais cautelosa, </w:t>
      </w:r>
      <w:r w:rsidR="00081B08">
        <w:t xml:space="preserve">Beatriz Bastide </w:t>
      </w:r>
      <w:proofErr w:type="spellStart"/>
      <w:r w:rsidR="00081B08">
        <w:t>Horbach</w:t>
      </w:r>
      <w:proofErr w:type="spellEnd"/>
      <w:r w:rsidR="00081B08">
        <w:t xml:space="preserve">, Ana Luísa Ferreira Pinto e Beto Vasconcelos </w:t>
      </w:r>
      <w:r w:rsidR="00A5204C">
        <w:t>defendem que o movimento de “</w:t>
      </w:r>
      <w:proofErr w:type="spellStart"/>
      <w:r w:rsidR="00A5204C">
        <w:t>consensualização</w:t>
      </w:r>
      <w:proofErr w:type="spellEnd"/>
      <w:r w:rsidR="00A5204C">
        <w:t xml:space="preserve">” </w:t>
      </w:r>
      <w:r w:rsidR="00F758F7">
        <w:t xml:space="preserve">representaria </w:t>
      </w:r>
      <w:r w:rsidR="00181267">
        <w:t xml:space="preserve">um </w:t>
      </w:r>
      <w:r w:rsidR="00181267">
        <w:lastRenderedPageBreak/>
        <w:t xml:space="preserve">“avanço importante na busca por um sistema mais ágil e colaborativo” e </w:t>
      </w:r>
      <w:r w:rsidR="00A5204C">
        <w:t xml:space="preserve">indicaria um “caminho promissor rumo a um modelo de Justiça cada vez mais alinhado com os valores democráticos”, </w:t>
      </w:r>
      <w:r w:rsidR="00F758F7">
        <w:t xml:space="preserve">mas ressalvam que </w:t>
      </w:r>
      <w:r w:rsidR="00181267">
        <w:t>tais mecanismos devem ser aplicados com cautela</w:t>
      </w:r>
      <w:r w:rsidR="00533B8F">
        <w:t>, a fim de assegurar que “a consensualidade não se sobreponha a princípios fundamentais de justiça”</w:t>
      </w:r>
      <w:r w:rsidR="000B4403">
        <w:t xml:space="preserve"> </w:t>
      </w:r>
      <w:r w:rsidR="000B4403" w:rsidRPr="007077AE">
        <w:t>(</w:t>
      </w:r>
      <w:r w:rsidR="007077AE">
        <w:t>HORBACH, PINTO e VASCONCELOS, 2025</w:t>
      </w:r>
      <w:r w:rsidR="000B4403" w:rsidRPr="007077AE">
        <w:t>)</w:t>
      </w:r>
      <w:r w:rsidR="000B4403">
        <w:t>.</w:t>
      </w:r>
    </w:p>
    <w:p w14:paraId="5188FCC6" w14:textId="7B96CE28" w:rsidR="00BD2913" w:rsidRDefault="00BD2913" w:rsidP="003256AF">
      <w:pPr>
        <w:spacing w:line="360" w:lineRule="auto"/>
        <w:ind w:firstLine="709"/>
      </w:pPr>
      <w:r>
        <w:t xml:space="preserve">Por outro lado, os críticos </w:t>
      </w:r>
      <w:r w:rsidR="00B36CFA">
        <w:t xml:space="preserve">da adoção </w:t>
      </w:r>
      <w:r w:rsidR="00461139">
        <w:t>de soluções consensuais</w:t>
      </w:r>
      <w:r w:rsidR="00B36CFA">
        <w:t xml:space="preserve"> em processos de controle concentrado de constitucionalidade costumam apontar que </w:t>
      </w:r>
      <w:r w:rsidR="00461139">
        <w:t>“</w:t>
      </w:r>
      <w:r w:rsidR="004414BF">
        <w:t xml:space="preserve">no estado atual do direito processual constitucional, </w:t>
      </w:r>
      <w:r w:rsidR="00461139">
        <w:t>a negociação e a conciliação não possuem nenhuma base jurídica</w:t>
      </w:r>
      <w:r w:rsidR="007301EE">
        <w:t>”</w:t>
      </w:r>
      <w:r w:rsidR="002E6DAF">
        <w:t>, ressaltando que “</w:t>
      </w:r>
      <w:r w:rsidR="00737865">
        <w:t xml:space="preserve">o procedimento de negociação não pode ter como resultado a convalidação de uma norma inconstitucional”, sob pena de </w:t>
      </w:r>
      <w:r w:rsidR="002728EC">
        <w:t>colocar em risco a posição do STF enquanto “guardião da Constituição”</w:t>
      </w:r>
      <w:r w:rsidR="00737865">
        <w:t xml:space="preserve"> (</w:t>
      </w:r>
      <w:r w:rsidR="00737865" w:rsidRPr="00E902F4">
        <w:t xml:space="preserve">DIMOULIS e LUNARDI, </w:t>
      </w:r>
      <w:r w:rsidR="00E902F4">
        <w:t>2024</w:t>
      </w:r>
      <w:r w:rsidR="00737865">
        <w:t>)</w:t>
      </w:r>
      <w:r w:rsidR="002728EC">
        <w:t>.</w:t>
      </w:r>
    </w:p>
    <w:p w14:paraId="7E752525" w14:textId="208CE39A" w:rsidR="00871D55" w:rsidRDefault="00871D55" w:rsidP="003256AF">
      <w:pPr>
        <w:spacing w:line="360" w:lineRule="auto"/>
        <w:ind w:firstLine="709"/>
      </w:pPr>
      <w:r>
        <w:t xml:space="preserve">Para Oscar Vilhena Vieira, por exemplo, a adoção desses mecanismos representaria </w:t>
      </w:r>
      <w:r w:rsidR="00A61328">
        <w:t>(i) </w:t>
      </w:r>
      <w:r>
        <w:t xml:space="preserve">uma ampliação excessiva dos poderes do STF, </w:t>
      </w:r>
      <w:r w:rsidR="00A61328">
        <w:t>que passaria a exercer uma função “</w:t>
      </w:r>
      <w:r w:rsidR="00A61328" w:rsidRPr="00C7743D">
        <w:t xml:space="preserve">cada vez mais política de coordenar e compor interesses, pertinente aos órgãos de representação, em detrimento </w:t>
      </w:r>
      <w:r w:rsidR="00A61328">
        <w:t>do</w:t>
      </w:r>
      <w:r w:rsidR="00A61328" w:rsidRPr="00C7743D">
        <w:t xml:space="preserve"> cumprimento de sua missão institucional que é a garantia da Constituição</w:t>
      </w:r>
      <w:r w:rsidR="00A61328">
        <w:t>”, e (</w:t>
      </w:r>
      <w:proofErr w:type="spellStart"/>
      <w:r w:rsidR="00A61328">
        <w:t>ii</w:t>
      </w:r>
      <w:proofErr w:type="spellEnd"/>
      <w:r w:rsidR="00A61328">
        <w:t>)</w:t>
      </w:r>
      <w:r w:rsidR="003D466C">
        <w:t> </w:t>
      </w:r>
      <w:r w:rsidR="0006266E">
        <w:t>um enfraquecimento do sistema de proteção dos direitos fundamentais, que ficariam cada vez mais “vulneráveis</w:t>
      </w:r>
      <w:r w:rsidR="003D466C">
        <w:t>”</w:t>
      </w:r>
      <w:r w:rsidR="0006266E">
        <w:t xml:space="preserve"> aos interesses </w:t>
      </w:r>
      <w:r w:rsidR="003D466C">
        <w:t>dos detentores do poder</w:t>
      </w:r>
      <w:r w:rsidR="0006266E">
        <w:t>.</w:t>
      </w:r>
      <w:r w:rsidR="008316AD">
        <w:t xml:space="preserve"> Ao pretender tornar o STF uma “onipotente e onipresente mesa de conciliação”, essas propostas não apenas rebaixariam os direitos fundamentais à condição de “meras reivindicações retóricas”, como também </w:t>
      </w:r>
      <w:r w:rsidR="003D02ED">
        <w:t>subtrairia</w:t>
      </w:r>
      <w:r w:rsidR="003D466C">
        <w:t>m</w:t>
      </w:r>
      <w:r w:rsidR="003D02ED">
        <w:t xml:space="preserve"> dos órgãos representativos “a função de coordenar politicamente conflitos de natureza econômica e social”, </w:t>
      </w:r>
      <w:r w:rsidR="00520719">
        <w:t xml:space="preserve">criando uma lacuna na garantia da “regra da lei” e </w:t>
      </w:r>
      <w:r w:rsidR="003D466C">
        <w:t>n</w:t>
      </w:r>
      <w:r w:rsidR="00520719">
        <w:t>a defesa dos direitos fundamentais</w:t>
      </w:r>
      <w:r w:rsidR="00A756B7">
        <w:t xml:space="preserve"> (VIEIRA, </w:t>
      </w:r>
      <w:r w:rsidR="00B57CE3">
        <w:t>2024).</w:t>
      </w:r>
    </w:p>
    <w:p w14:paraId="6792468A" w14:textId="79310A66" w:rsidR="00870D24" w:rsidRDefault="00FE4D4E" w:rsidP="003256AF">
      <w:pPr>
        <w:spacing w:line="360" w:lineRule="auto"/>
        <w:ind w:firstLine="709"/>
      </w:pPr>
      <w:r>
        <w:t xml:space="preserve">Vera Karam </w:t>
      </w:r>
      <w:r w:rsidR="00B633A8">
        <w:t xml:space="preserve">de </w:t>
      </w:r>
      <w:r>
        <w:t xml:space="preserve">Chueiri, </w:t>
      </w:r>
      <w:r w:rsidR="007866BE">
        <w:t xml:space="preserve">Miguel </w:t>
      </w:r>
      <w:proofErr w:type="spellStart"/>
      <w:r w:rsidR="007866BE">
        <w:t>Gualano</w:t>
      </w:r>
      <w:proofErr w:type="spellEnd"/>
      <w:r w:rsidR="007866BE">
        <w:t xml:space="preserve"> de</w:t>
      </w:r>
      <w:r w:rsidR="00224D19">
        <w:t xml:space="preserve"> Godoy e Gabriel Martins </w:t>
      </w:r>
      <w:proofErr w:type="spellStart"/>
      <w:r w:rsidR="00224D19">
        <w:t>Fronçatti</w:t>
      </w:r>
      <w:proofErr w:type="spellEnd"/>
      <w:r w:rsidR="00224D19">
        <w:t xml:space="preserve">, por sua vez, reconstroem </w:t>
      </w:r>
      <w:r w:rsidR="00831F40">
        <w:t xml:space="preserve">esse arranjo </w:t>
      </w:r>
      <w:r w:rsidR="00BC55D6">
        <w:t xml:space="preserve">jurídico-institucional sob a perspectiva da teoria política e da teoria constitucional para, ao final, concluírem que a “Constituição Negocial” </w:t>
      </w:r>
      <w:r w:rsidR="00E37119">
        <w:t xml:space="preserve">representaria a </w:t>
      </w:r>
      <w:r w:rsidR="00E64E00">
        <w:t xml:space="preserve">prevalência de categorias de ordem “negocial e econômica” </w:t>
      </w:r>
      <w:r w:rsidR="00C27DC7">
        <w:t>em detrimento da “supremacia da Constituição”, de modo que o STF “mais interdita do que promove a (supremacia da) Constituição” (</w:t>
      </w:r>
      <w:r w:rsidR="00B633A8">
        <w:t xml:space="preserve">KARAM DE </w:t>
      </w:r>
      <w:r w:rsidR="00C27DC7" w:rsidRPr="00B57CE3">
        <w:t xml:space="preserve">CHUEIRI, GODOY e FONÇATTI, </w:t>
      </w:r>
      <w:r w:rsidR="00B57CE3" w:rsidRPr="00B57CE3">
        <w:t xml:space="preserve">2025, </w:t>
      </w:r>
      <w:r w:rsidR="00C27DC7" w:rsidRPr="00B57CE3">
        <w:t>p. 21</w:t>
      </w:r>
      <w:r w:rsidR="00C27DC7">
        <w:t>).</w:t>
      </w:r>
    </w:p>
    <w:p w14:paraId="2C0F5BC9" w14:textId="5014C6DE" w:rsidR="00DA4BBA" w:rsidRDefault="00E63243" w:rsidP="003D466C">
      <w:pPr>
        <w:spacing w:line="360" w:lineRule="auto"/>
        <w:ind w:firstLine="709"/>
      </w:pPr>
      <w:r>
        <w:t>Em tom bastante mais ácido</w:t>
      </w:r>
      <w:r w:rsidR="003D466C">
        <w:t xml:space="preserve">, </w:t>
      </w:r>
      <w:r w:rsidR="003D466C" w:rsidRPr="00E63243">
        <w:t>Conrado H</w:t>
      </w:r>
      <w:r w:rsidRPr="00E63243">
        <w:t>ü</w:t>
      </w:r>
      <w:r w:rsidR="003D466C" w:rsidRPr="00E63243">
        <w:t xml:space="preserve">bner Mendes </w:t>
      </w:r>
      <w:r w:rsidR="001C2352">
        <w:t xml:space="preserve">afirma que </w:t>
      </w:r>
      <w:r w:rsidR="0028479D">
        <w:t xml:space="preserve">a consensualidade não representaria um aperfeiçoamento da função do Tribunal, mas sim uma renúncia à jurisdição constitucional, </w:t>
      </w:r>
      <w:r w:rsidR="00915310">
        <w:t>indicando que “q</w:t>
      </w:r>
      <w:r>
        <w:t>uando um tribunal constitucional não aguenta o peso de aplicar a Constituição em favor do mais fraco</w:t>
      </w:r>
      <w:r w:rsidR="00915310">
        <w:t>”</w:t>
      </w:r>
      <w:r>
        <w:t>,</w:t>
      </w:r>
      <w:r w:rsidR="00915310">
        <w:t xml:space="preserve"> ele “</w:t>
      </w:r>
      <w:r>
        <w:t xml:space="preserve">deixa de ser participante do constitucionalismo e entra para o clube privê do </w:t>
      </w:r>
      <w:r w:rsidR="00915310">
        <w:t>‘</w:t>
      </w:r>
      <w:proofErr w:type="spellStart"/>
      <w:r>
        <w:t>constitunegocialismo</w:t>
      </w:r>
      <w:proofErr w:type="spellEnd"/>
      <w:r w:rsidR="00915310">
        <w:t>’”</w:t>
      </w:r>
      <w:r>
        <w:t xml:space="preserve">. </w:t>
      </w:r>
      <w:r w:rsidR="0015315F">
        <w:t xml:space="preserve">Com isso, </w:t>
      </w:r>
      <w:r w:rsidR="00475BFB">
        <w:t>“s</w:t>
      </w:r>
      <w:r w:rsidR="00DA4BBA" w:rsidRPr="00DA4BBA">
        <w:t xml:space="preserve">e a </w:t>
      </w:r>
      <w:r w:rsidR="00DA4BBA" w:rsidRPr="00DA4BBA">
        <w:lastRenderedPageBreak/>
        <w:t>definição do conteúdo de um direito fundamental vai para a mesa de conciliação, já não é mais direito fundamental, mas outra coisa</w:t>
      </w:r>
      <w:r w:rsidR="00CD2FAF">
        <w:t xml:space="preserve">”, verdadeiro “título de </w:t>
      </w:r>
      <w:r w:rsidR="00475BFB">
        <w:t>escambo”</w:t>
      </w:r>
      <w:r w:rsidR="0015315F">
        <w:t xml:space="preserve"> (</w:t>
      </w:r>
      <w:r w:rsidR="00CF3DA5">
        <w:t>MENDES, 2024</w:t>
      </w:r>
      <w:r w:rsidR="0015315F">
        <w:t>).</w:t>
      </w:r>
    </w:p>
    <w:p w14:paraId="7ADF1ED0" w14:textId="6B3FF86F" w:rsidR="003D466C" w:rsidRDefault="003D466C" w:rsidP="003D466C">
      <w:pPr>
        <w:spacing w:line="360" w:lineRule="auto"/>
        <w:ind w:firstLine="709"/>
      </w:pPr>
      <w:r>
        <w:t xml:space="preserve">Ainda sob uma perspectiva crítica quanto às consequências políticas da adoção desse arranjo institucional, Maria Hermínia Tavares afirma que </w:t>
      </w:r>
      <w:r w:rsidR="00D20330">
        <w:t>tal</w:t>
      </w:r>
      <w:r w:rsidR="00A22233">
        <w:t xml:space="preserve"> forma de atuação ultrapassaria “as fronteiras clássicas do Judiciário”, deixando “menos precisos os limites entre o que é ditado pela técnica jurídica e o que resulta das preferências políticas dos togados”</w:t>
      </w:r>
      <w:r w:rsidR="002970A0">
        <w:t xml:space="preserve">, além de representar um problema de </w:t>
      </w:r>
      <w:proofErr w:type="spellStart"/>
      <w:r w:rsidR="002970A0" w:rsidRPr="00E04AC2">
        <w:rPr>
          <w:i/>
          <w:iCs/>
        </w:rPr>
        <w:t>accountability</w:t>
      </w:r>
      <w:proofErr w:type="spellEnd"/>
      <w:r w:rsidR="00183C41">
        <w:t>, dada a falta de “mecanismos de monitoramento”</w:t>
      </w:r>
      <w:r w:rsidR="00A83F4C">
        <w:t xml:space="preserve"> (</w:t>
      </w:r>
      <w:r w:rsidR="00340BAC">
        <w:t>TAVARES, 2025).</w:t>
      </w:r>
    </w:p>
    <w:p w14:paraId="6380A6E0" w14:textId="0F8ABB59" w:rsidR="00870D24" w:rsidRDefault="00870D24" w:rsidP="003D466C">
      <w:pPr>
        <w:spacing w:line="360" w:lineRule="auto"/>
        <w:ind w:firstLine="709"/>
      </w:pPr>
      <w:r>
        <w:t>Considerando a atualidade do tema</w:t>
      </w:r>
      <w:r w:rsidR="00291A6B">
        <w:t xml:space="preserve"> e a necessidade de avaliação crítica dos contornos que a consensualidade vem ganhando </w:t>
      </w:r>
      <w:r w:rsidR="00F92EC9">
        <w:t>nos processos de</w:t>
      </w:r>
      <w:r w:rsidR="00291A6B">
        <w:t xml:space="preserve"> controle concentrado de constitucionalidade</w:t>
      </w:r>
      <w:r w:rsidR="0000417C">
        <w:t xml:space="preserve">, </w:t>
      </w:r>
      <w:r w:rsidR="00362BB1">
        <w:t xml:space="preserve">o presente artigo tem o objetivo de </w:t>
      </w:r>
      <w:r w:rsidR="00B81DCA">
        <w:t xml:space="preserve">apresentar um mapeamento </w:t>
      </w:r>
      <w:r w:rsidR="00291A6B">
        <w:t xml:space="preserve">desse arranjo </w:t>
      </w:r>
      <w:r w:rsidR="00B81DCA">
        <w:t>jurídico-institucional</w:t>
      </w:r>
      <w:r w:rsidR="00B16B13">
        <w:t>,</w:t>
      </w:r>
      <w:r w:rsidR="00864B23">
        <w:rPr>
          <w:rStyle w:val="Refdenotaderodap"/>
        </w:rPr>
        <w:footnoteReference w:id="5"/>
      </w:r>
      <w:r w:rsidR="00B16B13">
        <w:t xml:space="preserve"> </w:t>
      </w:r>
      <w:r w:rsidR="001C1DBE">
        <w:t>através do levantamento histórico-evolutivo dos principais atos normativos e decisões do STF a respeito do tema,</w:t>
      </w:r>
      <w:r w:rsidR="002D3E70">
        <w:t xml:space="preserve"> da</w:t>
      </w:r>
      <w:r w:rsidR="001C1DBE">
        <w:t xml:space="preserve"> </w:t>
      </w:r>
      <w:r w:rsidR="004D4743">
        <w:t xml:space="preserve">avaliação das motivações apresentadas pelos principais agentes políticos envolvidos na aplicação desses mecanismos </w:t>
      </w:r>
      <w:r w:rsidR="002D3E70">
        <w:t xml:space="preserve">e da apresentação de uma possível explicação para a gradativa consolidação desse fenômeno enquanto </w:t>
      </w:r>
      <w:r w:rsidR="00856A64">
        <w:t xml:space="preserve">arranjo jurídico-institucional desenvolvido em resposta à judicialização da política e </w:t>
      </w:r>
      <w:r w:rsidR="00C3105F">
        <w:t>às críticas ao aumento do protagonismo do STF do debate público.</w:t>
      </w:r>
    </w:p>
    <w:p w14:paraId="5124CD6C" w14:textId="63D08EB3" w:rsidR="004347ED" w:rsidRDefault="00864B23" w:rsidP="004347ED">
      <w:pPr>
        <w:spacing w:line="360" w:lineRule="auto"/>
        <w:ind w:firstLine="709"/>
      </w:pPr>
      <w:r>
        <w:t xml:space="preserve">Na primeira </w:t>
      </w:r>
      <w:r w:rsidR="009C3F35">
        <w:t xml:space="preserve">parte </w:t>
      </w:r>
      <w:r w:rsidR="00AF6DC5">
        <w:t xml:space="preserve">do texto, </w:t>
      </w:r>
      <w:r w:rsidR="004D2D96">
        <w:t xml:space="preserve">são apresentados os principais atos normativos editados pelo CNJ e pelo próprio STF que versam sobre a inserção de alternativas consensuais no âmbito do controle concentrado de constitucionalidade, </w:t>
      </w:r>
      <w:r w:rsidR="00B87A0B">
        <w:t xml:space="preserve">desde </w:t>
      </w:r>
      <w:r w:rsidR="00B87A0B" w:rsidRPr="00340BAC">
        <w:t xml:space="preserve">2010, com a edição da Resolução CNJ </w:t>
      </w:r>
      <w:r w:rsidR="00340BAC" w:rsidRPr="00340BAC">
        <w:t>nº 125</w:t>
      </w:r>
      <w:r w:rsidR="00B87A0B" w:rsidRPr="00340BAC">
        <w:t>/2010,</w:t>
      </w:r>
      <w:r w:rsidR="00340BAC">
        <w:t xml:space="preserve"> até 2023, com a edição do Ato Regulamentar STF nº 27/2023. </w:t>
      </w:r>
      <w:r w:rsidR="00333815">
        <w:t xml:space="preserve">Ainda nesse capítulo, </w:t>
      </w:r>
      <w:r w:rsidR="008E7836">
        <w:t>(i) </w:t>
      </w:r>
      <w:r w:rsidR="00501D74">
        <w:t>mapeiam-se</w:t>
      </w:r>
      <w:r w:rsidR="00333815">
        <w:t xml:space="preserve"> as motivações </w:t>
      </w:r>
      <w:r w:rsidR="00501D74">
        <w:t xml:space="preserve">declaradas pelos </w:t>
      </w:r>
      <w:r w:rsidR="00333815">
        <w:t xml:space="preserve">agentes políticos </w:t>
      </w:r>
      <w:r w:rsidR="002C3301">
        <w:t>mais relevantes para a edição e aplicação dos referidos atos normativos, com destaque para pronunciamentos oficiais e doutrinários dos próprios Ministros</w:t>
      </w:r>
      <w:r w:rsidR="008E7836">
        <w:t xml:space="preserve"> do STF</w:t>
      </w:r>
      <w:r w:rsidR="00501D74">
        <w:t xml:space="preserve"> acerca do tema</w:t>
      </w:r>
      <w:r w:rsidR="008E7836">
        <w:t>, e (</w:t>
      </w:r>
      <w:proofErr w:type="spellStart"/>
      <w:r w:rsidR="008E7836">
        <w:t>ii</w:t>
      </w:r>
      <w:proofErr w:type="spellEnd"/>
      <w:r w:rsidR="008E7836">
        <w:t xml:space="preserve">) </w:t>
      </w:r>
      <w:r w:rsidR="00155224">
        <w:t xml:space="preserve">apresenta-se um panorama geral dos casos mais recentes de remissão de processos de controle concentrado de constitucionalidade para </w:t>
      </w:r>
      <w:r w:rsidR="009C3F35">
        <w:t>audiências de conciliação e mediação</w:t>
      </w:r>
      <w:r w:rsidR="00B83827">
        <w:t>, com indicação dos principais temas e atores envolvidos</w:t>
      </w:r>
      <w:r w:rsidR="009C3F35">
        <w:t>.</w:t>
      </w:r>
      <w:r w:rsidR="00B76205">
        <w:t xml:space="preserve"> </w:t>
      </w:r>
      <w:r w:rsidR="009C3F35">
        <w:t xml:space="preserve">Na segunda parte, procura-se </w:t>
      </w:r>
      <w:r w:rsidR="002F11A4">
        <w:t xml:space="preserve">avaliar </w:t>
      </w:r>
      <w:r w:rsidR="009C3F35">
        <w:t>criticamente</w:t>
      </w:r>
      <w:r w:rsidR="002F11A4">
        <w:t xml:space="preserve"> as causas que levaram ao processo de institucionalização desses mecanismos consensuais no STF</w:t>
      </w:r>
      <w:r w:rsidR="00BF7C93">
        <w:t>.</w:t>
      </w:r>
    </w:p>
    <w:p w14:paraId="2A18FDC1" w14:textId="77777777" w:rsidR="004347ED" w:rsidRPr="004347ED" w:rsidRDefault="004347ED" w:rsidP="004347ED">
      <w:pPr>
        <w:spacing w:line="360" w:lineRule="auto"/>
        <w:ind w:firstLine="709"/>
      </w:pPr>
    </w:p>
    <w:p w14:paraId="3007D906" w14:textId="510A2937" w:rsidR="0008173E" w:rsidRPr="0008173E" w:rsidRDefault="004347ED" w:rsidP="009009D2">
      <w:pPr>
        <w:pStyle w:val="Ttulo1"/>
        <w:spacing w:after="240" w:line="360" w:lineRule="auto"/>
        <w:rPr>
          <w:rFonts w:cs="Times New Roman"/>
          <w:bCs/>
          <w:szCs w:val="24"/>
        </w:rPr>
      </w:pPr>
      <w:r>
        <w:rPr>
          <w:rFonts w:cs="Times New Roman"/>
          <w:bCs/>
          <w:caps w:val="0"/>
          <w:szCs w:val="24"/>
        </w:rPr>
        <w:lastRenderedPageBreak/>
        <w:t xml:space="preserve">2. </w:t>
      </w:r>
      <w:r w:rsidR="00EC6202" w:rsidRPr="0008173E">
        <w:rPr>
          <w:rFonts w:cs="Times New Roman"/>
          <w:bCs/>
          <w:caps w:val="0"/>
          <w:szCs w:val="24"/>
        </w:rPr>
        <w:t xml:space="preserve">Mapeamento </w:t>
      </w:r>
      <w:r w:rsidR="009118B0">
        <w:rPr>
          <w:rFonts w:cs="Times New Roman"/>
          <w:bCs/>
          <w:caps w:val="0"/>
          <w:szCs w:val="24"/>
        </w:rPr>
        <w:t xml:space="preserve">do histórico normativo e da </w:t>
      </w:r>
      <w:r w:rsidR="00947CED">
        <w:rPr>
          <w:rFonts w:cs="Times New Roman"/>
          <w:bCs/>
          <w:caps w:val="0"/>
          <w:szCs w:val="24"/>
        </w:rPr>
        <w:t xml:space="preserve">prática de acordos </w:t>
      </w:r>
      <w:r w:rsidR="00B75735">
        <w:rPr>
          <w:rFonts w:cs="Times New Roman"/>
          <w:bCs/>
          <w:caps w:val="0"/>
          <w:szCs w:val="24"/>
        </w:rPr>
        <w:t>no controle concentrado de constitucionalidade exercido pelo STF</w:t>
      </w:r>
    </w:p>
    <w:p w14:paraId="2C598EBF" w14:textId="7B89154D" w:rsidR="005546C8" w:rsidRPr="00143082" w:rsidRDefault="005276FF" w:rsidP="00F764F3">
      <w:pPr>
        <w:spacing w:line="360" w:lineRule="auto"/>
        <w:ind w:firstLine="709"/>
        <w:rPr>
          <w:spacing w:val="-2"/>
        </w:rPr>
      </w:pPr>
      <w:r w:rsidRPr="00143082">
        <w:rPr>
          <w:spacing w:val="-2"/>
        </w:rPr>
        <w:t xml:space="preserve">A </w:t>
      </w:r>
      <w:r w:rsidR="00F764F3" w:rsidRPr="00143082">
        <w:rPr>
          <w:spacing w:val="-2"/>
        </w:rPr>
        <w:t>busca p</w:t>
      </w:r>
      <w:r w:rsidR="00356E68" w:rsidRPr="00143082">
        <w:rPr>
          <w:spacing w:val="-2"/>
        </w:rPr>
        <w:t xml:space="preserve">ela resolução consensual de </w:t>
      </w:r>
      <w:r w:rsidR="007A7149" w:rsidRPr="00143082">
        <w:rPr>
          <w:spacing w:val="-2"/>
        </w:rPr>
        <w:t>d</w:t>
      </w:r>
      <w:r w:rsidR="00373EFF" w:rsidRPr="00143082">
        <w:rPr>
          <w:spacing w:val="-2"/>
        </w:rPr>
        <w:t>i</w:t>
      </w:r>
      <w:r w:rsidR="007A7149" w:rsidRPr="00143082">
        <w:rPr>
          <w:spacing w:val="-2"/>
        </w:rPr>
        <w:t>sputas</w:t>
      </w:r>
      <w:r w:rsidR="00356E68" w:rsidRPr="00143082">
        <w:rPr>
          <w:spacing w:val="-2"/>
        </w:rPr>
        <w:t xml:space="preserve"> </w:t>
      </w:r>
      <w:r w:rsidRPr="00143082">
        <w:rPr>
          <w:spacing w:val="-2"/>
        </w:rPr>
        <w:t xml:space="preserve">certamente não é </w:t>
      </w:r>
      <w:r w:rsidR="00F764F3" w:rsidRPr="00143082">
        <w:rPr>
          <w:spacing w:val="-2"/>
        </w:rPr>
        <w:t>uma novidade no ordenamento jurídico brasileiro</w:t>
      </w:r>
      <w:r w:rsidRPr="00143082">
        <w:rPr>
          <w:spacing w:val="-2"/>
        </w:rPr>
        <w:t>,</w:t>
      </w:r>
      <w:r w:rsidR="00F764F3" w:rsidRPr="00143082">
        <w:rPr>
          <w:rStyle w:val="Refdenotaderodap"/>
          <w:spacing w:val="-2"/>
        </w:rPr>
        <w:footnoteReference w:id="6"/>
      </w:r>
      <w:r w:rsidR="00D7120F" w:rsidRPr="00143082">
        <w:rPr>
          <w:spacing w:val="-2"/>
        </w:rPr>
        <w:t xml:space="preserve"> </w:t>
      </w:r>
      <w:r w:rsidR="00A9071D" w:rsidRPr="00143082">
        <w:rPr>
          <w:spacing w:val="-2"/>
        </w:rPr>
        <w:t>mas</w:t>
      </w:r>
      <w:r w:rsidRPr="00143082">
        <w:rPr>
          <w:spacing w:val="-2"/>
        </w:rPr>
        <w:t xml:space="preserve">, </w:t>
      </w:r>
      <w:r w:rsidR="000777AB" w:rsidRPr="00143082">
        <w:rPr>
          <w:spacing w:val="-2"/>
        </w:rPr>
        <w:t>sobretudo</w:t>
      </w:r>
      <w:r w:rsidRPr="00143082">
        <w:rPr>
          <w:spacing w:val="-2"/>
        </w:rPr>
        <w:t xml:space="preserve"> na</w:t>
      </w:r>
      <w:r w:rsidR="004833C4" w:rsidRPr="00143082">
        <w:rPr>
          <w:spacing w:val="-2"/>
        </w:rPr>
        <w:t>s</w:t>
      </w:r>
      <w:r w:rsidRPr="00143082">
        <w:rPr>
          <w:spacing w:val="-2"/>
        </w:rPr>
        <w:t xml:space="preserve"> última</w:t>
      </w:r>
      <w:r w:rsidR="004833C4" w:rsidRPr="00143082">
        <w:rPr>
          <w:spacing w:val="-2"/>
        </w:rPr>
        <w:t>s</w:t>
      </w:r>
      <w:r w:rsidRPr="00143082">
        <w:rPr>
          <w:spacing w:val="-2"/>
        </w:rPr>
        <w:t xml:space="preserve"> década</w:t>
      </w:r>
      <w:r w:rsidR="004833C4" w:rsidRPr="00143082">
        <w:rPr>
          <w:spacing w:val="-2"/>
        </w:rPr>
        <w:t>s</w:t>
      </w:r>
      <w:r w:rsidRPr="00143082">
        <w:rPr>
          <w:spacing w:val="-2"/>
        </w:rPr>
        <w:t>,</w:t>
      </w:r>
      <w:r w:rsidR="00D7120F" w:rsidRPr="00143082">
        <w:rPr>
          <w:spacing w:val="-2"/>
        </w:rPr>
        <w:t xml:space="preserve"> a legislação processual</w:t>
      </w:r>
      <w:r w:rsidR="000777AB" w:rsidRPr="00143082">
        <w:rPr>
          <w:spacing w:val="-2"/>
        </w:rPr>
        <w:t xml:space="preserve"> </w:t>
      </w:r>
      <w:r w:rsidR="0039115C" w:rsidRPr="00143082">
        <w:rPr>
          <w:spacing w:val="-2"/>
        </w:rPr>
        <w:t>evoluiu</w:t>
      </w:r>
      <w:r w:rsidR="00D7120F" w:rsidRPr="00143082">
        <w:rPr>
          <w:spacing w:val="-2"/>
        </w:rPr>
        <w:t xml:space="preserve"> significativamente </w:t>
      </w:r>
      <w:r w:rsidR="00715B40" w:rsidRPr="00143082">
        <w:rPr>
          <w:spacing w:val="-2"/>
        </w:rPr>
        <w:t>nesse sentido</w:t>
      </w:r>
      <w:r w:rsidR="00E319BC" w:rsidRPr="00143082">
        <w:rPr>
          <w:spacing w:val="-2"/>
        </w:rPr>
        <w:t xml:space="preserve">, </w:t>
      </w:r>
      <w:r w:rsidR="00F053D8" w:rsidRPr="00143082">
        <w:rPr>
          <w:spacing w:val="-2"/>
        </w:rPr>
        <w:t xml:space="preserve">consolidando </w:t>
      </w:r>
      <w:r w:rsidR="007036F8" w:rsidRPr="00143082">
        <w:rPr>
          <w:spacing w:val="-2"/>
        </w:rPr>
        <w:t xml:space="preserve">a </w:t>
      </w:r>
      <w:r w:rsidR="0065161A" w:rsidRPr="00143082">
        <w:rPr>
          <w:spacing w:val="-2"/>
        </w:rPr>
        <w:t>autocomposição</w:t>
      </w:r>
      <w:r w:rsidR="0065161A" w:rsidRPr="00143082">
        <w:rPr>
          <w:rStyle w:val="Refdenotaderodap"/>
          <w:spacing w:val="-2"/>
        </w:rPr>
        <w:footnoteReference w:id="7"/>
      </w:r>
      <w:r w:rsidR="007036F8" w:rsidRPr="00143082">
        <w:rPr>
          <w:spacing w:val="-2"/>
        </w:rPr>
        <w:t xml:space="preserve"> como </w:t>
      </w:r>
      <w:r w:rsidR="007B4036" w:rsidRPr="00143082">
        <w:rPr>
          <w:spacing w:val="-2"/>
        </w:rPr>
        <w:t xml:space="preserve">um dos modos de solução de problemas jurídicos </w:t>
      </w:r>
      <w:r w:rsidR="007036F8" w:rsidRPr="00143082">
        <w:rPr>
          <w:spacing w:val="-2"/>
        </w:rPr>
        <w:t>integrantes do</w:t>
      </w:r>
      <w:r w:rsidR="007B4036" w:rsidRPr="00143082">
        <w:rPr>
          <w:spacing w:val="-2"/>
        </w:rPr>
        <w:t xml:space="preserve"> chamado </w:t>
      </w:r>
      <w:r w:rsidR="007036F8" w:rsidRPr="00143082">
        <w:rPr>
          <w:spacing w:val="-2"/>
        </w:rPr>
        <w:t>“sistema brasileiro de justiça multiportas”.</w:t>
      </w:r>
      <w:r w:rsidR="007036F8" w:rsidRPr="00143082">
        <w:rPr>
          <w:rStyle w:val="Refdenotaderodap"/>
          <w:spacing w:val="-2"/>
        </w:rPr>
        <w:footnoteReference w:id="8"/>
      </w:r>
    </w:p>
    <w:p w14:paraId="2F4F78EF" w14:textId="2C5D31CF" w:rsidR="009F0365" w:rsidRPr="00143082" w:rsidRDefault="009F0365" w:rsidP="00F764F3">
      <w:pPr>
        <w:spacing w:line="360" w:lineRule="auto"/>
        <w:ind w:firstLine="709"/>
        <w:rPr>
          <w:spacing w:val="-2"/>
        </w:rPr>
      </w:pPr>
      <w:r w:rsidRPr="00143082">
        <w:rPr>
          <w:spacing w:val="-2"/>
        </w:rPr>
        <w:t xml:space="preserve">No âmbito específico </w:t>
      </w:r>
      <w:r w:rsidR="00F95538" w:rsidRPr="00143082">
        <w:rPr>
          <w:spacing w:val="-2"/>
        </w:rPr>
        <w:t>da jurisdição constitucional,</w:t>
      </w:r>
      <w:r w:rsidR="00394AC8" w:rsidRPr="00143082">
        <w:rPr>
          <w:spacing w:val="-2"/>
        </w:rPr>
        <w:t xml:space="preserve"> entendida</w:t>
      </w:r>
      <w:r w:rsidR="00663852" w:rsidRPr="00143082">
        <w:rPr>
          <w:spacing w:val="-2"/>
        </w:rPr>
        <w:t xml:space="preserve"> mais amplamente</w:t>
      </w:r>
      <w:r w:rsidR="00394AC8" w:rsidRPr="00143082">
        <w:rPr>
          <w:spacing w:val="-2"/>
        </w:rPr>
        <w:t xml:space="preserve"> como </w:t>
      </w:r>
      <w:r w:rsidR="00410F5E" w:rsidRPr="00143082">
        <w:rPr>
          <w:spacing w:val="-2"/>
        </w:rPr>
        <w:t>atividade jurisdicional de controle da constitucionalidade</w:t>
      </w:r>
      <w:r w:rsidR="00663852" w:rsidRPr="00143082">
        <w:rPr>
          <w:spacing w:val="-2"/>
        </w:rPr>
        <w:t>,</w:t>
      </w:r>
      <w:r w:rsidR="00663852" w:rsidRPr="00143082">
        <w:rPr>
          <w:rStyle w:val="Refdenotaderodap"/>
          <w:spacing w:val="-2"/>
        </w:rPr>
        <w:footnoteReference w:id="9"/>
      </w:r>
      <w:r w:rsidR="00663852" w:rsidRPr="00143082">
        <w:rPr>
          <w:spacing w:val="-2"/>
        </w:rPr>
        <w:t xml:space="preserve"> </w:t>
      </w:r>
      <w:r w:rsidR="004B0831" w:rsidRPr="00143082">
        <w:rPr>
          <w:spacing w:val="-2"/>
        </w:rPr>
        <w:t xml:space="preserve">a doutrina e a jurisprudência </w:t>
      </w:r>
      <w:r w:rsidR="00336B3B" w:rsidRPr="00143082">
        <w:rPr>
          <w:spacing w:val="-2"/>
        </w:rPr>
        <w:t xml:space="preserve">passaram a tratar do tema apenas mais recentemente, </w:t>
      </w:r>
      <w:r w:rsidR="002337C6" w:rsidRPr="00143082">
        <w:rPr>
          <w:spacing w:val="-2"/>
        </w:rPr>
        <w:t>fazendo uma releitura d</w:t>
      </w:r>
      <w:r w:rsidR="00E835A1" w:rsidRPr="00143082">
        <w:rPr>
          <w:spacing w:val="-2"/>
        </w:rPr>
        <w:t>a “justiça constitucional” à luz do “sistema brasileiro de justiça multiportas”</w:t>
      </w:r>
      <w:r w:rsidR="000A6C9D" w:rsidRPr="00143082">
        <w:rPr>
          <w:spacing w:val="-2"/>
        </w:rPr>
        <w:t xml:space="preserve"> e passando a se referir, até mesmo, a uma “justiça constitucional multiportas”, que abrangeria também “</w:t>
      </w:r>
      <w:r w:rsidR="005629A6" w:rsidRPr="00143082">
        <w:rPr>
          <w:spacing w:val="-2"/>
        </w:rPr>
        <w:t xml:space="preserve">a autocomposição e o diálogo e a deferência em relação a outros entes dotados de mais elevada capacidade institucional para a solução </w:t>
      </w:r>
      <w:r w:rsidR="00DF55FA" w:rsidRPr="00143082">
        <w:rPr>
          <w:spacing w:val="-2"/>
        </w:rPr>
        <w:t>do problema jurídico de natureza constitucional”</w:t>
      </w:r>
      <w:r w:rsidR="004B2D5F" w:rsidRPr="00143082">
        <w:rPr>
          <w:spacing w:val="-2"/>
        </w:rPr>
        <w:t xml:space="preserve"> (DIDIER e FERNANDEZ, 2025, p. 689-690).</w:t>
      </w:r>
    </w:p>
    <w:p w14:paraId="72EDFAFA" w14:textId="532CA0A9" w:rsidR="00385CEB" w:rsidRPr="00143082" w:rsidRDefault="00CC4EEE" w:rsidP="00F764F3">
      <w:pPr>
        <w:spacing w:line="360" w:lineRule="auto"/>
        <w:ind w:firstLine="709"/>
        <w:rPr>
          <w:spacing w:val="-2"/>
        </w:rPr>
      </w:pPr>
      <w:r w:rsidRPr="00143082">
        <w:rPr>
          <w:spacing w:val="-2"/>
        </w:rPr>
        <w:lastRenderedPageBreak/>
        <w:t>O</w:t>
      </w:r>
      <w:r w:rsidR="00385CEB" w:rsidRPr="00143082">
        <w:rPr>
          <w:spacing w:val="-2"/>
        </w:rPr>
        <w:t xml:space="preserve"> Manual do Núcleo de Solução Consensual de Conflitos </w:t>
      </w:r>
      <w:r w:rsidR="007A7149" w:rsidRPr="00143082">
        <w:rPr>
          <w:spacing w:val="-2"/>
        </w:rPr>
        <w:t xml:space="preserve">do STF </w:t>
      </w:r>
      <w:r w:rsidR="00385CEB" w:rsidRPr="00143082">
        <w:rPr>
          <w:spacing w:val="-2"/>
        </w:rPr>
        <w:t>(NUSOL</w:t>
      </w:r>
      <w:r w:rsidR="007A7149" w:rsidRPr="00143082">
        <w:rPr>
          <w:spacing w:val="-2"/>
        </w:rPr>
        <w:t>/STF</w:t>
      </w:r>
      <w:r w:rsidR="00385CEB" w:rsidRPr="00143082">
        <w:rPr>
          <w:spacing w:val="-2"/>
        </w:rPr>
        <w:t>)</w:t>
      </w:r>
      <w:r w:rsidR="00A9071D" w:rsidRPr="00143082">
        <w:rPr>
          <w:spacing w:val="-2"/>
        </w:rPr>
        <w:t>, por exemplo,</w:t>
      </w:r>
      <w:r w:rsidR="00385CEB" w:rsidRPr="00143082">
        <w:rPr>
          <w:spacing w:val="-2"/>
        </w:rPr>
        <w:t xml:space="preserve"> </w:t>
      </w:r>
      <w:r w:rsidR="00D53F9D" w:rsidRPr="00143082">
        <w:rPr>
          <w:spacing w:val="-2"/>
        </w:rPr>
        <w:t xml:space="preserve">indica que </w:t>
      </w:r>
      <w:r w:rsidR="00385CEB" w:rsidRPr="00143082">
        <w:rPr>
          <w:spacing w:val="-2"/>
        </w:rPr>
        <w:t>o fundamento constitucional para a inserção da consensualidade na legislação processual decorre</w:t>
      </w:r>
      <w:r w:rsidR="00B7427C" w:rsidRPr="00143082">
        <w:rPr>
          <w:spacing w:val="-2"/>
        </w:rPr>
        <w:t>ria</w:t>
      </w:r>
      <w:r w:rsidR="00385CEB" w:rsidRPr="00143082">
        <w:rPr>
          <w:spacing w:val="-2"/>
        </w:rPr>
        <w:t xml:space="preserve"> de uma releitura da garantia constitucional do acesso à justiça (art. 5º, XXXV, Constituição Federal), que, sob a perspectiva do Poder Judiciário, começou a ser modificada a partir da </w:t>
      </w:r>
      <w:r w:rsidR="00B7427C" w:rsidRPr="00143082">
        <w:rPr>
          <w:spacing w:val="-2"/>
        </w:rPr>
        <w:t>“</w:t>
      </w:r>
      <w:r w:rsidR="00385CEB" w:rsidRPr="00143082">
        <w:rPr>
          <w:spacing w:val="-2"/>
        </w:rPr>
        <w:t>Política Nacional de Tratamento Adequado de Conflitos de Interesses</w:t>
      </w:r>
      <w:r w:rsidR="00B7427C" w:rsidRPr="00143082">
        <w:rPr>
          <w:spacing w:val="-2"/>
        </w:rPr>
        <w:t>”</w:t>
      </w:r>
      <w:r w:rsidR="00385CEB" w:rsidRPr="00143082">
        <w:rPr>
          <w:spacing w:val="-2"/>
        </w:rPr>
        <w:t>, criada pelo CNJ por meio da Resolução nº 125, de 29 de novembro de 2010 (STF</w:t>
      </w:r>
      <w:r w:rsidR="009E673B" w:rsidRPr="00143082">
        <w:rPr>
          <w:spacing w:val="-2"/>
        </w:rPr>
        <w:t>,</w:t>
      </w:r>
      <w:r w:rsidR="00385CEB" w:rsidRPr="00143082">
        <w:rPr>
          <w:spacing w:val="-2"/>
        </w:rPr>
        <w:t xml:space="preserve"> 2025, p. 15).</w:t>
      </w:r>
    </w:p>
    <w:p w14:paraId="54C66C30" w14:textId="3A5BA08C" w:rsidR="00C85261" w:rsidRPr="00143082" w:rsidRDefault="00AC0286" w:rsidP="00F764F3">
      <w:pPr>
        <w:spacing w:line="360" w:lineRule="auto"/>
        <w:ind w:firstLine="709"/>
        <w:rPr>
          <w:spacing w:val="-2"/>
        </w:rPr>
      </w:pPr>
      <w:r w:rsidRPr="00143082">
        <w:rPr>
          <w:spacing w:val="-2"/>
        </w:rPr>
        <w:t>De acordo com as justificativas apresentadas à época</w:t>
      </w:r>
      <w:r w:rsidR="00D53F9D" w:rsidRPr="00143082">
        <w:rPr>
          <w:spacing w:val="-2"/>
        </w:rPr>
        <w:t xml:space="preserve"> </w:t>
      </w:r>
      <w:r w:rsidR="00167D2D" w:rsidRPr="00143082">
        <w:rPr>
          <w:spacing w:val="-2"/>
        </w:rPr>
        <w:t>da edição da Resolução CNJ nº 125/2010</w:t>
      </w:r>
      <w:r w:rsidRPr="00143082">
        <w:rPr>
          <w:spacing w:val="-2"/>
        </w:rPr>
        <w:t xml:space="preserve">, </w:t>
      </w:r>
      <w:r w:rsidR="00E95A68" w:rsidRPr="00143082">
        <w:rPr>
          <w:spacing w:val="-2"/>
        </w:rPr>
        <w:t>“o direito de acesso à Justiça, previsto no art. 5º, XXXV, da Constituição Federal”</w:t>
      </w:r>
      <w:r w:rsidR="00382A2A" w:rsidRPr="00143082">
        <w:rPr>
          <w:spacing w:val="-2"/>
        </w:rPr>
        <w:t xml:space="preserve"> implicaria não apenas a “vertente formal perante os órgãos judiciários”, mas também o “acesso à ordem jurídica justa”</w:t>
      </w:r>
      <w:r w:rsidR="009E673B" w:rsidRPr="00143082">
        <w:rPr>
          <w:spacing w:val="-2"/>
        </w:rPr>
        <w:t xml:space="preserve"> (CNJ, 2010).</w:t>
      </w:r>
    </w:p>
    <w:p w14:paraId="1A87447D" w14:textId="19BB1A47" w:rsidR="00302712" w:rsidRPr="00143082" w:rsidRDefault="005807E7" w:rsidP="00F764F3">
      <w:pPr>
        <w:spacing w:line="360" w:lineRule="auto"/>
        <w:ind w:firstLine="709"/>
        <w:rPr>
          <w:spacing w:val="-2"/>
        </w:rPr>
      </w:pPr>
      <w:r w:rsidRPr="00143082">
        <w:rPr>
          <w:spacing w:val="-2"/>
        </w:rPr>
        <w:t>Assim, caberia ao Poder Judiciário “estabelecer política pública de tratamento adequado dos problemas jurídicos e dos conflitos de interesses, que ocorrem em larga e crescente escala na sociedade”</w:t>
      </w:r>
      <w:r w:rsidR="00B045B3" w:rsidRPr="00143082">
        <w:rPr>
          <w:spacing w:val="-2"/>
        </w:rPr>
        <w:t>, compreendendo-se os mecanismos consensuais de solução de conflitos (conciliação e a mediação) como “instrumentos efetivos de pacificação social”</w:t>
      </w:r>
      <w:r w:rsidR="001B240D" w:rsidRPr="00143082">
        <w:rPr>
          <w:spacing w:val="-2"/>
        </w:rPr>
        <w:t xml:space="preserve"> e alternativas para </w:t>
      </w:r>
      <w:r w:rsidR="00BA7AC3" w:rsidRPr="00143082">
        <w:rPr>
          <w:spacing w:val="-2"/>
        </w:rPr>
        <w:t xml:space="preserve">assegurar </w:t>
      </w:r>
      <w:r w:rsidR="00916B34" w:rsidRPr="00143082">
        <w:rPr>
          <w:spacing w:val="-2"/>
        </w:rPr>
        <w:t>a “eficiência operacional”</w:t>
      </w:r>
      <w:r w:rsidR="00C85261" w:rsidRPr="00143082">
        <w:rPr>
          <w:rStyle w:val="Refdenotaderodap"/>
          <w:spacing w:val="-2"/>
        </w:rPr>
        <w:footnoteReference w:id="10"/>
      </w:r>
      <w:r w:rsidR="00916B34" w:rsidRPr="00143082">
        <w:rPr>
          <w:spacing w:val="-2"/>
        </w:rPr>
        <w:t xml:space="preserve"> e </w:t>
      </w:r>
      <w:r w:rsidR="001B240D" w:rsidRPr="00143082">
        <w:rPr>
          <w:spacing w:val="-2"/>
        </w:rPr>
        <w:t>reduzir a “excessiva judicialização dos conflitos de interesses, a quantidade de recursos e de execução de sentenças”</w:t>
      </w:r>
      <w:r w:rsidR="00916B34" w:rsidRPr="00143082">
        <w:rPr>
          <w:spacing w:val="-2"/>
        </w:rPr>
        <w:t xml:space="preserve"> (CNJ, 2010).</w:t>
      </w:r>
    </w:p>
    <w:p w14:paraId="4D37BB54" w14:textId="00BC0979" w:rsidR="00D55200" w:rsidRPr="00143082" w:rsidRDefault="0046006F" w:rsidP="00BC36EC">
      <w:pPr>
        <w:spacing w:line="360" w:lineRule="auto"/>
        <w:ind w:firstLine="709"/>
        <w:rPr>
          <w:spacing w:val="-2"/>
        </w:rPr>
      </w:pPr>
      <w:r w:rsidRPr="00143082">
        <w:rPr>
          <w:spacing w:val="-2"/>
        </w:rPr>
        <w:t>Tratava-se de política absolutamente alinhada com os</w:t>
      </w:r>
      <w:r w:rsidR="00AC0286" w:rsidRPr="00143082">
        <w:rPr>
          <w:spacing w:val="-2"/>
        </w:rPr>
        <w:t xml:space="preserve"> </w:t>
      </w:r>
      <w:r w:rsidR="002B7901" w:rsidRPr="00143082">
        <w:rPr>
          <w:spacing w:val="-2"/>
        </w:rPr>
        <w:t>pronunciamentos</w:t>
      </w:r>
      <w:r w:rsidRPr="00143082">
        <w:rPr>
          <w:spacing w:val="-2"/>
        </w:rPr>
        <w:t xml:space="preserve"> públicos</w:t>
      </w:r>
      <w:r w:rsidR="00AC0286" w:rsidRPr="00143082">
        <w:rPr>
          <w:spacing w:val="-2"/>
        </w:rPr>
        <w:t xml:space="preserve"> </w:t>
      </w:r>
      <w:r w:rsidR="002B7901" w:rsidRPr="00143082">
        <w:rPr>
          <w:spacing w:val="-2"/>
        </w:rPr>
        <w:t>do</w:t>
      </w:r>
      <w:r w:rsidR="00AC0286" w:rsidRPr="00143082">
        <w:rPr>
          <w:spacing w:val="-2"/>
        </w:rPr>
        <w:t xml:space="preserve"> então Presidente do CNJ</w:t>
      </w:r>
      <w:r w:rsidR="00A62867" w:rsidRPr="00143082">
        <w:rPr>
          <w:spacing w:val="-2"/>
        </w:rPr>
        <w:t xml:space="preserve"> e do STF</w:t>
      </w:r>
      <w:r w:rsidR="00AC0286" w:rsidRPr="00143082">
        <w:rPr>
          <w:spacing w:val="-2"/>
        </w:rPr>
        <w:t xml:space="preserve">, </w:t>
      </w:r>
      <w:r w:rsidR="002B7901" w:rsidRPr="00143082">
        <w:rPr>
          <w:spacing w:val="-2"/>
        </w:rPr>
        <w:t>Min.</w:t>
      </w:r>
      <w:r w:rsidR="00AC0286" w:rsidRPr="00143082">
        <w:rPr>
          <w:spacing w:val="-2"/>
        </w:rPr>
        <w:t xml:space="preserve"> Cezar Peluso, para quem </w:t>
      </w:r>
      <w:r w:rsidR="0024773C" w:rsidRPr="00143082">
        <w:rPr>
          <w:spacing w:val="-2"/>
        </w:rPr>
        <w:t>o “número explosivo de novos processos e ações judiciais”</w:t>
      </w:r>
      <w:r w:rsidR="00C84A85" w:rsidRPr="00143082">
        <w:rPr>
          <w:spacing w:val="-2"/>
        </w:rPr>
        <w:t xml:space="preserve"> ameaçaria o “eficaz funcionamento da Justiça” e poderia levar, “no longo prazo, </w:t>
      </w:r>
      <w:r w:rsidR="0001350D" w:rsidRPr="00143082">
        <w:rPr>
          <w:spacing w:val="-2"/>
        </w:rPr>
        <w:t>a perigosa desconfiança em relação ao Poder Judiciário e, consequentemente, ao Estado de Direito”.</w:t>
      </w:r>
      <w:r w:rsidR="0057786B" w:rsidRPr="00143082">
        <w:rPr>
          <w:spacing w:val="-2"/>
        </w:rPr>
        <w:t xml:space="preserve"> </w:t>
      </w:r>
      <w:r w:rsidR="00C052BE" w:rsidRPr="00143082">
        <w:rPr>
          <w:spacing w:val="-2"/>
        </w:rPr>
        <w:t xml:space="preserve">Seria imperioso, portanto, que o Judiciário colocasse à disposição da sociedade </w:t>
      </w:r>
      <w:r w:rsidR="00D55200" w:rsidRPr="00143082">
        <w:rPr>
          <w:spacing w:val="-2"/>
        </w:rPr>
        <w:t>“outros modos de resolução de disputas além do meio tradicional de produção de sentenças”, reputado como “lento e custoso dos pontos de vista material e psicológico, e, quase sempre, de resultados nulos no plano das lides sociológicas subjacentes às lides processuais”</w:t>
      </w:r>
      <w:r w:rsidR="00D503C8" w:rsidRPr="00143082">
        <w:rPr>
          <w:spacing w:val="-2"/>
        </w:rPr>
        <w:t xml:space="preserve"> </w:t>
      </w:r>
      <w:r w:rsidR="00B43322" w:rsidRPr="00143082">
        <w:rPr>
          <w:spacing w:val="-2"/>
        </w:rPr>
        <w:t>(</w:t>
      </w:r>
      <w:r w:rsidR="00D503C8" w:rsidRPr="00143082">
        <w:rPr>
          <w:spacing w:val="-2"/>
        </w:rPr>
        <w:t>MIGALHAS, 2011).</w:t>
      </w:r>
    </w:p>
    <w:p w14:paraId="206D339E" w14:textId="4A1FF01D" w:rsidR="00BC36EC" w:rsidRPr="00143082" w:rsidRDefault="00D55200" w:rsidP="00BC36EC">
      <w:pPr>
        <w:spacing w:line="360" w:lineRule="auto"/>
        <w:ind w:firstLine="709"/>
        <w:rPr>
          <w:spacing w:val="-2"/>
        </w:rPr>
      </w:pPr>
      <w:r w:rsidRPr="00143082">
        <w:rPr>
          <w:spacing w:val="-2"/>
        </w:rPr>
        <w:t xml:space="preserve">A </w:t>
      </w:r>
      <w:r w:rsidR="0057786B" w:rsidRPr="00143082">
        <w:rPr>
          <w:spacing w:val="-2"/>
        </w:rPr>
        <w:t xml:space="preserve">“Política Nacional de Conciliação”, assim, cumpriria </w:t>
      </w:r>
      <w:r w:rsidR="00BC36EC" w:rsidRPr="00143082">
        <w:rPr>
          <w:spacing w:val="-2"/>
        </w:rPr>
        <w:t>“</w:t>
      </w:r>
      <w:r w:rsidR="0057786B" w:rsidRPr="00143082">
        <w:rPr>
          <w:spacing w:val="-2"/>
        </w:rPr>
        <w:t>dois objetivos básicos”: (i)</w:t>
      </w:r>
      <w:r w:rsidR="00A62867" w:rsidRPr="00143082">
        <w:rPr>
          <w:spacing w:val="-2"/>
        </w:rPr>
        <w:t> </w:t>
      </w:r>
      <w:r w:rsidR="002A0A88" w:rsidRPr="00143082">
        <w:rPr>
          <w:spacing w:val="-2"/>
        </w:rPr>
        <w:t>firmar</w:t>
      </w:r>
      <w:r w:rsidR="009B0D43" w:rsidRPr="00143082">
        <w:rPr>
          <w:spacing w:val="-2"/>
        </w:rPr>
        <w:t xml:space="preserve">, entre os </w:t>
      </w:r>
      <w:r w:rsidR="002A0A88" w:rsidRPr="00143082">
        <w:rPr>
          <w:spacing w:val="-2"/>
        </w:rPr>
        <w:t>operadores jurídicos</w:t>
      </w:r>
      <w:r w:rsidR="009B0D43" w:rsidRPr="00143082">
        <w:rPr>
          <w:spacing w:val="-2"/>
        </w:rPr>
        <w:t>, o entendimento de que</w:t>
      </w:r>
      <w:r w:rsidR="002A0A88" w:rsidRPr="00143082">
        <w:rPr>
          <w:spacing w:val="-2"/>
        </w:rPr>
        <w:t xml:space="preserve"> “</w:t>
      </w:r>
      <w:r w:rsidR="009B0D43" w:rsidRPr="00143082">
        <w:rPr>
          <w:spacing w:val="-2"/>
        </w:rPr>
        <w:t>é mais importante prevenir e chegar a uma solução rápida para os litígios do que ter que recorrer, sempre, a um Judiciário cada vez mais sobrecarregado”, e (</w:t>
      </w:r>
      <w:proofErr w:type="spellStart"/>
      <w:r w:rsidR="009B0D43" w:rsidRPr="00143082">
        <w:rPr>
          <w:spacing w:val="-2"/>
        </w:rPr>
        <w:t>ii</w:t>
      </w:r>
      <w:proofErr w:type="spellEnd"/>
      <w:r w:rsidR="009B0D43" w:rsidRPr="00143082">
        <w:rPr>
          <w:spacing w:val="-2"/>
        </w:rPr>
        <w:t>)</w:t>
      </w:r>
      <w:r w:rsidR="00BC36EC" w:rsidRPr="00143082">
        <w:rPr>
          <w:spacing w:val="-2"/>
        </w:rPr>
        <w:t xml:space="preserve"> “oferecer instrumentos de apoio aos tribunais para a instalação </w:t>
      </w:r>
      <w:r w:rsidR="00BC36EC" w:rsidRPr="00143082">
        <w:rPr>
          <w:spacing w:val="-2"/>
        </w:rPr>
        <w:lastRenderedPageBreak/>
        <w:t>de núcleos de conciliação e mediação, que certamente terão forte impacto sobre a quantidade excessiva de processos</w:t>
      </w:r>
      <w:r w:rsidR="00D503C8" w:rsidRPr="00143082">
        <w:rPr>
          <w:spacing w:val="-2"/>
        </w:rPr>
        <w:t>” (MIGALHAS, 2011</w:t>
      </w:r>
      <w:r w:rsidR="00F865AB" w:rsidRPr="00143082">
        <w:rPr>
          <w:spacing w:val="-2"/>
        </w:rPr>
        <w:t>)</w:t>
      </w:r>
      <w:r w:rsidR="00D503C8" w:rsidRPr="00143082">
        <w:rPr>
          <w:spacing w:val="-2"/>
        </w:rPr>
        <w:t>.</w:t>
      </w:r>
    </w:p>
    <w:p w14:paraId="2BD9C527" w14:textId="3ACA46B0" w:rsidR="005D5CFD" w:rsidRPr="00143082" w:rsidRDefault="0054681C" w:rsidP="005D5CFD">
      <w:pPr>
        <w:spacing w:line="360" w:lineRule="auto"/>
        <w:ind w:firstLine="709"/>
        <w:rPr>
          <w:spacing w:val="-2"/>
        </w:rPr>
      </w:pPr>
      <w:r w:rsidRPr="00143082">
        <w:rPr>
          <w:spacing w:val="-2"/>
        </w:rPr>
        <w:t xml:space="preserve">Essa perspectiva de </w:t>
      </w:r>
      <w:proofErr w:type="spellStart"/>
      <w:r w:rsidRPr="00143082">
        <w:rPr>
          <w:spacing w:val="-2"/>
        </w:rPr>
        <w:t>consensualização</w:t>
      </w:r>
      <w:proofErr w:type="spellEnd"/>
      <w:r w:rsidRPr="00143082">
        <w:rPr>
          <w:spacing w:val="-2"/>
        </w:rPr>
        <w:t xml:space="preserve"> de disputas </w:t>
      </w:r>
      <w:r w:rsidR="00FA33EA" w:rsidRPr="00143082">
        <w:rPr>
          <w:spacing w:val="-2"/>
        </w:rPr>
        <w:t xml:space="preserve">foi </w:t>
      </w:r>
      <w:r w:rsidR="00B85D8F" w:rsidRPr="00143082">
        <w:rPr>
          <w:spacing w:val="-2"/>
        </w:rPr>
        <w:t xml:space="preserve">formalmente </w:t>
      </w:r>
      <w:r w:rsidR="00FA33EA" w:rsidRPr="00143082">
        <w:rPr>
          <w:spacing w:val="-2"/>
        </w:rPr>
        <w:t>incorporada à legislação processual civil a partir do Código de Processo Civil de 2015 (</w:t>
      </w:r>
      <w:r w:rsidR="00F22B08" w:rsidRPr="00143082">
        <w:rPr>
          <w:spacing w:val="-2"/>
        </w:rPr>
        <w:t>13.105/2015</w:t>
      </w:r>
      <w:r w:rsidR="003D4A2E" w:rsidRPr="00143082">
        <w:rPr>
          <w:spacing w:val="-2"/>
        </w:rPr>
        <w:t>)</w:t>
      </w:r>
      <w:r w:rsidR="00B85D8F" w:rsidRPr="00143082">
        <w:rPr>
          <w:spacing w:val="-2"/>
        </w:rPr>
        <w:t xml:space="preserve">, que </w:t>
      </w:r>
      <w:r w:rsidR="005D5CFD" w:rsidRPr="00143082">
        <w:rPr>
          <w:spacing w:val="-2"/>
        </w:rPr>
        <w:t>passou a prever a obrigação de o Estado, “sempre que possível”, promover “a solução consensual de conflitos”</w:t>
      </w:r>
      <w:r w:rsidR="003F0857" w:rsidRPr="00143082">
        <w:rPr>
          <w:spacing w:val="-2"/>
        </w:rPr>
        <w:t xml:space="preserve">, </w:t>
      </w:r>
      <w:r w:rsidR="00A62867" w:rsidRPr="00143082">
        <w:rPr>
          <w:spacing w:val="-2"/>
        </w:rPr>
        <w:t xml:space="preserve">bem como </w:t>
      </w:r>
      <w:r w:rsidR="003F0857" w:rsidRPr="00143082">
        <w:rPr>
          <w:spacing w:val="-2"/>
        </w:rPr>
        <w:t>a obrigação de os juízes, advogados, defensores públicos e membros do Ministério Público estimularem “a conciliação, a mediação e outros métodos de solução consensual de conflitos” (</w:t>
      </w:r>
      <w:r w:rsidR="00A5650A" w:rsidRPr="00143082">
        <w:rPr>
          <w:spacing w:val="-2"/>
        </w:rPr>
        <w:t xml:space="preserve">art. 3º, </w:t>
      </w:r>
      <w:r w:rsidR="00A5650A" w:rsidRPr="00143082">
        <w:rPr>
          <w:spacing w:val="-2"/>
        </w:rPr>
        <w:softHyphen/>
      </w:r>
      <w:r w:rsidR="00A5650A" w:rsidRPr="00143082">
        <w:rPr>
          <w:spacing w:val="-2"/>
        </w:rPr>
        <w:softHyphen/>
        <w:t>§§2º e 3º, CPC/15).</w:t>
      </w:r>
    </w:p>
    <w:p w14:paraId="03F6599E" w14:textId="3AEC791F" w:rsidR="00850C72" w:rsidRPr="00143082" w:rsidRDefault="00681707" w:rsidP="00FE3D39">
      <w:pPr>
        <w:spacing w:line="360" w:lineRule="auto"/>
        <w:ind w:firstLine="709"/>
        <w:rPr>
          <w:spacing w:val="-2"/>
        </w:rPr>
      </w:pPr>
      <w:r w:rsidRPr="00143082">
        <w:rPr>
          <w:spacing w:val="-2"/>
        </w:rPr>
        <w:t xml:space="preserve">No âmbito do STF, </w:t>
      </w:r>
      <w:r w:rsidR="006F0B7F" w:rsidRPr="00143082">
        <w:rPr>
          <w:spacing w:val="-2"/>
        </w:rPr>
        <w:t>a adoção de mecanismos consensuais passou a ser incentivada, inicialmente, sem uma base normativa própria e específica</w:t>
      </w:r>
      <w:r w:rsidR="00A62867" w:rsidRPr="00143082">
        <w:rPr>
          <w:spacing w:val="-2"/>
        </w:rPr>
        <w:t>.</w:t>
      </w:r>
      <w:r w:rsidR="001F5479" w:rsidRPr="00143082">
        <w:rPr>
          <w:spacing w:val="-2"/>
        </w:rPr>
        <w:t xml:space="preserve"> </w:t>
      </w:r>
      <w:r w:rsidR="002B7901" w:rsidRPr="00143082">
        <w:rPr>
          <w:spacing w:val="-2"/>
        </w:rPr>
        <w:t>Isso porque o</w:t>
      </w:r>
      <w:r w:rsidR="001F5479" w:rsidRPr="00143082">
        <w:rPr>
          <w:spacing w:val="-2"/>
        </w:rPr>
        <w:t xml:space="preserve"> emprego inaugural da </w:t>
      </w:r>
      <w:r w:rsidR="00891DC0" w:rsidRPr="00143082">
        <w:rPr>
          <w:spacing w:val="-2"/>
        </w:rPr>
        <w:t>conciliação em processos de controle concentrado de constitucionalidade se deu em 2018, mediante duas decisões monocráticas proferidas pelo Min</w:t>
      </w:r>
      <w:r w:rsidR="00BB6D01" w:rsidRPr="00143082">
        <w:rPr>
          <w:spacing w:val="-2"/>
        </w:rPr>
        <w:t>. Luiz Fux</w:t>
      </w:r>
      <w:r w:rsidR="00FE3D39" w:rsidRPr="00143082">
        <w:rPr>
          <w:spacing w:val="-2"/>
        </w:rPr>
        <w:t xml:space="preserve"> nas </w:t>
      </w:r>
      <w:proofErr w:type="spellStart"/>
      <w:r w:rsidR="00FE3D39" w:rsidRPr="00143082">
        <w:rPr>
          <w:spacing w:val="-2"/>
        </w:rPr>
        <w:t>ADIs</w:t>
      </w:r>
      <w:proofErr w:type="spellEnd"/>
      <w:r w:rsidR="00FE3D39" w:rsidRPr="00143082">
        <w:rPr>
          <w:spacing w:val="-2"/>
        </w:rPr>
        <w:t xml:space="preserve"> nº </w:t>
      </w:r>
      <w:r w:rsidR="00C7136E" w:rsidRPr="00143082">
        <w:rPr>
          <w:spacing w:val="-2"/>
        </w:rPr>
        <w:t>5.956, 5.959 e 5.964</w:t>
      </w:r>
      <w:r w:rsidR="00BB6D01" w:rsidRPr="00143082">
        <w:rPr>
          <w:spacing w:val="-2"/>
        </w:rPr>
        <w:t xml:space="preserve"> (</w:t>
      </w:r>
      <w:r w:rsidR="004425D9" w:rsidRPr="00143082">
        <w:rPr>
          <w:spacing w:val="-2"/>
        </w:rPr>
        <w:t xml:space="preserve">KARAM DE CHUEIRI, GODOY e FONÇATTI, 2025, </w:t>
      </w:r>
      <w:r w:rsidR="00BB6D01" w:rsidRPr="00143082">
        <w:rPr>
          <w:spacing w:val="-2"/>
        </w:rPr>
        <w:t>p. 3)</w:t>
      </w:r>
      <w:r w:rsidR="00C7136E" w:rsidRPr="00143082">
        <w:rPr>
          <w:spacing w:val="-2"/>
        </w:rPr>
        <w:t>.</w:t>
      </w:r>
    </w:p>
    <w:p w14:paraId="444E4A3A" w14:textId="626D2E3C" w:rsidR="00BB6D01" w:rsidRPr="00143082" w:rsidRDefault="00C7136E" w:rsidP="00FE3D39">
      <w:pPr>
        <w:spacing w:line="360" w:lineRule="auto"/>
        <w:ind w:firstLine="709"/>
        <w:rPr>
          <w:spacing w:val="-2"/>
        </w:rPr>
      </w:pPr>
      <w:r w:rsidRPr="00143082">
        <w:rPr>
          <w:spacing w:val="-2"/>
        </w:rPr>
        <w:t xml:space="preserve">Naquela oportunidade, o País passava por um </w:t>
      </w:r>
      <w:r w:rsidR="00B97073" w:rsidRPr="00143082">
        <w:rPr>
          <w:spacing w:val="-2"/>
        </w:rPr>
        <w:t xml:space="preserve">momento político e econômico bastante conturbado, que havia sido agravado pela “greve dos caminhoneiros”, </w:t>
      </w:r>
      <w:r w:rsidR="00850C72" w:rsidRPr="00143082">
        <w:rPr>
          <w:spacing w:val="-2"/>
        </w:rPr>
        <w:t>iniciada em maio de 2018.</w:t>
      </w:r>
      <w:r w:rsidR="00D7443E" w:rsidRPr="00143082">
        <w:rPr>
          <w:spacing w:val="-2"/>
        </w:rPr>
        <w:t xml:space="preserve">O resultado político imediato dessa </w:t>
      </w:r>
      <w:r w:rsidR="00C5231E" w:rsidRPr="00143082">
        <w:rPr>
          <w:spacing w:val="-2"/>
        </w:rPr>
        <w:t>mobilização</w:t>
      </w:r>
      <w:r w:rsidR="00D7443E" w:rsidRPr="00143082">
        <w:rPr>
          <w:spacing w:val="-2"/>
        </w:rPr>
        <w:t xml:space="preserve"> consistiu na </w:t>
      </w:r>
      <w:r w:rsidR="002336A4" w:rsidRPr="00143082">
        <w:rPr>
          <w:spacing w:val="-2"/>
        </w:rPr>
        <w:t xml:space="preserve">suspensão da alta do preço do diesel e no tabelamento dos preços mínimos de frete, por meio da Medida Provisória </w:t>
      </w:r>
      <w:r w:rsidR="000B67EC" w:rsidRPr="00143082">
        <w:rPr>
          <w:spacing w:val="-2"/>
        </w:rPr>
        <w:t>nº 832, de 27 de maio de 2018</w:t>
      </w:r>
      <w:r w:rsidR="00E53D7F" w:rsidRPr="00143082">
        <w:rPr>
          <w:spacing w:val="-2"/>
        </w:rPr>
        <w:t>, que posteriormente veio a ser convertida na Lei nº 13.703, de 8 de agosto de 2018.</w:t>
      </w:r>
    </w:p>
    <w:p w14:paraId="3876BBD8" w14:textId="77777777" w:rsidR="00307451" w:rsidRPr="00143082" w:rsidRDefault="00866A3A" w:rsidP="00FE3D39">
      <w:pPr>
        <w:spacing w:line="360" w:lineRule="auto"/>
        <w:ind w:firstLine="709"/>
        <w:rPr>
          <w:spacing w:val="-2"/>
        </w:rPr>
      </w:pPr>
      <w:r w:rsidRPr="00143082">
        <w:rPr>
          <w:spacing w:val="-2"/>
        </w:rPr>
        <w:t xml:space="preserve">Em junho de 2018, entidades associativas do setor produtivo e do setor de transportes ajuizaram as referidas </w:t>
      </w:r>
      <w:proofErr w:type="spellStart"/>
      <w:r w:rsidRPr="00143082">
        <w:rPr>
          <w:spacing w:val="-2"/>
        </w:rPr>
        <w:t>ADIs</w:t>
      </w:r>
      <w:proofErr w:type="spellEnd"/>
      <w:r w:rsidR="00894D3F" w:rsidRPr="00143082">
        <w:rPr>
          <w:spacing w:val="-2"/>
        </w:rPr>
        <w:t xml:space="preserve"> a fim de questionar a constitucionalidade do tabelamento do frete</w:t>
      </w:r>
      <w:r w:rsidR="00D41907" w:rsidRPr="00143082">
        <w:rPr>
          <w:spacing w:val="-2"/>
        </w:rPr>
        <w:t>, formulando pedido cautelar de suspensão da MP 832/2018</w:t>
      </w:r>
      <w:r w:rsidR="00307451" w:rsidRPr="00143082">
        <w:rPr>
          <w:spacing w:val="-2"/>
        </w:rPr>
        <w:t xml:space="preserve"> e da resolução da ANTT que versava sobre o mesmo tema.</w:t>
      </w:r>
    </w:p>
    <w:p w14:paraId="7F3C0B26" w14:textId="2666C3ED" w:rsidR="0096166D" w:rsidRPr="00143082" w:rsidRDefault="0073126E" w:rsidP="00FE3D39">
      <w:pPr>
        <w:spacing w:line="360" w:lineRule="auto"/>
        <w:ind w:firstLine="709"/>
        <w:rPr>
          <w:spacing w:val="-2"/>
        </w:rPr>
      </w:pPr>
      <w:r w:rsidRPr="00143082">
        <w:rPr>
          <w:spacing w:val="-2"/>
        </w:rPr>
        <w:t xml:space="preserve">Diante da sensibilidade </w:t>
      </w:r>
      <w:r w:rsidR="00D41907" w:rsidRPr="00143082">
        <w:rPr>
          <w:spacing w:val="-2"/>
        </w:rPr>
        <w:t>política da questão</w:t>
      </w:r>
      <w:r w:rsidR="00307451" w:rsidRPr="00143082">
        <w:rPr>
          <w:spacing w:val="-2"/>
        </w:rPr>
        <w:t>,</w:t>
      </w:r>
      <w:r w:rsidR="00866A3A" w:rsidRPr="00143082">
        <w:rPr>
          <w:spacing w:val="-2"/>
        </w:rPr>
        <w:t xml:space="preserve"> </w:t>
      </w:r>
      <w:r w:rsidR="00D41907" w:rsidRPr="00143082">
        <w:rPr>
          <w:spacing w:val="-2"/>
        </w:rPr>
        <w:t>e por razões de segurança jurídica, o Min.</w:t>
      </w:r>
      <w:r w:rsidR="00307451" w:rsidRPr="00143082">
        <w:rPr>
          <w:spacing w:val="-2"/>
        </w:rPr>
        <w:t> </w:t>
      </w:r>
      <w:r w:rsidR="00D41907" w:rsidRPr="00143082">
        <w:rPr>
          <w:spacing w:val="-2"/>
        </w:rPr>
        <w:t xml:space="preserve">Luiz Fux, designado como relator, proferiu decisão monocrática em </w:t>
      </w:r>
      <w:r w:rsidR="00ED7A80" w:rsidRPr="00143082">
        <w:rPr>
          <w:spacing w:val="-2"/>
        </w:rPr>
        <w:t>14 de junho de 2018</w:t>
      </w:r>
      <w:r w:rsidR="00BE06AA" w:rsidRPr="00143082">
        <w:rPr>
          <w:spacing w:val="-2"/>
        </w:rPr>
        <w:t>, determinando (i) a “suspensão dos processos judiciais, individuais ou coletivos, em curso nas instâncias inferiores e cujo pedido ou causa de pedir envolva a inconstitucionalidade ou suspensão de eficácia da Medida Provisória n.º 832/2018 ou da Resolução nº 5820, de 30 de maio de 2018, da Agência Nacional de Transportes Terrestres (ANTT)”; e (</w:t>
      </w:r>
      <w:proofErr w:type="spellStart"/>
      <w:r w:rsidR="00BE06AA" w:rsidRPr="00143082">
        <w:rPr>
          <w:spacing w:val="-2"/>
        </w:rPr>
        <w:t>ii</w:t>
      </w:r>
      <w:proofErr w:type="spellEnd"/>
      <w:r w:rsidR="00BE06AA" w:rsidRPr="00143082">
        <w:rPr>
          <w:spacing w:val="-2"/>
        </w:rPr>
        <w:t xml:space="preserve">) a designação de audiência </w:t>
      </w:r>
      <w:r w:rsidR="007D3CC6" w:rsidRPr="00143082">
        <w:rPr>
          <w:spacing w:val="-2"/>
        </w:rPr>
        <w:t>preliminar de apreciação do pleito cautelar para o dia 20 de junho de 2018, com comparecimento de representantes do Governo Federal (AGU</w:t>
      </w:r>
      <w:r w:rsidR="0097541C" w:rsidRPr="00143082">
        <w:rPr>
          <w:spacing w:val="-2"/>
        </w:rPr>
        <w:t xml:space="preserve">, Ministro dos Transportes e Diretor da ANTT), das associações envolvidas </w:t>
      </w:r>
      <w:r w:rsidR="006221C6" w:rsidRPr="00143082">
        <w:rPr>
          <w:spacing w:val="-2"/>
        </w:rPr>
        <w:t>na discussão (caminhoneiros – ATR Brasil, e setor produtivo – CNA) e da Procuradoria-Geral da República.</w:t>
      </w:r>
    </w:p>
    <w:p w14:paraId="2B33CCFE" w14:textId="6036116B" w:rsidR="00307451" w:rsidRPr="00143082" w:rsidRDefault="00307451" w:rsidP="00FE3D39">
      <w:pPr>
        <w:spacing w:line="360" w:lineRule="auto"/>
        <w:ind w:firstLine="709"/>
        <w:rPr>
          <w:spacing w:val="-2"/>
        </w:rPr>
      </w:pPr>
      <w:r w:rsidRPr="00143082">
        <w:rPr>
          <w:spacing w:val="-2"/>
        </w:rPr>
        <w:lastRenderedPageBreak/>
        <w:t xml:space="preserve">Após </w:t>
      </w:r>
      <w:r w:rsidR="00263165" w:rsidRPr="00143082">
        <w:rPr>
          <w:spacing w:val="-2"/>
        </w:rPr>
        <w:t xml:space="preserve">duas tentativas de conciliação (em 20 de junho e 28 de junho de 2018), que não tiveram muito sucesso, </w:t>
      </w:r>
      <w:r w:rsidR="000F5E0D" w:rsidRPr="00143082">
        <w:rPr>
          <w:spacing w:val="-2"/>
        </w:rPr>
        <w:t>o Relator deu seguimento às ações</w:t>
      </w:r>
      <w:r w:rsidR="00411CB7" w:rsidRPr="00143082">
        <w:rPr>
          <w:spacing w:val="-2"/>
        </w:rPr>
        <w:t>.</w:t>
      </w:r>
      <w:r w:rsidR="00411CB7" w:rsidRPr="00143082">
        <w:rPr>
          <w:rStyle w:val="Refdenotaderodap"/>
          <w:spacing w:val="-2"/>
        </w:rPr>
        <w:footnoteReference w:id="11"/>
      </w:r>
    </w:p>
    <w:p w14:paraId="4B7E9A3E" w14:textId="612FF874" w:rsidR="00A742A2" w:rsidRPr="00143082" w:rsidRDefault="000F5E0D" w:rsidP="00BB7F62">
      <w:pPr>
        <w:spacing w:line="360" w:lineRule="auto"/>
        <w:ind w:firstLine="709"/>
        <w:rPr>
          <w:spacing w:val="-2"/>
        </w:rPr>
      </w:pPr>
      <w:r w:rsidRPr="00143082">
        <w:rPr>
          <w:spacing w:val="-2"/>
        </w:rPr>
        <w:t xml:space="preserve">O que </w:t>
      </w:r>
      <w:r w:rsidR="00096ECC" w:rsidRPr="00143082">
        <w:rPr>
          <w:spacing w:val="-2"/>
        </w:rPr>
        <w:t>representou</w:t>
      </w:r>
      <w:r w:rsidRPr="00143082">
        <w:rPr>
          <w:spacing w:val="-2"/>
        </w:rPr>
        <w:t xml:space="preserve"> um episódio isolado em 2018 </w:t>
      </w:r>
      <w:r w:rsidR="002A3B03" w:rsidRPr="00143082">
        <w:rPr>
          <w:spacing w:val="-2"/>
        </w:rPr>
        <w:t xml:space="preserve">somente </w:t>
      </w:r>
      <w:r w:rsidR="00EA14C7" w:rsidRPr="00143082">
        <w:rPr>
          <w:spacing w:val="-2"/>
        </w:rPr>
        <w:t xml:space="preserve">iria começar </w:t>
      </w:r>
      <w:r w:rsidR="00096ECC" w:rsidRPr="00143082">
        <w:rPr>
          <w:spacing w:val="-2"/>
        </w:rPr>
        <w:t xml:space="preserve">a se estruturar e se institucionalizar </w:t>
      </w:r>
      <w:r w:rsidR="00E401BD" w:rsidRPr="00143082">
        <w:rPr>
          <w:spacing w:val="-2"/>
        </w:rPr>
        <w:t>cerca de dois anos depois, em</w:t>
      </w:r>
      <w:r w:rsidR="00766D18" w:rsidRPr="00143082">
        <w:rPr>
          <w:spacing w:val="-2"/>
        </w:rPr>
        <w:t xml:space="preserve"> 2020.</w:t>
      </w:r>
      <w:r w:rsidR="00766D18" w:rsidRPr="00143082">
        <w:rPr>
          <w:rStyle w:val="Refdenotaderodap"/>
          <w:spacing w:val="-2"/>
        </w:rPr>
        <w:footnoteReference w:id="12"/>
      </w:r>
      <w:r w:rsidR="00766D18" w:rsidRPr="00143082">
        <w:rPr>
          <w:spacing w:val="-2"/>
        </w:rPr>
        <w:t xml:space="preserve"> No referido ano, </w:t>
      </w:r>
      <w:r w:rsidR="008B0E45" w:rsidRPr="00143082">
        <w:rPr>
          <w:spacing w:val="-2"/>
        </w:rPr>
        <w:t xml:space="preserve">sob a presidência do Ministro Dias Toffoli, foi editada a Resolução </w:t>
      </w:r>
      <w:r w:rsidR="004412B7" w:rsidRPr="00143082">
        <w:rPr>
          <w:spacing w:val="-2"/>
        </w:rPr>
        <w:t xml:space="preserve">STF </w:t>
      </w:r>
      <w:r w:rsidR="008B0E45" w:rsidRPr="00143082">
        <w:rPr>
          <w:spacing w:val="-2"/>
        </w:rPr>
        <w:t xml:space="preserve">nº 697, de 6 de agosto de 2020, </w:t>
      </w:r>
      <w:r w:rsidR="00C06CEF" w:rsidRPr="00143082">
        <w:rPr>
          <w:spacing w:val="-2"/>
        </w:rPr>
        <w:t>que dispôs sobre a criação do Centro de Mediação e Conciliação (CMC), responsável pela “busca e implementação de soluções consensuais no Supremo Tribunal Federal”</w:t>
      </w:r>
      <w:r w:rsidR="0010563C" w:rsidRPr="00143082">
        <w:rPr>
          <w:spacing w:val="-2"/>
        </w:rPr>
        <w:t xml:space="preserve"> (STF, 2020).</w:t>
      </w:r>
    </w:p>
    <w:p w14:paraId="3E8D1C20" w14:textId="5AFE509D" w:rsidR="00C06CEF" w:rsidRPr="00143082" w:rsidRDefault="00C06CEF" w:rsidP="00F764F3">
      <w:pPr>
        <w:spacing w:line="360" w:lineRule="auto"/>
        <w:ind w:firstLine="709"/>
        <w:rPr>
          <w:spacing w:val="-2"/>
        </w:rPr>
      </w:pPr>
      <w:r w:rsidRPr="00143082">
        <w:rPr>
          <w:spacing w:val="-2"/>
        </w:rPr>
        <w:t xml:space="preserve">De acordo com </w:t>
      </w:r>
      <w:r w:rsidR="00636635" w:rsidRPr="00143082">
        <w:rPr>
          <w:spacing w:val="-2"/>
        </w:rPr>
        <w:t xml:space="preserve">as considerações apresentadas </w:t>
      </w:r>
      <w:r w:rsidR="002C2113" w:rsidRPr="00143082">
        <w:rPr>
          <w:spacing w:val="-2"/>
        </w:rPr>
        <w:t>à época</w:t>
      </w:r>
      <w:r w:rsidR="00636635" w:rsidRPr="00143082">
        <w:rPr>
          <w:spacing w:val="-2"/>
        </w:rPr>
        <w:t xml:space="preserve">, as principais motivações para a criação do CMC seriam </w:t>
      </w:r>
      <w:r w:rsidR="00387F7E" w:rsidRPr="00143082">
        <w:rPr>
          <w:spacing w:val="-2"/>
        </w:rPr>
        <w:t>(i) “a densidade normativa do princípio da razoável duração do processo (art. 5º, inc. LXXVIII, CF)”, (</w:t>
      </w:r>
      <w:proofErr w:type="spellStart"/>
      <w:r w:rsidR="00387F7E" w:rsidRPr="00143082">
        <w:rPr>
          <w:spacing w:val="-2"/>
        </w:rPr>
        <w:t>ii</w:t>
      </w:r>
      <w:proofErr w:type="spellEnd"/>
      <w:r w:rsidR="00387F7E" w:rsidRPr="00143082">
        <w:rPr>
          <w:spacing w:val="-2"/>
        </w:rPr>
        <w:t>) “a necessidade de se consolidar a prática permanente de incentivo aos mecanismos consensuais de solução de litígios”, (</w:t>
      </w:r>
      <w:proofErr w:type="spellStart"/>
      <w:r w:rsidR="00387F7E" w:rsidRPr="00143082">
        <w:rPr>
          <w:spacing w:val="-2"/>
        </w:rPr>
        <w:t>iii</w:t>
      </w:r>
      <w:proofErr w:type="spellEnd"/>
      <w:r w:rsidR="00387F7E" w:rsidRPr="00143082">
        <w:rPr>
          <w:spacing w:val="-2"/>
        </w:rPr>
        <w:t xml:space="preserve">) </w:t>
      </w:r>
      <w:r w:rsidR="00383EAB" w:rsidRPr="00143082">
        <w:rPr>
          <w:spacing w:val="-2"/>
        </w:rPr>
        <w:t xml:space="preserve">a Resolução nº 125/2010 do CNJ, que, a despeito de não se aplicar ao STF, </w:t>
      </w:r>
      <w:r w:rsidR="001D1128" w:rsidRPr="00143082">
        <w:rPr>
          <w:spacing w:val="-2"/>
        </w:rPr>
        <w:t xml:space="preserve">“incentiva a criação de núcleos de conciliação” </w:t>
      </w:r>
      <w:r w:rsidR="002C2113" w:rsidRPr="00143082">
        <w:rPr>
          <w:spacing w:val="-2"/>
        </w:rPr>
        <w:t xml:space="preserve">e </w:t>
      </w:r>
      <w:r w:rsidR="00383EAB" w:rsidRPr="00143082">
        <w:rPr>
          <w:spacing w:val="-2"/>
        </w:rPr>
        <w:t>s</w:t>
      </w:r>
      <w:r w:rsidR="001D1128" w:rsidRPr="00143082">
        <w:rPr>
          <w:spacing w:val="-2"/>
        </w:rPr>
        <w:t>erviria de “inspiração” para a adoção de solução semelhante pelo Tribunal, (</w:t>
      </w:r>
      <w:proofErr w:type="spellStart"/>
      <w:r w:rsidR="001D1128" w:rsidRPr="00143082">
        <w:rPr>
          <w:spacing w:val="-2"/>
        </w:rPr>
        <w:t>iv</w:t>
      </w:r>
      <w:proofErr w:type="spellEnd"/>
      <w:r w:rsidR="001D1128" w:rsidRPr="00143082">
        <w:rPr>
          <w:spacing w:val="-2"/>
        </w:rPr>
        <w:t xml:space="preserve">) </w:t>
      </w:r>
      <w:r w:rsidR="002C2113" w:rsidRPr="00143082">
        <w:rPr>
          <w:spacing w:val="-2"/>
        </w:rPr>
        <w:t>os “princípios inspiradores” do artigo 3º, §3º, do CPC/15, e (v) “a existência de potencial propensão de realização de acordos em processos de competência originária ou recursal em trâmite nesta Corte”</w:t>
      </w:r>
      <w:r w:rsidR="003E2917" w:rsidRPr="00143082">
        <w:rPr>
          <w:spacing w:val="-2"/>
        </w:rPr>
        <w:t xml:space="preserve"> (STF, 2020).</w:t>
      </w:r>
    </w:p>
    <w:p w14:paraId="551A1AF9" w14:textId="2908FB08" w:rsidR="00515759" w:rsidRPr="00143082" w:rsidRDefault="008B1043" w:rsidP="00BA5440">
      <w:pPr>
        <w:spacing w:line="360" w:lineRule="auto"/>
        <w:ind w:firstLine="709"/>
        <w:rPr>
          <w:spacing w:val="-2"/>
        </w:rPr>
      </w:pPr>
      <w:r w:rsidRPr="00143082">
        <w:rPr>
          <w:spacing w:val="-2"/>
        </w:rPr>
        <w:t xml:space="preserve">Tratava-se, mais uma vez, </w:t>
      </w:r>
      <w:r w:rsidR="00DC6750" w:rsidRPr="00143082">
        <w:rPr>
          <w:spacing w:val="-2"/>
        </w:rPr>
        <w:t>de ato normativo alinhado com os discursos proferidos pelo então Presidente do Tribunal, que</w:t>
      </w:r>
      <w:r w:rsidR="00E401BD" w:rsidRPr="00143082">
        <w:rPr>
          <w:spacing w:val="-2"/>
        </w:rPr>
        <w:t>,</w:t>
      </w:r>
      <w:r w:rsidR="00DC6750" w:rsidRPr="00143082">
        <w:rPr>
          <w:spacing w:val="-2"/>
        </w:rPr>
        <w:t xml:space="preserve"> ao menos desde 2018</w:t>
      </w:r>
      <w:r w:rsidR="00E401BD" w:rsidRPr="00143082">
        <w:rPr>
          <w:spacing w:val="-2"/>
        </w:rPr>
        <w:t>,</w:t>
      </w:r>
      <w:r w:rsidR="00DC6750" w:rsidRPr="00143082">
        <w:rPr>
          <w:spacing w:val="-2"/>
        </w:rPr>
        <w:t xml:space="preserve"> vinha se pronunciando no sentido de que </w:t>
      </w:r>
      <w:r w:rsidR="00DC3EDE" w:rsidRPr="00143082">
        <w:rPr>
          <w:spacing w:val="-2"/>
        </w:rPr>
        <w:t>caberia ao</w:t>
      </w:r>
      <w:r w:rsidR="00E401BD" w:rsidRPr="00143082">
        <w:rPr>
          <w:spacing w:val="-2"/>
        </w:rPr>
        <w:t xml:space="preserve"> Poder</w:t>
      </w:r>
      <w:r w:rsidR="00DC3EDE" w:rsidRPr="00143082">
        <w:rPr>
          <w:spacing w:val="-2"/>
        </w:rPr>
        <w:t xml:space="preserve"> Judiciário garantir a efetividade na prestação jurisdicional, “para debelar o elevado índice de judicialização”, no que se incluiria</w:t>
      </w:r>
      <w:r w:rsidR="00BA5440" w:rsidRPr="00143082">
        <w:rPr>
          <w:spacing w:val="-2"/>
        </w:rPr>
        <w:t xml:space="preserve"> </w:t>
      </w:r>
      <w:r w:rsidR="00E401BD" w:rsidRPr="00143082">
        <w:rPr>
          <w:spacing w:val="-2"/>
        </w:rPr>
        <w:t xml:space="preserve">a </w:t>
      </w:r>
      <w:r w:rsidR="00D63D02" w:rsidRPr="00143082">
        <w:rPr>
          <w:spacing w:val="-2"/>
        </w:rPr>
        <w:t xml:space="preserve">iniciativa de </w:t>
      </w:r>
      <w:r w:rsidR="00BA5440" w:rsidRPr="00143082">
        <w:rPr>
          <w:spacing w:val="-2"/>
        </w:rPr>
        <w:t>“</w:t>
      </w:r>
      <w:r w:rsidR="00B65972" w:rsidRPr="00143082">
        <w:rPr>
          <w:spacing w:val="-2"/>
        </w:rPr>
        <w:t>incentivar a adoção de métodos alternativos à solução do litígio, ou como se diz hoje ‘métodos adequados à solução do litígio’, visando ao fim a desjudicialização, a partir da pacificação do tecido social”</w:t>
      </w:r>
      <w:r w:rsidR="00BA5440" w:rsidRPr="00143082">
        <w:rPr>
          <w:spacing w:val="-2"/>
        </w:rPr>
        <w:t xml:space="preserve"> </w:t>
      </w:r>
      <w:r w:rsidR="005A50E2" w:rsidRPr="00143082">
        <w:rPr>
          <w:spacing w:val="-2"/>
        </w:rPr>
        <w:t>(STF, 2018</w:t>
      </w:r>
      <w:r w:rsidR="00BA5440" w:rsidRPr="00143082">
        <w:rPr>
          <w:spacing w:val="-2"/>
        </w:rPr>
        <w:t>).</w:t>
      </w:r>
    </w:p>
    <w:p w14:paraId="1B27742D" w14:textId="6E59F954" w:rsidR="00630CCD" w:rsidRPr="00143082" w:rsidRDefault="00D63D02" w:rsidP="00630CCD">
      <w:pPr>
        <w:spacing w:line="360" w:lineRule="auto"/>
        <w:ind w:firstLine="709"/>
        <w:rPr>
          <w:spacing w:val="-2"/>
        </w:rPr>
      </w:pPr>
      <w:r w:rsidRPr="00143082">
        <w:rPr>
          <w:spacing w:val="-2"/>
        </w:rPr>
        <w:t xml:space="preserve">Pouco tempo depois, já sob a presidência do Min. Luiz Fux, </w:t>
      </w:r>
      <w:r w:rsidR="00630CCD" w:rsidRPr="00143082">
        <w:rPr>
          <w:spacing w:val="-2"/>
        </w:rPr>
        <w:t>foi desenvolvido o “</w:t>
      </w:r>
      <w:r w:rsidR="00323893" w:rsidRPr="00143082">
        <w:rPr>
          <w:spacing w:val="-2"/>
        </w:rPr>
        <w:t>Planejamento Es</w:t>
      </w:r>
      <w:r w:rsidR="002A2420" w:rsidRPr="00143082">
        <w:rPr>
          <w:spacing w:val="-2"/>
        </w:rPr>
        <w:t>tratégico Ciclo 2021/2025</w:t>
      </w:r>
      <w:r w:rsidR="00630CCD" w:rsidRPr="00143082">
        <w:rPr>
          <w:spacing w:val="-2"/>
        </w:rPr>
        <w:t>”</w:t>
      </w:r>
      <w:r w:rsidR="00C101B3" w:rsidRPr="00143082">
        <w:rPr>
          <w:spacing w:val="-2"/>
        </w:rPr>
        <w:t xml:space="preserve"> do STF</w:t>
      </w:r>
      <w:r w:rsidR="002A2420" w:rsidRPr="00143082">
        <w:rPr>
          <w:spacing w:val="-2"/>
        </w:rPr>
        <w:t xml:space="preserve">, </w:t>
      </w:r>
      <w:r w:rsidR="0042703E" w:rsidRPr="00143082">
        <w:rPr>
          <w:spacing w:val="-2"/>
        </w:rPr>
        <w:t xml:space="preserve">que, em linha com a Resolução </w:t>
      </w:r>
      <w:r w:rsidR="007B3166" w:rsidRPr="00143082">
        <w:rPr>
          <w:spacing w:val="-2"/>
        </w:rPr>
        <w:t>nº 638, de 10 de junho de 2019</w:t>
      </w:r>
      <w:r w:rsidR="0042703E" w:rsidRPr="00143082">
        <w:rPr>
          <w:spacing w:val="-2"/>
        </w:rPr>
        <w:t>, visa a</w:t>
      </w:r>
      <w:r w:rsidR="008266BD" w:rsidRPr="00143082">
        <w:rPr>
          <w:spacing w:val="-2"/>
        </w:rPr>
        <w:t xml:space="preserve"> consolidade e </w:t>
      </w:r>
      <w:r w:rsidR="0042703E" w:rsidRPr="00143082">
        <w:rPr>
          <w:spacing w:val="-2"/>
        </w:rPr>
        <w:t xml:space="preserve">organizar </w:t>
      </w:r>
      <w:r w:rsidR="00694452" w:rsidRPr="00143082">
        <w:rPr>
          <w:spacing w:val="-2"/>
        </w:rPr>
        <w:t xml:space="preserve">a missão, visão, valores institucionais, cenários, objetivos, indicadores, metas e iniciativas </w:t>
      </w:r>
      <w:r w:rsidR="00B02031" w:rsidRPr="00143082">
        <w:rPr>
          <w:spacing w:val="-2"/>
        </w:rPr>
        <w:t>estratégias do Tribunal</w:t>
      </w:r>
      <w:r w:rsidR="0042703E" w:rsidRPr="00143082">
        <w:rPr>
          <w:spacing w:val="-2"/>
        </w:rPr>
        <w:t xml:space="preserve"> </w:t>
      </w:r>
      <w:r w:rsidR="001B534B" w:rsidRPr="00143082">
        <w:rPr>
          <w:spacing w:val="-2"/>
        </w:rPr>
        <w:t>para o</w:t>
      </w:r>
      <w:r w:rsidR="00B02031" w:rsidRPr="00143082">
        <w:rPr>
          <w:spacing w:val="-2"/>
        </w:rPr>
        <w:t xml:space="preserve"> ciclo de 2021 a 2025</w:t>
      </w:r>
      <w:r w:rsidR="00C22261" w:rsidRPr="00143082">
        <w:rPr>
          <w:spacing w:val="-2"/>
        </w:rPr>
        <w:t>.</w:t>
      </w:r>
    </w:p>
    <w:p w14:paraId="6A39D3F3" w14:textId="3E3F36CB" w:rsidR="005235F5" w:rsidRPr="00143082" w:rsidRDefault="005235F5" w:rsidP="00630CCD">
      <w:pPr>
        <w:spacing w:line="360" w:lineRule="auto"/>
        <w:ind w:firstLine="709"/>
        <w:rPr>
          <w:spacing w:val="-2"/>
        </w:rPr>
      </w:pPr>
      <w:r w:rsidRPr="00143082">
        <w:rPr>
          <w:spacing w:val="-2"/>
        </w:rPr>
        <w:lastRenderedPageBreak/>
        <w:t>Nesse documento,</w:t>
      </w:r>
      <w:r w:rsidR="00EA229A" w:rsidRPr="00143082">
        <w:rPr>
          <w:spacing w:val="-2"/>
        </w:rPr>
        <w:t xml:space="preserve"> publicado em dezembro de 2021,</w:t>
      </w:r>
      <w:r w:rsidRPr="00143082">
        <w:rPr>
          <w:spacing w:val="-2"/>
        </w:rPr>
        <w:t xml:space="preserve"> </w:t>
      </w:r>
      <w:r w:rsidR="003E08BB" w:rsidRPr="00143082">
        <w:rPr>
          <w:spacing w:val="-2"/>
        </w:rPr>
        <w:t xml:space="preserve">um dos prognósticos que </w:t>
      </w:r>
      <w:r w:rsidR="001B534B" w:rsidRPr="00143082">
        <w:rPr>
          <w:spacing w:val="-2"/>
        </w:rPr>
        <w:t>basearam a</w:t>
      </w:r>
      <w:r w:rsidR="003E08BB" w:rsidRPr="00143082">
        <w:rPr>
          <w:spacing w:val="-2"/>
        </w:rPr>
        <w:t xml:space="preserve"> elaboração </w:t>
      </w:r>
      <w:r w:rsidR="003929FF" w:rsidRPr="00143082">
        <w:rPr>
          <w:spacing w:val="-2"/>
        </w:rPr>
        <w:t>dos planos estratégicos foi a perspectiva de “aumento de conflitos solucionados por métodos consensuais”</w:t>
      </w:r>
      <w:r w:rsidR="00DE4EBA" w:rsidRPr="00143082">
        <w:rPr>
          <w:spacing w:val="-2"/>
        </w:rPr>
        <w:t xml:space="preserve">, com ênfase para a probabilidade de que </w:t>
      </w:r>
      <w:r w:rsidR="007B650D" w:rsidRPr="00143082">
        <w:rPr>
          <w:spacing w:val="-2"/>
        </w:rPr>
        <w:t xml:space="preserve">“até 31/12/2030, a cultura da busca pelo consenso evolua a ponto de triplicar o número de acordos homologados pelos magistrados brasileiros (3,7 milhões em 2018)” (STF, </w:t>
      </w:r>
      <w:r w:rsidR="005A50E2" w:rsidRPr="00143082">
        <w:rPr>
          <w:spacing w:val="-2"/>
        </w:rPr>
        <w:t>2021</w:t>
      </w:r>
      <w:r w:rsidR="007B650D" w:rsidRPr="00143082">
        <w:rPr>
          <w:spacing w:val="-2"/>
        </w:rPr>
        <w:t xml:space="preserve">, p. 43). </w:t>
      </w:r>
    </w:p>
    <w:p w14:paraId="3D6A5907" w14:textId="1890E6C8" w:rsidR="005235F5" w:rsidRPr="00143082" w:rsidRDefault="007B650D" w:rsidP="001E1BDC">
      <w:pPr>
        <w:spacing w:line="360" w:lineRule="auto"/>
        <w:ind w:firstLine="709"/>
        <w:rPr>
          <w:spacing w:val="-2"/>
        </w:rPr>
      </w:pPr>
      <w:r w:rsidRPr="00143082">
        <w:rPr>
          <w:spacing w:val="-2"/>
        </w:rPr>
        <w:t>Assim, a</w:t>
      </w:r>
      <w:r w:rsidR="002A2420" w:rsidRPr="00143082">
        <w:rPr>
          <w:spacing w:val="-2"/>
        </w:rPr>
        <w:t xml:space="preserve"> “conciliação de conflitos” e os meios consensuais de resolução de controvérsias aparecem como </w:t>
      </w:r>
      <w:r w:rsidR="00884594" w:rsidRPr="00143082">
        <w:rPr>
          <w:spacing w:val="-2"/>
        </w:rPr>
        <w:t>melhorias aplicáveis a dois grandes temas</w:t>
      </w:r>
      <w:r w:rsidR="002D4F04" w:rsidRPr="00143082">
        <w:rPr>
          <w:spacing w:val="-2"/>
        </w:rPr>
        <w:t xml:space="preserve"> para o período de 2021 a 2025</w:t>
      </w:r>
      <w:r w:rsidR="00884594" w:rsidRPr="00143082">
        <w:rPr>
          <w:spacing w:val="-2"/>
        </w:rPr>
        <w:t xml:space="preserve">: (i) </w:t>
      </w:r>
      <w:r w:rsidR="00584FF3" w:rsidRPr="00143082">
        <w:rPr>
          <w:spacing w:val="-2"/>
        </w:rPr>
        <w:t>a “prestação jurisdicional”</w:t>
      </w:r>
      <w:r w:rsidR="004E3819" w:rsidRPr="00143082">
        <w:rPr>
          <w:spacing w:val="-2"/>
        </w:rPr>
        <w:t xml:space="preserve">, </w:t>
      </w:r>
      <w:r w:rsidR="00B00F27" w:rsidRPr="00143082">
        <w:rPr>
          <w:spacing w:val="-2"/>
        </w:rPr>
        <w:t xml:space="preserve">a fim de torná-la </w:t>
      </w:r>
      <w:r w:rsidR="00E7771F" w:rsidRPr="00143082">
        <w:rPr>
          <w:spacing w:val="-2"/>
        </w:rPr>
        <w:t>mais “célere, eficiente e transparente”</w:t>
      </w:r>
      <w:r w:rsidR="00327CD9" w:rsidRPr="00143082">
        <w:rPr>
          <w:spacing w:val="-2"/>
        </w:rPr>
        <w:t xml:space="preserve"> e de “incentivar a prevenção ou desjudicialização de conflitos”</w:t>
      </w:r>
      <w:r w:rsidR="00884594" w:rsidRPr="00143082">
        <w:rPr>
          <w:spacing w:val="-2"/>
        </w:rPr>
        <w:t>; e (</w:t>
      </w:r>
      <w:proofErr w:type="spellStart"/>
      <w:r w:rsidR="00884594" w:rsidRPr="00143082">
        <w:rPr>
          <w:spacing w:val="-2"/>
        </w:rPr>
        <w:t>ii</w:t>
      </w:r>
      <w:proofErr w:type="spellEnd"/>
      <w:r w:rsidR="00884594" w:rsidRPr="00143082">
        <w:rPr>
          <w:spacing w:val="-2"/>
        </w:rPr>
        <w:t xml:space="preserve">) as “relações institucionais”, </w:t>
      </w:r>
      <w:r w:rsidR="00584FF3" w:rsidRPr="00143082">
        <w:rPr>
          <w:spacing w:val="-2"/>
        </w:rPr>
        <w:t>enquanto tarefa do STF de manter</w:t>
      </w:r>
      <w:r w:rsidR="00716619" w:rsidRPr="00143082">
        <w:rPr>
          <w:spacing w:val="-2"/>
        </w:rPr>
        <w:t xml:space="preserve"> o</w:t>
      </w:r>
      <w:r w:rsidR="00A133BA" w:rsidRPr="00143082">
        <w:rPr>
          <w:spacing w:val="-2"/>
        </w:rPr>
        <w:t xml:space="preserve"> </w:t>
      </w:r>
      <w:r w:rsidR="005136C4" w:rsidRPr="00143082">
        <w:rPr>
          <w:spacing w:val="-2"/>
        </w:rPr>
        <w:t>“diálogo permanente com a “a sociedade civil, lideranças científicas, com os demais Poderes, com os órgãos do Poder Judiciário e com as instituições que exercem funções essenciais à Justiça</w:t>
      </w:r>
      <w:r w:rsidR="001E1BDC" w:rsidRPr="00143082">
        <w:rPr>
          <w:spacing w:val="-2"/>
        </w:rPr>
        <w:t xml:space="preserve">” </w:t>
      </w:r>
      <w:r w:rsidR="00E7771F" w:rsidRPr="00143082">
        <w:rPr>
          <w:spacing w:val="-2"/>
        </w:rPr>
        <w:t>(</w:t>
      </w:r>
      <w:r w:rsidR="00F764F5" w:rsidRPr="00143082">
        <w:rPr>
          <w:spacing w:val="-2"/>
        </w:rPr>
        <w:t>STF, 2021</w:t>
      </w:r>
      <w:r w:rsidR="00E7771F" w:rsidRPr="00143082">
        <w:rPr>
          <w:spacing w:val="-2"/>
        </w:rPr>
        <w:t>)</w:t>
      </w:r>
      <w:r w:rsidR="005235F5" w:rsidRPr="00143082">
        <w:rPr>
          <w:spacing w:val="-2"/>
        </w:rPr>
        <w:t>.</w:t>
      </w:r>
    </w:p>
    <w:p w14:paraId="54EF567C" w14:textId="77777777" w:rsidR="00DA1AAE" w:rsidRPr="00143082" w:rsidRDefault="001E1BDC" w:rsidP="001E1BDC">
      <w:pPr>
        <w:spacing w:line="360" w:lineRule="auto"/>
        <w:ind w:firstLine="709"/>
        <w:rPr>
          <w:spacing w:val="-2"/>
        </w:rPr>
      </w:pPr>
      <w:r w:rsidRPr="00143082">
        <w:rPr>
          <w:spacing w:val="-2"/>
        </w:rPr>
        <w:t xml:space="preserve">Em dezembro de 2022, já sob a presidência da Min. Rosa Weber, </w:t>
      </w:r>
      <w:r w:rsidR="00385581" w:rsidRPr="00143082">
        <w:rPr>
          <w:spacing w:val="-2"/>
        </w:rPr>
        <w:t>foi editada a Resolução nº 790</w:t>
      </w:r>
      <w:r w:rsidR="00B94B06" w:rsidRPr="00143082">
        <w:rPr>
          <w:spacing w:val="-2"/>
        </w:rPr>
        <w:t>/2022, que criou o “Centro de Soluções Alternativas de Litígios do STF (CESAL/STF)”</w:t>
      </w:r>
      <w:r w:rsidR="002423E9" w:rsidRPr="00143082">
        <w:rPr>
          <w:spacing w:val="-2"/>
        </w:rPr>
        <w:t>, integrado pelo C</w:t>
      </w:r>
      <w:r w:rsidR="0079339D" w:rsidRPr="00143082">
        <w:rPr>
          <w:spacing w:val="-2"/>
        </w:rPr>
        <w:t>entro de Mediação e Conciliação (C</w:t>
      </w:r>
      <w:r w:rsidR="002423E9" w:rsidRPr="00143082">
        <w:rPr>
          <w:spacing w:val="-2"/>
        </w:rPr>
        <w:t>MC</w:t>
      </w:r>
      <w:r w:rsidR="0079339D" w:rsidRPr="00143082">
        <w:rPr>
          <w:spacing w:val="-2"/>
        </w:rPr>
        <w:t>/STF)</w:t>
      </w:r>
      <w:r w:rsidR="002423E9" w:rsidRPr="00143082">
        <w:rPr>
          <w:spacing w:val="-2"/>
        </w:rPr>
        <w:t>, pelo Centro de Cooperação Judiciária (CCJ/STF) e pelo Centro de Coordenação e Apoio às Demandas Estruturais e Litígios Complexos (CADEC/STF).</w:t>
      </w:r>
    </w:p>
    <w:p w14:paraId="2060C339" w14:textId="6B28DDD7" w:rsidR="007D31A8" w:rsidRPr="00143082" w:rsidRDefault="00C60B61" w:rsidP="001E1BDC">
      <w:pPr>
        <w:spacing w:line="360" w:lineRule="auto"/>
        <w:ind w:firstLine="709"/>
        <w:rPr>
          <w:spacing w:val="-2"/>
        </w:rPr>
      </w:pPr>
      <w:r w:rsidRPr="00143082">
        <w:rPr>
          <w:spacing w:val="-2"/>
        </w:rPr>
        <w:t xml:space="preserve">Mantendo as competências do CMC/STF trazidas na Resolução </w:t>
      </w:r>
      <w:r w:rsidR="00F764F5" w:rsidRPr="00143082">
        <w:rPr>
          <w:spacing w:val="-2"/>
        </w:rPr>
        <w:t xml:space="preserve">nº </w:t>
      </w:r>
      <w:r w:rsidRPr="00143082">
        <w:rPr>
          <w:spacing w:val="-2"/>
        </w:rPr>
        <w:t xml:space="preserve">697/2020, o referido ato normativo </w:t>
      </w:r>
      <w:r w:rsidR="00A15F7F" w:rsidRPr="00143082">
        <w:rPr>
          <w:spacing w:val="-2"/>
        </w:rPr>
        <w:t>se inspirou nos “princípios constitucionais da eficiência e da economicidade na administração pública ( art. 37 da CF)” e no “</w:t>
      </w:r>
      <w:r w:rsidR="00CE6394" w:rsidRPr="00143082">
        <w:rPr>
          <w:spacing w:val="-2"/>
        </w:rPr>
        <w:t>processo de desburocratização instituído pela Lei n 13.726/2018 e o direito à tutela jurisdicional efetiva”</w:t>
      </w:r>
      <w:r w:rsidR="0045301E" w:rsidRPr="00143082">
        <w:rPr>
          <w:spacing w:val="-2"/>
        </w:rPr>
        <w:t xml:space="preserve"> para criar regras procedimentais mais claras para </w:t>
      </w:r>
      <w:r w:rsidR="001F4382" w:rsidRPr="00143082">
        <w:rPr>
          <w:spacing w:val="-2"/>
        </w:rPr>
        <w:t>o processamento de “</w:t>
      </w:r>
      <w:r w:rsidR="007D31A8" w:rsidRPr="00143082">
        <w:rPr>
          <w:spacing w:val="-2"/>
        </w:rPr>
        <w:t>demandas estruturais e litígios complexos”, entendidos como “queles voltados a reestruturar determinado estado de coisas constitucionalmente desconforme e os que exigem, para a concretização dos direitos correspondentes, técnicas especiais de efetivação processual e intervenções jurisdicionais diferenciadas” (</w:t>
      </w:r>
      <w:r w:rsidR="002D53B7" w:rsidRPr="00143082">
        <w:rPr>
          <w:spacing w:val="-2"/>
        </w:rPr>
        <w:t>STF, 2022</w:t>
      </w:r>
      <w:r w:rsidR="007D31A8" w:rsidRPr="00143082">
        <w:rPr>
          <w:spacing w:val="-2"/>
        </w:rPr>
        <w:t>).</w:t>
      </w:r>
      <w:r w:rsidR="00D55996" w:rsidRPr="00143082">
        <w:rPr>
          <w:rStyle w:val="Refdenotaderodap"/>
          <w:spacing w:val="-2"/>
        </w:rPr>
        <w:footnoteReference w:id="13"/>
      </w:r>
    </w:p>
    <w:p w14:paraId="121FF41E" w14:textId="2DA309C2" w:rsidR="00947CED" w:rsidRPr="00143082" w:rsidRDefault="00C15952" w:rsidP="001A22B9">
      <w:pPr>
        <w:spacing w:line="360" w:lineRule="auto"/>
        <w:ind w:firstLine="709"/>
        <w:rPr>
          <w:spacing w:val="-2"/>
        </w:rPr>
      </w:pPr>
      <w:r w:rsidRPr="00143082">
        <w:rPr>
          <w:spacing w:val="-2"/>
        </w:rPr>
        <w:t xml:space="preserve">Exatamente um ano após  a edição da Resolução nº 790/2022, foi editado o </w:t>
      </w:r>
      <w:r w:rsidR="00B568D0" w:rsidRPr="00143082">
        <w:rPr>
          <w:spacing w:val="-2"/>
        </w:rPr>
        <w:t>Ato Regulamentar nº 27, de 11 de dezembro de 2023</w:t>
      </w:r>
      <w:r w:rsidR="002D53B7" w:rsidRPr="00143082">
        <w:rPr>
          <w:spacing w:val="-2"/>
        </w:rPr>
        <w:t xml:space="preserve"> (STF, 2023)</w:t>
      </w:r>
      <w:r w:rsidRPr="00143082">
        <w:rPr>
          <w:spacing w:val="-2"/>
        </w:rPr>
        <w:t xml:space="preserve">, </w:t>
      </w:r>
      <w:r w:rsidR="00BB4644" w:rsidRPr="00143082">
        <w:rPr>
          <w:spacing w:val="-2"/>
        </w:rPr>
        <w:t xml:space="preserve">sob a presidência do Min. Luís Roberto Barroso, </w:t>
      </w:r>
      <w:r w:rsidRPr="00143082">
        <w:rPr>
          <w:spacing w:val="-2"/>
        </w:rPr>
        <w:t>que reestruturou o CMC/STF</w:t>
      </w:r>
      <w:r w:rsidR="00AD0F65" w:rsidRPr="00143082">
        <w:rPr>
          <w:spacing w:val="-2"/>
        </w:rPr>
        <w:t xml:space="preserve">, </w:t>
      </w:r>
      <w:r w:rsidRPr="00143082">
        <w:rPr>
          <w:spacing w:val="-2"/>
        </w:rPr>
        <w:t>rebatiz</w:t>
      </w:r>
      <w:r w:rsidR="00BB4644" w:rsidRPr="00143082">
        <w:rPr>
          <w:spacing w:val="-2"/>
        </w:rPr>
        <w:t>ando</w:t>
      </w:r>
      <w:r w:rsidRPr="00143082">
        <w:rPr>
          <w:spacing w:val="-2"/>
        </w:rPr>
        <w:t xml:space="preserve">-o </w:t>
      </w:r>
      <w:r w:rsidR="00BB4644" w:rsidRPr="00143082">
        <w:rPr>
          <w:spacing w:val="-2"/>
        </w:rPr>
        <w:t>como</w:t>
      </w:r>
      <w:r w:rsidR="00A7074E" w:rsidRPr="00143082">
        <w:rPr>
          <w:spacing w:val="-2"/>
        </w:rPr>
        <w:t xml:space="preserve"> “Núcleo de Solução </w:t>
      </w:r>
      <w:r w:rsidR="00A7074E" w:rsidRPr="00143082">
        <w:rPr>
          <w:spacing w:val="-2"/>
        </w:rPr>
        <w:lastRenderedPageBreak/>
        <w:t xml:space="preserve">Consensual de Conflitos (NUSOL)”, nos termos do artigo </w:t>
      </w:r>
      <w:r w:rsidR="00E85527" w:rsidRPr="00143082">
        <w:rPr>
          <w:spacing w:val="-2"/>
        </w:rPr>
        <w:t>4º, “e”, 2, do Regulamento da Secretaria do STF</w:t>
      </w:r>
      <w:r w:rsidR="00AD0F65" w:rsidRPr="00143082">
        <w:rPr>
          <w:spacing w:val="-2"/>
        </w:rPr>
        <w:t xml:space="preserve">, e </w:t>
      </w:r>
      <w:r w:rsidR="00BB4644" w:rsidRPr="00143082">
        <w:rPr>
          <w:spacing w:val="-2"/>
        </w:rPr>
        <w:t>submetendo-o</w:t>
      </w:r>
      <w:r w:rsidR="00AD0F65" w:rsidRPr="00143082">
        <w:rPr>
          <w:spacing w:val="-2"/>
        </w:rPr>
        <w:t xml:space="preserve"> a um órgão de maior envergadura, a Assessoria de Apoio à Jurisdição (AAJ), agora composta </w:t>
      </w:r>
      <w:r w:rsidR="001A22B9" w:rsidRPr="00143082">
        <w:rPr>
          <w:spacing w:val="-2"/>
        </w:rPr>
        <w:t xml:space="preserve">pelo </w:t>
      </w:r>
      <w:r w:rsidR="00947CED" w:rsidRPr="00143082">
        <w:rPr>
          <w:spacing w:val="-2"/>
        </w:rPr>
        <w:t xml:space="preserve">NUSOL, </w:t>
      </w:r>
      <w:r w:rsidR="001A22B9" w:rsidRPr="00143082">
        <w:rPr>
          <w:spacing w:val="-2"/>
        </w:rPr>
        <w:t xml:space="preserve">pelo </w:t>
      </w:r>
      <w:r w:rsidR="002D53B7" w:rsidRPr="00143082">
        <w:rPr>
          <w:spacing w:val="-2"/>
        </w:rPr>
        <w:t xml:space="preserve">NUPEC - </w:t>
      </w:r>
      <w:r w:rsidR="00947CED" w:rsidRPr="00143082">
        <w:rPr>
          <w:spacing w:val="-2"/>
        </w:rPr>
        <w:t xml:space="preserve">Núcleo de </w:t>
      </w:r>
      <w:r w:rsidR="001A22B9" w:rsidRPr="00143082">
        <w:rPr>
          <w:spacing w:val="-2"/>
        </w:rPr>
        <w:t>P</w:t>
      </w:r>
      <w:r w:rsidR="00947CED" w:rsidRPr="00143082">
        <w:rPr>
          <w:spacing w:val="-2"/>
        </w:rPr>
        <w:t xml:space="preserve">rocessos </w:t>
      </w:r>
      <w:r w:rsidR="001A22B9" w:rsidRPr="00143082">
        <w:rPr>
          <w:spacing w:val="-2"/>
        </w:rPr>
        <w:t>E</w:t>
      </w:r>
      <w:r w:rsidR="00947CED" w:rsidRPr="00143082">
        <w:rPr>
          <w:spacing w:val="-2"/>
        </w:rPr>
        <w:t xml:space="preserve">struturais e </w:t>
      </w:r>
      <w:r w:rsidR="001A22B9" w:rsidRPr="00143082">
        <w:rPr>
          <w:spacing w:val="-2"/>
        </w:rPr>
        <w:t>C</w:t>
      </w:r>
      <w:r w:rsidR="00947CED" w:rsidRPr="00143082">
        <w:rPr>
          <w:spacing w:val="-2"/>
        </w:rPr>
        <w:t xml:space="preserve">omplexos </w:t>
      </w:r>
      <w:r w:rsidR="001A22B9" w:rsidRPr="00143082">
        <w:rPr>
          <w:spacing w:val="-2"/>
        </w:rPr>
        <w:t>e pelo</w:t>
      </w:r>
      <w:r w:rsidR="00947CED" w:rsidRPr="00143082">
        <w:rPr>
          <w:spacing w:val="-2"/>
        </w:rPr>
        <w:t xml:space="preserve"> </w:t>
      </w:r>
      <w:r w:rsidR="002D53B7" w:rsidRPr="00143082">
        <w:rPr>
          <w:spacing w:val="-2"/>
        </w:rPr>
        <w:t xml:space="preserve">NUADE - </w:t>
      </w:r>
      <w:r w:rsidR="00947CED" w:rsidRPr="00143082">
        <w:rPr>
          <w:spacing w:val="-2"/>
        </w:rPr>
        <w:t xml:space="preserve">Núcleo de Análise de </w:t>
      </w:r>
      <w:r w:rsidR="001A22B9" w:rsidRPr="00143082">
        <w:rPr>
          <w:spacing w:val="-2"/>
        </w:rPr>
        <w:t>D</w:t>
      </w:r>
      <w:r w:rsidR="00947CED" w:rsidRPr="00143082">
        <w:rPr>
          <w:spacing w:val="-2"/>
        </w:rPr>
        <w:t xml:space="preserve">ados e </w:t>
      </w:r>
      <w:r w:rsidR="001A22B9" w:rsidRPr="00143082">
        <w:rPr>
          <w:spacing w:val="-2"/>
        </w:rPr>
        <w:t>E</w:t>
      </w:r>
      <w:r w:rsidR="00947CED" w:rsidRPr="00143082">
        <w:rPr>
          <w:spacing w:val="-2"/>
        </w:rPr>
        <w:t xml:space="preserve">statísticas </w:t>
      </w:r>
      <w:r w:rsidR="00385581" w:rsidRPr="00143082">
        <w:rPr>
          <w:spacing w:val="-2"/>
        </w:rPr>
        <w:t>(</w:t>
      </w:r>
      <w:r w:rsidR="004425D9" w:rsidRPr="00143082">
        <w:rPr>
          <w:spacing w:val="-2"/>
        </w:rPr>
        <w:t xml:space="preserve">KARAM DE CHUEIRI, GODOY e FONÇATTI, 2025, p. </w:t>
      </w:r>
      <w:r w:rsidR="00385581" w:rsidRPr="00143082">
        <w:rPr>
          <w:spacing w:val="-2"/>
        </w:rPr>
        <w:t>4)</w:t>
      </w:r>
      <w:r w:rsidR="00BB4644" w:rsidRPr="00143082">
        <w:rPr>
          <w:spacing w:val="-2"/>
        </w:rPr>
        <w:t>.</w:t>
      </w:r>
    </w:p>
    <w:p w14:paraId="57513D92" w14:textId="720197A1" w:rsidR="007A67A8" w:rsidRPr="00143082" w:rsidRDefault="00725EB8" w:rsidP="00A5648A">
      <w:pPr>
        <w:spacing w:line="360" w:lineRule="auto"/>
        <w:ind w:firstLine="709"/>
        <w:rPr>
          <w:spacing w:val="-2"/>
        </w:rPr>
      </w:pPr>
      <w:r w:rsidRPr="00143082">
        <w:rPr>
          <w:spacing w:val="-2"/>
        </w:rPr>
        <w:t xml:space="preserve">A institucionalização desses mecanismos consensuais no âmbito da jurisdição constitucional </w:t>
      </w:r>
      <w:r w:rsidR="00AD12C8" w:rsidRPr="00143082">
        <w:rPr>
          <w:spacing w:val="-2"/>
        </w:rPr>
        <w:t xml:space="preserve">vem sendo acompanhada de importantes manifestações públicas dos membros do Tribunal </w:t>
      </w:r>
      <w:r w:rsidR="00A5648A" w:rsidRPr="00143082">
        <w:rPr>
          <w:spacing w:val="-2"/>
        </w:rPr>
        <w:t xml:space="preserve">em defesa das vantagens que </w:t>
      </w:r>
      <w:proofErr w:type="gramStart"/>
      <w:r w:rsidR="00A5648A" w:rsidRPr="00143082">
        <w:rPr>
          <w:spacing w:val="-2"/>
        </w:rPr>
        <w:t>essa alternativa institucional trariam</w:t>
      </w:r>
      <w:proofErr w:type="gramEnd"/>
      <w:r w:rsidR="00A5648A" w:rsidRPr="00143082">
        <w:rPr>
          <w:spacing w:val="-2"/>
        </w:rPr>
        <w:t xml:space="preserve"> para o Poder Judiciário como um todo e para o STF em particular.</w:t>
      </w:r>
    </w:p>
    <w:p w14:paraId="178EEE2A" w14:textId="1D581DDF" w:rsidR="007E54B4" w:rsidRPr="00143082" w:rsidRDefault="007E54B4" w:rsidP="007E54B4">
      <w:pPr>
        <w:spacing w:line="360" w:lineRule="auto"/>
        <w:ind w:firstLine="709"/>
        <w:rPr>
          <w:spacing w:val="-2"/>
        </w:rPr>
      </w:pPr>
      <w:r w:rsidRPr="00143082">
        <w:rPr>
          <w:spacing w:val="-2"/>
        </w:rPr>
        <w:t xml:space="preserve">Em artigo publicado em sede doutrinária, </w:t>
      </w:r>
      <w:r w:rsidR="006736CF" w:rsidRPr="00143082">
        <w:rPr>
          <w:spacing w:val="-2"/>
        </w:rPr>
        <w:t xml:space="preserve">o </w:t>
      </w:r>
      <w:r w:rsidRPr="00143082">
        <w:rPr>
          <w:spacing w:val="-2"/>
        </w:rPr>
        <w:t>Min.</w:t>
      </w:r>
      <w:r w:rsidR="00FE1BBF" w:rsidRPr="00143082">
        <w:rPr>
          <w:spacing w:val="-2"/>
        </w:rPr>
        <w:t xml:space="preserve"> Luís Roberto</w:t>
      </w:r>
      <w:r w:rsidRPr="00143082">
        <w:rPr>
          <w:spacing w:val="-2"/>
        </w:rPr>
        <w:t xml:space="preserve"> Barroso destaca que, no contexto de expansão do papel da Corte e de “judicialização de temas morais, políticos e econômicos de alta complexidade”, a “abertura a soluções dialógicas e consensuais” consistiria em um mecanismo adicional para a “busca de respostas mais efetivas e sustentáveis” na jurisdição constitucional e que a “construção cooperativa de soluções poderia funcionar de modo mais “eficiente”, “legítimo” e “estável” do que “um pronunciamento vertical e definitivo” (</w:t>
      </w:r>
      <w:r w:rsidR="00F764F5" w:rsidRPr="00143082">
        <w:rPr>
          <w:spacing w:val="-2"/>
        </w:rPr>
        <w:t xml:space="preserve">ABBOUD e NAVARRO, 2025, </w:t>
      </w:r>
      <w:r w:rsidRPr="00143082">
        <w:rPr>
          <w:spacing w:val="-2"/>
        </w:rPr>
        <w:t>p. 9)</w:t>
      </w:r>
    </w:p>
    <w:p w14:paraId="5DD8652C" w14:textId="10F1754C" w:rsidR="007E54B4" w:rsidRPr="00143082" w:rsidRDefault="007E54B4" w:rsidP="007E54B4">
      <w:pPr>
        <w:spacing w:line="360" w:lineRule="auto"/>
        <w:ind w:firstLine="709"/>
        <w:rPr>
          <w:spacing w:val="-2"/>
        </w:rPr>
      </w:pPr>
      <w:r w:rsidRPr="00143082">
        <w:rPr>
          <w:spacing w:val="-2"/>
        </w:rPr>
        <w:t xml:space="preserve">O Min. Gilmar Mendes, por sua vez, defende que </w:t>
      </w:r>
      <w:r w:rsidR="0021453E" w:rsidRPr="00143082">
        <w:rPr>
          <w:spacing w:val="-2"/>
        </w:rPr>
        <w:t>a “</w:t>
      </w:r>
      <w:r w:rsidR="00FF69BE" w:rsidRPr="00143082">
        <w:rPr>
          <w:spacing w:val="-2"/>
        </w:rPr>
        <w:t xml:space="preserve">crescente complexidade” das relações sociais e dos litígios que delas emergem representaria um desafio à “capacidade operacional do Judiciário”, de modo que </w:t>
      </w:r>
      <w:r w:rsidR="008F26BE" w:rsidRPr="00143082">
        <w:rPr>
          <w:spacing w:val="-2"/>
        </w:rPr>
        <w:t>o enfrentamento à “crise de efetividade” demandaria “abordagens inovadoras”, dentre as quais se incluiria a “lógica consensual”</w:t>
      </w:r>
      <w:r w:rsidR="008346A4" w:rsidRPr="00143082">
        <w:rPr>
          <w:spacing w:val="-2"/>
        </w:rPr>
        <w:t xml:space="preserve"> (</w:t>
      </w:r>
      <w:r w:rsidR="00F764F5" w:rsidRPr="00143082">
        <w:rPr>
          <w:spacing w:val="-2"/>
        </w:rPr>
        <w:t xml:space="preserve">ABBOUD e NAVARRO, 2025, </w:t>
      </w:r>
      <w:r w:rsidR="00443F7E" w:rsidRPr="00143082">
        <w:rPr>
          <w:spacing w:val="-2"/>
        </w:rPr>
        <w:t>p. 7)</w:t>
      </w:r>
      <w:r w:rsidRPr="00143082">
        <w:rPr>
          <w:spacing w:val="-2"/>
        </w:rPr>
        <w:t>.</w:t>
      </w:r>
    </w:p>
    <w:p w14:paraId="0CD76DE4" w14:textId="55B6B8B2" w:rsidR="00443F7E" w:rsidRPr="00143082" w:rsidRDefault="00443F7E" w:rsidP="007E54B4">
      <w:pPr>
        <w:spacing w:line="360" w:lineRule="auto"/>
        <w:ind w:firstLine="709"/>
        <w:rPr>
          <w:spacing w:val="-2"/>
        </w:rPr>
      </w:pPr>
      <w:r w:rsidRPr="00143082">
        <w:rPr>
          <w:spacing w:val="-2"/>
        </w:rPr>
        <w:t xml:space="preserve">O STF, assim, estar-se-ia consolidando como “verdadeiro laboratório </w:t>
      </w:r>
      <w:r w:rsidR="00E33C90" w:rsidRPr="00143082">
        <w:rPr>
          <w:spacing w:val="-2"/>
        </w:rPr>
        <w:t>para a aplicação de métodos consensuais”, que representaria um “avanço significativo na qualidade d</w:t>
      </w:r>
      <w:r w:rsidR="00310A0A" w:rsidRPr="00143082">
        <w:rPr>
          <w:spacing w:val="-2"/>
        </w:rPr>
        <w:t xml:space="preserve">e sua prestação jurisdicional”. Essa abertura à consensualidade, assim, representaria </w:t>
      </w:r>
      <w:r w:rsidR="00602A07" w:rsidRPr="00143082">
        <w:rPr>
          <w:spacing w:val="-2"/>
        </w:rPr>
        <w:t xml:space="preserve">uma verdadeira </w:t>
      </w:r>
    </w:p>
    <w:p w14:paraId="60D72147" w14:textId="59AB9FF4" w:rsidR="00517451" w:rsidRPr="00143082" w:rsidRDefault="00602A07" w:rsidP="00517451">
      <w:pPr>
        <w:tabs>
          <w:tab w:val="num" w:pos="720"/>
        </w:tabs>
        <w:spacing w:line="360" w:lineRule="auto"/>
        <w:rPr>
          <w:spacing w:val="-2"/>
        </w:rPr>
      </w:pPr>
      <w:r w:rsidRPr="00143082">
        <w:rPr>
          <w:spacing w:val="-2"/>
        </w:rPr>
        <w:t xml:space="preserve">“reinvenção do constitucionalismo e do direito como um todo”, servindo como demonstração de que “a força da Constituição </w:t>
      </w:r>
      <w:r w:rsidR="00C753B3" w:rsidRPr="00143082">
        <w:rPr>
          <w:spacing w:val="-2"/>
        </w:rPr>
        <w:t>reside não apenas em sua impositividade, mas também em sua aptidão para fomentar o diálogo e construir legitimidade”</w:t>
      </w:r>
      <w:r w:rsidR="00823BF5" w:rsidRPr="00143082">
        <w:rPr>
          <w:spacing w:val="-2"/>
        </w:rPr>
        <w:t xml:space="preserve"> (</w:t>
      </w:r>
      <w:r w:rsidR="00F764F5" w:rsidRPr="00143082">
        <w:rPr>
          <w:spacing w:val="-2"/>
        </w:rPr>
        <w:t>ABBOUD e NAVARRO, 2025, p</w:t>
      </w:r>
      <w:r w:rsidR="00823BF5" w:rsidRPr="00143082">
        <w:rPr>
          <w:spacing w:val="-2"/>
        </w:rPr>
        <w:t>.</w:t>
      </w:r>
      <w:r w:rsidR="007A5653" w:rsidRPr="00143082">
        <w:rPr>
          <w:spacing w:val="-2"/>
        </w:rPr>
        <w:t>8)</w:t>
      </w:r>
      <w:r w:rsidR="00F01776" w:rsidRPr="00143082">
        <w:rPr>
          <w:spacing w:val="-2"/>
        </w:rPr>
        <w:t>.</w:t>
      </w:r>
    </w:p>
    <w:p w14:paraId="1565C6DE" w14:textId="4DC977D3" w:rsidR="00517451" w:rsidRPr="00143082" w:rsidRDefault="00517451" w:rsidP="00517451">
      <w:pPr>
        <w:spacing w:line="360" w:lineRule="auto"/>
        <w:ind w:firstLine="709"/>
        <w:rPr>
          <w:spacing w:val="-2"/>
        </w:rPr>
      </w:pPr>
      <w:r w:rsidRPr="00143082">
        <w:rPr>
          <w:spacing w:val="-2"/>
        </w:rPr>
        <w:t xml:space="preserve">Reforçando o contexto político e institucional que justificaria a adoção de soluções consensuais na jurisdição constitucional, o Ministro Luiz Fux defende que o “protagonismo deletério” assumido pelo STF nos últimos anos, a “corrosão” da credibilidade dos tribunais ao decidirem “questões permeadas por desacordos morais” e o fato de o Poder Judiciário ser instado a decidir questões para as quais não tem “capacidade institucional” gerariam um cenário </w:t>
      </w:r>
      <w:r w:rsidRPr="00143082">
        <w:rPr>
          <w:spacing w:val="-2"/>
        </w:rPr>
        <w:lastRenderedPageBreak/>
        <w:t>disfuncional, que incentiva a adoção dessa “função conciliatória” (</w:t>
      </w:r>
      <w:r w:rsidR="00F764F5" w:rsidRPr="00143082">
        <w:rPr>
          <w:spacing w:val="-2"/>
        </w:rPr>
        <w:t>ABBOUD e NAVARRO, 2025,</w:t>
      </w:r>
      <w:r w:rsidRPr="00143082">
        <w:rPr>
          <w:spacing w:val="-2"/>
        </w:rPr>
        <w:t xml:space="preserve"> p. 39).</w:t>
      </w:r>
    </w:p>
    <w:p w14:paraId="533A42C6" w14:textId="21846E51" w:rsidR="00A32F65" w:rsidRPr="00143082" w:rsidRDefault="00F52FFB" w:rsidP="00F52FFB">
      <w:pPr>
        <w:spacing w:line="360" w:lineRule="auto"/>
        <w:ind w:firstLine="709"/>
        <w:rPr>
          <w:spacing w:val="-2"/>
        </w:rPr>
      </w:pPr>
      <w:r w:rsidRPr="00143082">
        <w:rPr>
          <w:spacing w:val="-2"/>
        </w:rPr>
        <w:t>Para além dos Ministros acima citados, u</w:t>
      </w:r>
      <w:r w:rsidR="00D93D1D" w:rsidRPr="00143082">
        <w:rPr>
          <w:spacing w:val="-2"/>
        </w:rPr>
        <w:t xml:space="preserve">ma importante agente responsável pela institucionalização desses meios consensuais no âmbito do STF </w:t>
      </w:r>
      <w:r w:rsidRPr="00143082">
        <w:rPr>
          <w:spacing w:val="-2"/>
        </w:rPr>
        <w:t xml:space="preserve">foi </w:t>
      </w:r>
      <w:proofErr w:type="spellStart"/>
      <w:r w:rsidR="00300D60" w:rsidRPr="00143082">
        <w:rPr>
          <w:spacing w:val="-2"/>
        </w:rPr>
        <w:t>Trícia</w:t>
      </w:r>
      <w:proofErr w:type="spellEnd"/>
      <w:r w:rsidR="00300D60" w:rsidRPr="00143082">
        <w:rPr>
          <w:spacing w:val="-2"/>
        </w:rPr>
        <w:t xml:space="preserve"> Navarro</w:t>
      </w:r>
      <w:r w:rsidR="004B2917" w:rsidRPr="00143082">
        <w:rPr>
          <w:spacing w:val="-2"/>
        </w:rPr>
        <w:t>,</w:t>
      </w:r>
      <w:r w:rsidR="00F01AF1" w:rsidRPr="00143082">
        <w:rPr>
          <w:spacing w:val="-2"/>
        </w:rPr>
        <w:t xml:space="preserve"> Juíza de Direito no Tribunal de Justiça do Es</w:t>
      </w:r>
      <w:r w:rsidR="00123FED" w:rsidRPr="00143082">
        <w:rPr>
          <w:spacing w:val="-2"/>
        </w:rPr>
        <w:t>pírito Santo (TJES), com relevante produção doutrinária acerca d</w:t>
      </w:r>
      <w:r w:rsidR="00A32F65" w:rsidRPr="00143082">
        <w:rPr>
          <w:spacing w:val="-2"/>
        </w:rPr>
        <w:t xml:space="preserve">a “Justiça Multiportas” e que, </w:t>
      </w:r>
      <w:r w:rsidR="00EE670B" w:rsidRPr="00143082">
        <w:rPr>
          <w:spacing w:val="-2"/>
        </w:rPr>
        <w:t>desde 2023</w:t>
      </w:r>
      <w:r w:rsidR="00A32F65" w:rsidRPr="00143082">
        <w:rPr>
          <w:spacing w:val="-2"/>
        </w:rPr>
        <w:t>,</w:t>
      </w:r>
      <w:r w:rsidR="00EE670B" w:rsidRPr="00143082">
        <w:rPr>
          <w:spacing w:val="-2"/>
        </w:rPr>
        <w:t xml:space="preserve"> atua como</w:t>
      </w:r>
      <w:r w:rsidR="004B2917" w:rsidRPr="00143082">
        <w:rPr>
          <w:spacing w:val="-2"/>
        </w:rPr>
        <w:t xml:space="preserve"> Juíza Auxiliar da Presidência do STF </w:t>
      </w:r>
      <w:r w:rsidR="00EE670B" w:rsidRPr="00143082">
        <w:rPr>
          <w:spacing w:val="-2"/>
        </w:rPr>
        <w:t>e Supervisora do NUSOL</w:t>
      </w:r>
      <w:r w:rsidR="00A32F65" w:rsidRPr="00143082">
        <w:rPr>
          <w:spacing w:val="-2"/>
        </w:rPr>
        <w:t xml:space="preserve">/STF, tendo sido uma das responsáveis </w:t>
      </w:r>
      <w:r w:rsidR="00683B8E" w:rsidRPr="00143082">
        <w:rPr>
          <w:spacing w:val="-2"/>
        </w:rPr>
        <w:t>pela elaboração do Manual do NUSOL/STF em 2025.</w:t>
      </w:r>
    </w:p>
    <w:p w14:paraId="6576A62E" w14:textId="358DC161" w:rsidR="00284E2F" w:rsidRPr="00143082" w:rsidRDefault="00284E2F" w:rsidP="00284E2F">
      <w:pPr>
        <w:spacing w:line="360" w:lineRule="auto"/>
        <w:ind w:firstLine="709"/>
        <w:rPr>
          <w:spacing w:val="-2"/>
        </w:rPr>
      </w:pPr>
      <w:r w:rsidRPr="00143082">
        <w:rPr>
          <w:spacing w:val="-2"/>
        </w:rPr>
        <w:t xml:space="preserve">Em obra doutrinária, Navarro </w:t>
      </w:r>
      <w:r w:rsidR="009943FA" w:rsidRPr="00143082">
        <w:rPr>
          <w:spacing w:val="-2"/>
        </w:rPr>
        <w:t>aponta</w:t>
      </w:r>
      <w:r w:rsidRPr="00143082">
        <w:rPr>
          <w:spacing w:val="-2"/>
        </w:rPr>
        <w:t xml:space="preserve"> </w:t>
      </w:r>
      <w:r w:rsidR="009943FA" w:rsidRPr="00143082">
        <w:rPr>
          <w:spacing w:val="-2"/>
        </w:rPr>
        <w:t>que e</w:t>
      </w:r>
      <w:r w:rsidR="001A7D7C" w:rsidRPr="00143082">
        <w:rPr>
          <w:spacing w:val="-2"/>
        </w:rPr>
        <w:t xml:space="preserve">sses novos instrumentos da jurisdição constitucional, que buscam </w:t>
      </w:r>
      <w:r w:rsidR="0051494E" w:rsidRPr="00143082">
        <w:rPr>
          <w:spacing w:val="-2"/>
        </w:rPr>
        <w:t>preservar “o diálogo e o consenso com a sociedade e os demais Poderes”</w:t>
      </w:r>
      <w:r w:rsidR="003D653C" w:rsidRPr="00143082">
        <w:rPr>
          <w:spacing w:val="-2"/>
        </w:rPr>
        <w:t>, estariam alinhados com o papel do STF de “articular e estimular a colaboração”</w:t>
      </w:r>
      <w:r w:rsidR="00C31883" w:rsidRPr="00143082">
        <w:rPr>
          <w:spacing w:val="-2"/>
        </w:rPr>
        <w:t xml:space="preserve"> e </w:t>
      </w:r>
      <w:r w:rsidR="005E4E1C" w:rsidRPr="00143082">
        <w:rPr>
          <w:spacing w:val="-2"/>
        </w:rPr>
        <w:t xml:space="preserve">(i) </w:t>
      </w:r>
      <w:r w:rsidR="00C31883" w:rsidRPr="00143082">
        <w:rPr>
          <w:spacing w:val="-2"/>
        </w:rPr>
        <w:t xml:space="preserve">serviriam </w:t>
      </w:r>
      <w:r w:rsidR="00C52586" w:rsidRPr="00143082">
        <w:rPr>
          <w:spacing w:val="-2"/>
        </w:rPr>
        <w:t xml:space="preserve">para o Tribunal fortalecer a legitimidade de suas decisões </w:t>
      </w:r>
      <w:r w:rsidR="00C00C04" w:rsidRPr="00143082">
        <w:rPr>
          <w:spacing w:val="-2"/>
        </w:rPr>
        <w:t>“</w:t>
      </w:r>
      <w:r w:rsidR="00C52586" w:rsidRPr="00143082">
        <w:rPr>
          <w:spacing w:val="-2"/>
        </w:rPr>
        <w:t xml:space="preserve">ao </w:t>
      </w:r>
      <w:r w:rsidR="00FF101C" w:rsidRPr="00143082">
        <w:rPr>
          <w:spacing w:val="-2"/>
        </w:rPr>
        <w:t>demonstrar compromisso com o debate plural e o respeito às diferentes interpretações do Direito”, e (</w:t>
      </w:r>
      <w:proofErr w:type="spellStart"/>
      <w:r w:rsidR="00FF101C" w:rsidRPr="00143082">
        <w:rPr>
          <w:spacing w:val="-2"/>
        </w:rPr>
        <w:t>ii</w:t>
      </w:r>
      <w:proofErr w:type="spellEnd"/>
      <w:r w:rsidR="00FF101C" w:rsidRPr="00143082">
        <w:rPr>
          <w:spacing w:val="-2"/>
        </w:rPr>
        <w:t xml:space="preserve">) </w:t>
      </w:r>
      <w:r w:rsidR="005E4E1C" w:rsidRPr="00143082">
        <w:rPr>
          <w:spacing w:val="-2"/>
        </w:rPr>
        <w:t xml:space="preserve">contribuiriam para a “estabilidade das decisões” e </w:t>
      </w:r>
      <w:r w:rsidR="007A01DB" w:rsidRPr="00143082">
        <w:rPr>
          <w:spacing w:val="-2"/>
        </w:rPr>
        <w:t xml:space="preserve">para a “transparência do Poder Judiciário perante a </w:t>
      </w:r>
      <w:r w:rsidR="00C00C04" w:rsidRPr="00143082">
        <w:rPr>
          <w:spacing w:val="-2"/>
        </w:rPr>
        <w:t>sociedade</w:t>
      </w:r>
      <w:r w:rsidR="007A01DB" w:rsidRPr="00143082">
        <w:rPr>
          <w:spacing w:val="-2"/>
        </w:rPr>
        <w:t>”</w:t>
      </w:r>
      <w:r w:rsidRPr="00143082">
        <w:rPr>
          <w:spacing w:val="-2"/>
        </w:rPr>
        <w:t xml:space="preserve"> </w:t>
      </w:r>
      <w:r w:rsidR="00827479" w:rsidRPr="00143082">
        <w:rPr>
          <w:spacing w:val="-2"/>
        </w:rPr>
        <w:t>(</w:t>
      </w:r>
      <w:r w:rsidR="005A0031" w:rsidRPr="00143082">
        <w:rPr>
          <w:spacing w:val="-2"/>
        </w:rPr>
        <w:t xml:space="preserve">ABBOUD e NAVARRO, 2025, </w:t>
      </w:r>
      <w:r w:rsidR="00827479" w:rsidRPr="00143082">
        <w:rPr>
          <w:spacing w:val="-2"/>
        </w:rPr>
        <w:t>p. 11)</w:t>
      </w:r>
      <w:r w:rsidRPr="00143082">
        <w:rPr>
          <w:spacing w:val="-2"/>
        </w:rPr>
        <w:t>.</w:t>
      </w:r>
    </w:p>
    <w:p w14:paraId="13EFEF00" w14:textId="2785627B" w:rsidR="00E63BC0" w:rsidRPr="00143082" w:rsidRDefault="00E63BC0" w:rsidP="00284E2F">
      <w:pPr>
        <w:spacing w:line="360" w:lineRule="auto"/>
        <w:ind w:firstLine="709"/>
        <w:rPr>
          <w:spacing w:val="-2"/>
        </w:rPr>
      </w:pPr>
      <w:r w:rsidRPr="00143082">
        <w:rPr>
          <w:spacing w:val="-2"/>
        </w:rPr>
        <w:t xml:space="preserve">Ainda justificando a utilização desses mecanismos, </w:t>
      </w:r>
      <w:proofErr w:type="spellStart"/>
      <w:r w:rsidRPr="00143082">
        <w:rPr>
          <w:spacing w:val="-2"/>
        </w:rPr>
        <w:t>Trícia</w:t>
      </w:r>
      <w:proofErr w:type="spellEnd"/>
      <w:r w:rsidRPr="00143082">
        <w:rPr>
          <w:spacing w:val="-2"/>
        </w:rPr>
        <w:t xml:space="preserve"> Navarro esclarece que a “solução consensual na jurisdição constitucional”</w:t>
      </w:r>
      <w:r w:rsidR="00DB701C" w:rsidRPr="00143082">
        <w:rPr>
          <w:spacing w:val="-2"/>
        </w:rPr>
        <w:t xml:space="preserve"> não deve ser a regra, mas pode funcionar como “caminho eleito” nas hipóteses em que “a solução adjudicada </w:t>
      </w:r>
      <w:r w:rsidR="00163F8D" w:rsidRPr="00143082">
        <w:rPr>
          <w:spacing w:val="-2"/>
        </w:rPr>
        <w:t xml:space="preserve">não for capaz de trazer os resultados efetivos para a causa e nem estabelecer a </w:t>
      </w:r>
      <w:r w:rsidR="009C5990" w:rsidRPr="00143082">
        <w:rPr>
          <w:spacing w:val="-2"/>
        </w:rPr>
        <w:t xml:space="preserve">pacificação social”. As vantagens dessa </w:t>
      </w:r>
      <w:proofErr w:type="spellStart"/>
      <w:r w:rsidR="009C5990" w:rsidRPr="00143082">
        <w:rPr>
          <w:spacing w:val="-2"/>
        </w:rPr>
        <w:t>soluçao</w:t>
      </w:r>
      <w:proofErr w:type="spellEnd"/>
      <w:r w:rsidR="009C5990" w:rsidRPr="00143082">
        <w:rPr>
          <w:spacing w:val="-2"/>
        </w:rPr>
        <w:t xml:space="preserve">, por sua vez, consistiriam </w:t>
      </w:r>
      <w:r w:rsidR="00B67F2F" w:rsidRPr="00143082">
        <w:rPr>
          <w:spacing w:val="-2"/>
        </w:rPr>
        <w:t xml:space="preserve">no “empoderamento do cidadão”, “menor custo financeiro”, “ambiente mais informal”, </w:t>
      </w:r>
      <w:r w:rsidR="00E85153" w:rsidRPr="00143082">
        <w:rPr>
          <w:spacing w:val="-2"/>
        </w:rPr>
        <w:t xml:space="preserve">“fortalecimento das relações entre os envolvidos”, “solução mais célere”, medidas mais adequadas ao caso concreto”, menor risco de recurso, </w:t>
      </w:r>
      <w:r w:rsidR="007E5593" w:rsidRPr="00143082">
        <w:rPr>
          <w:spacing w:val="-2"/>
        </w:rPr>
        <w:t>soluções mais eficientes, maior satisfação dos envolvidos, e “encerramento de outras demandas judiciais” (</w:t>
      </w:r>
      <w:r w:rsidR="005A0031" w:rsidRPr="00143082">
        <w:rPr>
          <w:spacing w:val="-2"/>
        </w:rPr>
        <w:t xml:space="preserve">ABBOUD e NAVARRO, 2025, </w:t>
      </w:r>
      <w:r w:rsidR="00775C85" w:rsidRPr="00143082">
        <w:rPr>
          <w:spacing w:val="-2"/>
        </w:rPr>
        <w:t>75-76</w:t>
      </w:r>
      <w:r w:rsidR="001B2439" w:rsidRPr="00143082">
        <w:rPr>
          <w:spacing w:val="-2"/>
        </w:rPr>
        <w:t>)</w:t>
      </w:r>
      <w:r w:rsidR="00623422" w:rsidRPr="00143082">
        <w:rPr>
          <w:spacing w:val="-2"/>
        </w:rPr>
        <w:t>.</w:t>
      </w:r>
    </w:p>
    <w:p w14:paraId="0E1495BD" w14:textId="4AB2121B" w:rsidR="00F708F1" w:rsidRPr="00143082" w:rsidRDefault="00F708F1" w:rsidP="00284E2F">
      <w:pPr>
        <w:spacing w:line="360" w:lineRule="auto"/>
        <w:ind w:firstLine="709"/>
        <w:rPr>
          <w:spacing w:val="-2"/>
        </w:rPr>
      </w:pPr>
      <w:r w:rsidRPr="00143082">
        <w:rPr>
          <w:spacing w:val="-2"/>
        </w:rPr>
        <w:t xml:space="preserve">Do ponto de vista prático, </w:t>
      </w:r>
      <w:r w:rsidR="0066295E" w:rsidRPr="00143082">
        <w:rPr>
          <w:spacing w:val="-2"/>
        </w:rPr>
        <w:t>a análise dos</w:t>
      </w:r>
      <w:r w:rsidR="004A2014" w:rsidRPr="00143082">
        <w:rPr>
          <w:spacing w:val="-2"/>
        </w:rPr>
        <w:t xml:space="preserve"> principais </w:t>
      </w:r>
      <w:r w:rsidR="003A5DA4" w:rsidRPr="00143082">
        <w:rPr>
          <w:spacing w:val="-2"/>
        </w:rPr>
        <w:t xml:space="preserve">processos que vêm sendo submetidos à tentativa negocial de composição perante o STF </w:t>
      </w:r>
      <w:r w:rsidR="0066295E" w:rsidRPr="00143082">
        <w:rPr>
          <w:spacing w:val="-2"/>
        </w:rPr>
        <w:t xml:space="preserve">revela que, em parte, </w:t>
      </w:r>
      <w:r w:rsidR="00FB0525" w:rsidRPr="00143082">
        <w:rPr>
          <w:spacing w:val="-2"/>
        </w:rPr>
        <w:t>os problemas causados pela “judicialização” de temas politicamente sensíveis parecem ser mesmo a principal causa que leva o Tribunal a se abrir à lógica da consensualidade.</w:t>
      </w:r>
    </w:p>
    <w:p w14:paraId="2079C940" w14:textId="0B6AB27E" w:rsidR="00E855C9" w:rsidRPr="00143082" w:rsidRDefault="00E855C9" w:rsidP="00284E2F">
      <w:pPr>
        <w:spacing w:line="360" w:lineRule="auto"/>
        <w:ind w:firstLine="709"/>
        <w:rPr>
          <w:spacing w:val="-2"/>
        </w:rPr>
      </w:pPr>
      <w:r w:rsidRPr="00143082">
        <w:rPr>
          <w:spacing w:val="-2"/>
        </w:rPr>
        <w:t xml:space="preserve">Analisando empiricamente </w:t>
      </w:r>
      <w:r w:rsidR="003947B9" w:rsidRPr="00143082">
        <w:rPr>
          <w:spacing w:val="-2"/>
        </w:rPr>
        <w:t xml:space="preserve">os dados disponibilizados pelo NUSOL/STF até fevereiro de 2024, Maria Cecília de Araújo </w:t>
      </w:r>
      <w:proofErr w:type="spellStart"/>
      <w:r w:rsidR="003947B9" w:rsidRPr="00143082">
        <w:rPr>
          <w:spacing w:val="-2"/>
        </w:rPr>
        <w:t>Asperti</w:t>
      </w:r>
      <w:proofErr w:type="spellEnd"/>
      <w:r w:rsidR="003947B9" w:rsidRPr="00143082">
        <w:rPr>
          <w:spacing w:val="-2"/>
        </w:rPr>
        <w:t xml:space="preserve"> e Danieli Rocha </w:t>
      </w:r>
      <w:proofErr w:type="spellStart"/>
      <w:r w:rsidR="003947B9" w:rsidRPr="00143082">
        <w:rPr>
          <w:spacing w:val="-2"/>
        </w:rPr>
        <w:t>Chiuzuli</w:t>
      </w:r>
      <w:proofErr w:type="spellEnd"/>
      <w:r w:rsidR="003947B9" w:rsidRPr="00143082">
        <w:rPr>
          <w:spacing w:val="-2"/>
        </w:rPr>
        <w:t xml:space="preserve"> </w:t>
      </w:r>
      <w:r w:rsidR="008F08E4" w:rsidRPr="00143082">
        <w:rPr>
          <w:spacing w:val="-2"/>
        </w:rPr>
        <w:t xml:space="preserve">apontam </w:t>
      </w:r>
      <w:r w:rsidR="00840E48" w:rsidRPr="00143082">
        <w:rPr>
          <w:spacing w:val="-2"/>
        </w:rPr>
        <w:t>que</w:t>
      </w:r>
      <w:r w:rsidR="00215F3A" w:rsidRPr="00143082">
        <w:rPr>
          <w:spacing w:val="-2"/>
        </w:rPr>
        <w:t xml:space="preserve">, até aquele momento, </w:t>
      </w:r>
      <w:r w:rsidR="004C0F25" w:rsidRPr="00143082">
        <w:rPr>
          <w:spacing w:val="-2"/>
        </w:rPr>
        <w:t xml:space="preserve">alguns dos principais processos remetidos pelo STF à conciliação consistiam em ações de controle concentrado de constitucionalidade. Mais especificamente, as autoras apuraram que havia 13 </w:t>
      </w:r>
      <w:proofErr w:type="spellStart"/>
      <w:r w:rsidR="004C0F25" w:rsidRPr="00143082">
        <w:rPr>
          <w:spacing w:val="-2"/>
        </w:rPr>
        <w:t>ADIs</w:t>
      </w:r>
      <w:proofErr w:type="spellEnd"/>
      <w:r w:rsidR="004C0F25" w:rsidRPr="00143082">
        <w:rPr>
          <w:spacing w:val="-2"/>
        </w:rPr>
        <w:t xml:space="preserve"> (Ações Diretas de Inconstitucionalidade), </w:t>
      </w:r>
      <w:r w:rsidR="00330005" w:rsidRPr="00143082">
        <w:rPr>
          <w:spacing w:val="-2"/>
        </w:rPr>
        <w:t xml:space="preserve">4 ADPFs (Arguições de </w:t>
      </w:r>
      <w:r w:rsidR="00330005" w:rsidRPr="00143082">
        <w:rPr>
          <w:spacing w:val="-2"/>
        </w:rPr>
        <w:lastRenderedPageBreak/>
        <w:t>Descumprimento de Preceito Fundamental) e 1 ADO (Ação Direta de Inconstitucionalidade por Omissão)</w:t>
      </w:r>
      <w:r w:rsidR="00620953" w:rsidRPr="00143082">
        <w:rPr>
          <w:spacing w:val="-2"/>
        </w:rPr>
        <w:t xml:space="preserve"> (</w:t>
      </w:r>
      <w:r w:rsidR="00155C1A" w:rsidRPr="00143082">
        <w:rPr>
          <w:spacing w:val="-2"/>
        </w:rPr>
        <w:t xml:space="preserve">ASPERTI e CHIUZULI, 2024, </w:t>
      </w:r>
      <w:r w:rsidR="00620953" w:rsidRPr="00143082">
        <w:rPr>
          <w:spacing w:val="-2"/>
        </w:rPr>
        <w:t>p. 457).</w:t>
      </w:r>
    </w:p>
    <w:p w14:paraId="5353B158" w14:textId="03B2C5D8" w:rsidR="00374420" w:rsidRPr="00143082" w:rsidRDefault="001D64C5" w:rsidP="00284E2F">
      <w:pPr>
        <w:spacing w:line="360" w:lineRule="auto"/>
        <w:ind w:firstLine="709"/>
        <w:rPr>
          <w:spacing w:val="-2"/>
        </w:rPr>
      </w:pPr>
      <w:r w:rsidRPr="00143082">
        <w:rPr>
          <w:spacing w:val="-2"/>
        </w:rPr>
        <w:t xml:space="preserve">No que se refere </w:t>
      </w:r>
      <w:r w:rsidR="00F969CD" w:rsidRPr="00143082">
        <w:rPr>
          <w:spacing w:val="-2"/>
        </w:rPr>
        <w:t xml:space="preserve">aos principais assuntos discutidos nos casos que foram remetidos à conciliação, as autoras concluem que </w:t>
      </w:r>
      <w:r w:rsidR="007810D1" w:rsidRPr="00143082">
        <w:rPr>
          <w:spacing w:val="-2"/>
        </w:rPr>
        <w:t xml:space="preserve">“há um predomínio </w:t>
      </w:r>
      <w:r w:rsidR="003C68D0" w:rsidRPr="00143082">
        <w:rPr>
          <w:spacing w:val="-2"/>
        </w:rPr>
        <w:t xml:space="preserve">de questões ligadas a conflitos federativos, políticas públicas e outras questões de grande repercussão sociopolítica”, destacando casos </w:t>
      </w:r>
      <w:r w:rsidR="00FC6A35" w:rsidRPr="00143082">
        <w:rPr>
          <w:spacing w:val="-2"/>
        </w:rPr>
        <w:t xml:space="preserve">como </w:t>
      </w:r>
      <w:r w:rsidR="00FE2F86" w:rsidRPr="00143082">
        <w:rPr>
          <w:spacing w:val="-2"/>
        </w:rPr>
        <w:t xml:space="preserve">“conflitos entre entes federativos”, </w:t>
      </w:r>
      <w:r w:rsidR="00FC6A35" w:rsidRPr="00143082">
        <w:rPr>
          <w:spacing w:val="-2"/>
        </w:rPr>
        <w:t>“</w:t>
      </w:r>
      <w:r w:rsidR="00FE2F86" w:rsidRPr="00143082">
        <w:rPr>
          <w:spacing w:val="-2"/>
        </w:rPr>
        <w:t>r</w:t>
      </w:r>
      <w:r w:rsidR="00FC6A35" w:rsidRPr="00143082">
        <w:rPr>
          <w:spacing w:val="-2"/>
        </w:rPr>
        <w:t>oyalties devido</w:t>
      </w:r>
      <w:r w:rsidR="00FE2F86" w:rsidRPr="00143082">
        <w:rPr>
          <w:spacing w:val="-2"/>
        </w:rPr>
        <w:t xml:space="preserve">s da produção de petróleo e derivados”, </w:t>
      </w:r>
      <w:r w:rsidR="00DE4239" w:rsidRPr="00143082">
        <w:rPr>
          <w:spacing w:val="-2"/>
        </w:rPr>
        <w:t>“litígios estruturais e/ou envolvendo políticas públicas que carregam uma complexidade técnica e multidisciplinar</w:t>
      </w:r>
      <w:r w:rsidR="00374420" w:rsidRPr="00143082">
        <w:rPr>
          <w:spacing w:val="-2"/>
        </w:rPr>
        <w:t>” e “</w:t>
      </w:r>
      <w:proofErr w:type="spellStart"/>
      <w:r w:rsidR="00374420" w:rsidRPr="00143082">
        <w:rPr>
          <w:spacing w:val="-2"/>
        </w:rPr>
        <w:t>ADIs</w:t>
      </w:r>
      <w:proofErr w:type="spellEnd"/>
      <w:r w:rsidR="00374420" w:rsidRPr="00143082">
        <w:rPr>
          <w:spacing w:val="-2"/>
        </w:rPr>
        <w:t xml:space="preserve"> nas temáticas de concursos públicos e carreiras militares”</w:t>
      </w:r>
      <w:r w:rsidR="00D51CAF" w:rsidRPr="00143082">
        <w:rPr>
          <w:spacing w:val="-2"/>
        </w:rPr>
        <w:t xml:space="preserve"> (</w:t>
      </w:r>
      <w:r w:rsidR="00155C1A" w:rsidRPr="00143082">
        <w:rPr>
          <w:spacing w:val="-2"/>
        </w:rPr>
        <w:t xml:space="preserve">ASPERTI e CHIUZULI, 2024, </w:t>
      </w:r>
      <w:r w:rsidR="00D51CAF" w:rsidRPr="00143082">
        <w:rPr>
          <w:spacing w:val="-2"/>
        </w:rPr>
        <w:t>p. 481).</w:t>
      </w:r>
    </w:p>
    <w:p w14:paraId="1AB1D606" w14:textId="08689C42" w:rsidR="001D64C5" w:rsidRPr="00143082" w:rsidRDefault="006D7DBE" w:rsidP="00284E2F">
      <w:pPr>
        <w:spacing w:line="360" w:lineRule="auto"/>
        <w:ind w:firstLine="709"/>
        <w:rPr>
          <w:spacing w:val="-2"/>
        </w:rPr>
      </w:pPr>
      <w:r w:rsidRPr="00143082">
        <w:rPr>
          <w:spacing w:val="-2"/>
        </w:rPr>
        <w:t xml:space="preserve">Confirmando a hipótese acima levantada, as autoras </w:t>
      </w:r>
      <w:r w:rsidR="007C1F71" w:rsidRPr="00143082">
        <w:rPr>
          <w:spacing w:val="-2"/>
        </w:rPr>
        <w:t>apontam que</w:t>
      </w:r>
      <w:r w:rsidR="00374420" w:rsidRPr="00143082">
        <w:rPr>
          <w:spacing w:val="-2"/>
        </w:rPr>
        <w:t xml:space="preserve">, </w:t>
      </w:r>
      <w:r w:rsidR="00F96513" w:rsidRPr="00143082">
        <w:rPr>
          <w:spacing w:val="-2"/>
        </w:rPr>
        <w:t>em diversos casos</w:t>
      </w:r>
      <w:r w:rsidR="007C1F71" w:rsidRPr="00143082">
        <w:rPr>
          <w:spacing w:val="-2"/>
        </w:rPr>
        <w:t xml:space="preserve">, </w:t>
      </w:r>
      <w:r w:rsidR="00F96513" w:rsidRPr="00143082">
        <w:rPr>
          <w:spacing w:val="-2"/>
        </w:rPr>
        <w:t>foi possível observar a utilização da conciliação como alternativa para a busca de um “equilíbrio de arranjos político-institucionais”</w:t>
      </w:r>
      <w:r w:rsidR="00F520C0" w:rsidRPr="00143082">
        <w:rPr>
          <w:spacing w:val="-2"/>
        </w:rPr>
        <w:t>, a exemplo</w:t>
      </w:r>
      <w:r w:rsidR="00803B2A" w:rsidRPr="00143082">
        <w:rPr>
          <w:spacing w:val="-2"/>
        </w:rPr>
        <w:t xml:space="preserve"> (i)</w:t>
      </w:r>
      <w:r w:rsidR="00F520C0" w:rsidRPr="00143082">
        <w:rPr>
          <w:spacing w:val="-2"/>
        </w:rPr>
        <w:t xml:space="preserve"> dos “conflitos federativos”, em que “a conciliação se coloca como uma via para contornar uma possível desestabilização quanto às atribuições institucionais constitucionalmente previstas aos poderes</w:t>
      </w:r>
      <w:r w:rsidR="00803B2A" w:rsidRPr="00143082">
        <w:rPr>
          <w:spacing w:val="-2"/>
        </w:rPr>
        <w:t xml:space="preserve">”, </w:t>
      </w:r>
      <w:r w:rsidR="00316DF0" w:rsidRPr="00143082">
        <w:rPr>
          <w:spacing w:val="-2"/>
        </w:rPr>
        <w:t xml:space="preserve">e </w:t>
      </w:r>
      <w:r w:rsidR="00803B2A" w:rsidRPr="00143082">
        <w:rPr>
          <w:spacing w:val="-2"/>
        </w:rPr>
        <w:t>(</w:t>
      </w:r>
      <w:proofErr w:type="spellStart"/>
      <w:r w:rsidR="00803B2A" w:rsidRPr="00143082">
        <w:rPr>
          <w:spacing w:val="-2"/>
        </w:rPr>
        <w:t>ii</w:t>
      </w:r>
      <w:proofErr w:type="spellEnd"/>
      <w:r w:rsidR="00803B2A" w:rsidRPr="00143082">
        <w:rPr>
          <w:spacing w:val="-2"/>
        </w:rPr>
        <w:t xml:space="preserve">) dos “conflitos complexos e estruturais”, em que a conciliação é usada como “uma tentativa de ampliação do diálogo </w:t>
      </w:r>
      <w:r w:rsidR="00897D78" w:rsidRPr="00143082">
        <w:rPr>
          <w:spacing w:val="-2"/>
        </w:rPr>
        <w:t xml:space="preserve">institucional para maior adensamento técnico e argumentativo”, mas nos quais se constatam “importantes limitações </w:t>
      </w:r>
      <w:r w:rsidR="00DC1630" w:rsidRPr="00143082">
        <w:rPr>
          <w:spacing w:val="-2"/>
        </w:rPr>
        <w:t>no que diz respeito a uma efetiva ampliação da participação social de comunidades potencialmente afetadas pelas decisões”</w:t>
      </w:r>
      <w:r w:rsidR="00316DF0" w:rsidRPr="00143082">
        <w:rPr>
          <w:spacing w:val="-2"/>
        </w:rPr>
        <w:t xml:space="preserve"> (</w:t>
      </w:r>
      <w:r w:rsidR="00155C1A" w:rsidRPr="00143082">
        <w:rPr>
          <w:spacing w:val="-2"/>
        </w:rPr>
        <w:t xml:space="preserve">ASPERTI e CHIUZULI, 2024, </w:t>
      </w:r>
      <w:r w:rsidR="00316DF0" w:rsidRPr="00143082">
        <w:rPr>
          <w:spacing w:val="-2"/>
        </w:rPr>
        <w:t>p. 482).</w:t>
      </w:r>
    </w:p>
    <w:p w14:paraId="1CD2B3D5" w14:textId="273BDDF0" w:rsidR="00EC32C7" w:rsidRPr="00143082" w:rsidRDefault="007C1F71" w:rsidP="00EC32C7">
      <w:pPr>
        <w:spacing w:line="360" w:lineRule="auto"/>
        <w:ind w:firstLine="709"/>
        <w:rPr>
          <w:spacing w:val="-2"/>
        </w:rPr>
      </w:pPr>
      <w:r w:rsidRPr="00143082">
        <w:rPr>
          <w:spacing w:val="-2"/>
        </w:rPr>
        <w:t xml:space="preserve">Buscando </w:t>
      </w:r>
      <w:r w:rsidR="00584B3F" w:rsidRPr="00143082">
        <w:rPr>
          <w:spacing w:val="-2"/>
        </w:rPr>
        <w:t>delinear os contornos dos</w:t>
      </w:r>
      <w:r w:rsidR="00EC32C7" w:rsidRPr="00143082">
        <w:rPr>
          <w:spacing w:val="-2"/>
        </w:rPr>
        <w:t xml:space="preserve"> processos de controle concentrado de constitucionalidade submetidos à via </w:t>
      </w:r>
      <w:proofErr w:type="gramStart"/>
      <w:r w:rsidR="00EC32C7" w:rsidRPr="00143082">
        <w:rPr>
          <w:spacing w:val="-2"/>
        </w:rPr>
        <w:t xml:space="preserve">conciliatória, </w:t>
      </w:r>
      <w:r w:rsidR="00584B3F" w:rsidRPr="00143082">
        <w:rPr>
          <w:spacing w:val="-2"/>
        </w:rPr>
        <w:t xml:space="preserve"> </w:t>
      </w:r>
      <w:r w:rsidR="00143082">
        <w:rPr>
          <w:spacing w:val="-2"/>
        </w:rPr>
        <w:t>as</w:t>
      </w:r>
      <w:proofErr w:type="gramEnd"/>
      <w:r w:rsidR="00143082">
        <w:rPr>
          <w:spacing w:val="-2"/>
        </w:rPr>
        <w:t xml:space="preserve"> autoras</w:t>
      </w:r>
      <w:r w:rsidR="00D51CAF" w:rsidRPr="00143082">
        <w:rPr>
          <w:spacing w:val="-2"/>
        </w:rPr>
        <w:t xml:space="preserve"> indicam que, em regra, </w:t>
      </w:r>
      <w:r w:rsidR="001429B7" w:rsidRPr="00143082">
        <w:rPr>
          <w:spacing w:val="-2"/>
        </w:rPr>
        <w:t xml:space="preserve">o STF costuma contornar a análise de mérito acerca da constitucionalidade da matéria, “não colocando sob transação a declaração de constitucionalidade ou inconstitucionalidade, mas sim questões tangenciais existentes”. </w:t>
      </w:r>
      <w:r w:rsidR="00D83C94" w:rsidRPr="00143082">
        <w:rPr>
          <w:spacing w:val="-2"/>
        </w:rPr>
        <w:t xml:space="preserve">Assim, por vezes, as tratativas consensuais acabam assumindo outras finalidades, como “lidar com as circunstâncias conjunturais que levaram, justamente, ao questionamento </w:t>
      </w:r>
      <w:r w:rsidR="009F3328" w:rsidRPr="00143082">
        <w:rPr>
          <w:spacing w:val="-2"/>
        </w:rPr>
        <w:t>trazido pela via do processo constitucional”</w:t>
      </w:r>
      <w:r w:rsidR="0080539B" w:rsidRPr="00143082">
        <w:rPr>
          <w:spacing w:val="-2"/>
        </w:rPr>
        <w:t xml:space="preserve"> (</w:t>
      </w:r>
      <w:r w:rsidR="00155C1A" w:rsidRPr="00143082">
        <w:rPr>
          <w:spacing w:val="-2"/>
        </w:rPr>
        <w:t xml:space="preserve">ASPERTI e CHIUZULI, </w:t>
      </w:r>
      <w:r w:rsidR="0080539B" w:rsidRPr="00143082">
        <w:rPr>
          <w:spacing w:val="-2"/>
        </w:rPr>
        <w:t>p. 482).</w:t>
      </w:r>
    </w:p>
    <w:p w14:paraId="735C0DC5" w14:textId="28CA341C" w:rsidR="009F3328" w:rsidRPr="00143082" w:rsidRDefault="009F3328" w:rsidP="00EC32C7">
      <w:pPr>
        <w:spacing w:line="360" w:lineRule="auto"/>
        <w:ind w:firstLine="709"/>
        <w:rPr>
          <w:spacing w:val="-2"/>
        </w:rPr>
      </w:pPr>
      <w:r w:rsidRPr="00143082">
        <w:rPr>
          <w:spacing w:val="-2"/>
        </w:rPr>
        <w:t>Um dos principais problemas apontados pelas autoras nesses processos consiste n</w:t>
      </w:r>
      <w:r w:rsidR="0080539B" w:rsidRPr="00143082">
        <w:rPr>
          <w:spacing w:val="-2"/>
        </w:rPr>
        <w:t xml:space="preserve">o baixo grau de transparência, ou, mais especificamente, na “pouca clareza sobre a publicidade ou confidencialidade </w:t>
      </w:r>
      <w:r w:rsidR="001C02C8" w:rsidRPr="00143082">
        <w:rPr>
          <w:spacing w:val="-2"/>
        </w:rPr>
        <w:t xml:space="preserve">das tratativas”, o que demandaria o estabelecimento de “procedimentos com maior transparência e participação”. </w:t>
      </w:r>
      <w:r w:rsidR="00640DE3" w:rsidRPr="00143082">
        <w:rPr>
          <w:spacing w:val="-2"/>
        </w:rPr>
        <w:t>De todo modo, ao final da análise, as autoras concluem que a ampliação do número de casos submetidos à via consensual</w:t>
      </w:r>
      <w:r w:rsidR="00572F44" w:rsidRPr="00143082">
        <w:rPr>
          <w:spacing w:val="-2"/>
        </w:rPr>
        <w:t xml:space="preserve"> parece significar a “sedimentação de uma cultura institucional que agrega ao Tribunal, dentre as suas diversas atribuições, a de ‘Supremo conciliador’” (</w:t>
      </w:r>
      <w:r w:rsidR="00155C1A" w:rsidRPr="00143082">
        <w:rPr>
          <w:spacing w:val="-2"/>
        </w:rPr>
        <w:t>ASPERTI e CHIUZULI, 2024</w:t>
      </w:r>
      <w:r w:rsidR="00F6519A" w:rsidRPr="00143082">
        <w:rPr>
          <w:spacing w:val="-2"/>
        </w:rPr>
        <w:t xml:space="preserve">, </w:t>
      </w:r>
      <w:r w:rsidR="00572F44" w:rsidRPr="00143082">
        <w:rPr>
          <w:spacing w:val="-2"/>
        </w:rPr>
        <w:t>p. 483).</w:t>
      </w:r>
    </w:p>
    <w:p w14:paraId="4AE7AAEE" w14:textId="77777777" w:rsidR="007651DA" w:rsidRDefault="007651DA" w:rsidP="004208CB">
      <w:pPr>
        <w:tabs>
          <w:tab w:val="num" w:pos="720"/>
        </w:tabs>
        <w:spacing w:line="360" w:lineRule="auto"/>
      </w:pPr>
    </w:p>
    <w:p w14:paraId="5D8C768F" w14:textId="549406BA" w:rsidR="005547D8" w:rsidRDefault="00D50E13" w:rsidP="00D50E13">
      <w:pPr>
        <w:pStyle w:val="Ttulo1"/>
        <w:spacing w:after="240" w:line="360" w:lineRule="auto"/>
      </w:pPr>
      <w:r>
        <w:rPr>
          <w:szCs w:val="24"/>
        </w:rPr>
        <w:lastRenderedPageBreak/>
        <w:t xml:space="preserve">3. </w:t>
      </w:r>
      <w:r w:rsidR="00143082">
        <w:rPr>
          <w:caps w:val="0"/>
          <w:szCs w:val="24"/>
        </w:rPr>
        <w:t>STF: da ampliação de poderes à consensualização do controle de constitucionalidade</w:t>
      </w:r>
    </w:p>
    <w:p w14:paraId="5435D0B2" w14:textId="2BA554FC" w:rsidR="001E2A2C" w:rsidRPr="00143082" w:rsidRDefault="00D451CB" w:rsidP="00096ECC">
      <w:pPr>
        <w:spacing w:line="360" w:lineRule="auto"/>
        <w:ind w:firstLine="709"/>
        <w:rPr>
          <w:spacing w:val="-2"/>
        </w:rPr>
      </w:pPr>
      <w:r w:rsidRPr="00143082">
        <w:rPr>
          <w:spacing w:val="-2"/>
        </w:rPr>
        <w:t>O</w:t>
      </w:r>
      <w:r w:rsidR="00096ECC" w:rsidRPr="00143082">
        <w:rPr>
          <w:spacing w:val="-2"/>
        </w:rPr>
        <w:t xml:space="preserve"> que se observa da análise histórica desenvolvida acima é que a principal causa </w:t>
      </w:r>
      <w:r w:rsidR="00137EA2" w:rsidRPr="00143082">
        <w:rPr>
          <w:spacing w:val="-2"/>
        </w:rPr>
        <w:t xml:space="preserve">histórica </w:t>
      </w:r>
      <w:r w:rsidR="00096ECC" w:rsidRPr="00143082">
        <w:rPr>
          <w:spacing w:val="-2"/>
        </w:rPr>
        <w:t xml:space="preserve">para a introdução da consensualidade </w:t>
      </w:r>
      <w:r w:rsidR="009B3B42" w:rsidRPr="00143082">
        <w:rPr>
          <w:spacing w:val="-2"/>
        </w:rPr>
        <w:t xml:space="preserve">no </w:t>
      </w:r>
      <w:r w:rsidR="00096ECC" w:rsidRPr="00143082">
        <w:rPr>
          <w:spacing w:val="-2"/>
        </w:rPr>
        <w:t xml:space="preserve">controle </w:t>
      </w:r>
      <w:r w:rsidR="009B3B42" w:rsidRPr="00143082">
        <w:rPr>
          <w:spacing w:val="-2"/>
        </w:rPr>
        <w:t>abstrato</w:t>
      </w:r>
      <w:r w:rsidR="00096ECC" w:rsidRPr="00143082">
        <w:rPr>
          <w:spacing w:val="-2"/>
        </w:rPr>
        <w:t xml:space="preserve"> de constitucionalidade consistiu no </w:t>
      </w:r>
      <w:r w:rsidR="001E2A2C" w:rsidRPr="00143082">
        <w:rPr>
          <w:spacing w:val="-2"/>
        </w:rPr>
        <w:t>gradativo aprofundamento</w:t>
      </w:r>
      <w:r w:rsidR="00096ECC" w:rsidRPr="00143082">
        <w:rPr>
          <w:spacing w:val="-2"/>
        </w:rPr>
        <w:t xml:space="preserve"> </w:t>
      </w:r>
      <w:r w:rsidR="009B3B42" w:rsidRPr="00143082">
        <w:rPr>
          <w:spacing w:val="-2"/>
        </w:rPr>
        <w:t>d</w:t>
      </w:r>
      <w:r w:rsidR="00212A10" w:rsidRPr="00143082">
        <w:rPr>
          <w:spacing w:val="-2"/>
        </w:rPr>
        <w:t>o fenômeno da</w:t>
      </w:r>
      <w:r w:rsidR="00096ECC" w:rsidRPr="00143082">
        <w:rPr>
          <w:spacing w:val="-2"/>
        </w:rPr>
        <w:t xml:space="preserve"> </w:t>
      </w:r>
      <w:r w:rsidR="001E2A2C" w:rsidRPr="00143082">
        <w:rPr>
          <w:spacing w:val="-2"/>
        </w:rPr>
        <w:t>“</w:t>
      </w:r>
      <w:r w:rsidR="00096ECC" w:rsidRPr="00143082">
        <w:rPr>
          <w:spacing w:val="-2"/>
        </w:rPr>
        <w:t>judicialização</w:t>
      </w:r>
      <w:r w:rsidR="001E2A2C" w:rsidRPr="00143082">
        <w:rPr>
          <w:spacing w:val="-2"/>
        </w:rPr>
        <w:t>”</w:t>
      </w:r>
      <w:r w:rsidR="007D1A65" w:rsidRPr="00143082">
        <w:rPr>
          <w:spacing w:val="-2"/>
        </w:rPr>
        <w:t xml:space="preserve">. </w:t>
      </w:r>
      <w:r w:rsidR="00212A10" w:rsidRPr="00143082">
        <w:rPr>
          <w:spacing w:val="-2"/>
        </w:rPr>
        <w:t>Em razão disso, o</w:t>
      </w:r>
      <w:r w:rsidR="001E2A2C" w:rsidRPr="00143082">
        <w:rPr>
          <w:spacing w:val="-2"/>
        </w:rPr>
        <w:t xml:space="preserve">s principais objetivos a serem alcançados com esse novo arranjo jurídico-institucional, </w:t>
      </w:r>
      <w:r w:rsidR="005904DA" w:rsidRPr="00143082">
        <w:rPr>
          <w:spacing w:val="-2"/>
        </w:rPr>
        <w:t xml:space="preserve">consistem, em primeiro lugar, na promoção da eficiência na prestação jurisdicional, </w:t>
      </w:r>
      <w:r w:rsidR="00B84E20" w:rsidRPr="00143082">
        <w:rPr>
          <w:spacing w:val="-2"/>
        </w:rPr>
        <w:t>que decorreria</w:t>
      </w:r>
      <w:r w:rsidR="00DD5189" w:rsidRPr="00143082">
        <w:rPr>
          <w:spacing w:val="-2"/>
        </w:rPr>
        <w:t xml:space="preserve"> da aceleração da tomada de uma decisão definitiva </w:t>
      </w:r>
      <w:r w:rsidR="00B84E20" w:rsidRPr="00143082">
        <w:rPr>
          <w:spacing w:val="-2"/>
        </w:rPr>
        <w:t xml:space="preserve">e </w:t>
      </w:r>
      <w:r w:rsidR="002F3624" w:rsidRPr="00143082">
        <w:rPr>
          <w:spacing w:val="-2"/>
        </w:rPr>
        <w:t xml:space="preserve">da </w:t>
      </w:r>
      <w:r w:rsidR="00B84E20" w:rsidRPr="00143082">
        <w:rPr>
          <w:spacing w:val="-2"/>
        </w:rPr>
        <w:t>redução da probabilidade de interposição de recursos</w:t>
      </w:r>
      <w:r w:rsidR="00D11F41" w:rsidRPr="00143082">
        <w:rPr>
          <w:spacing w:val="-2"/>
        </w:rPr>
        <w:t xml:space="preserve"> por quaisquer das partes, e, em segundo lugar, na tentativa de reforçar a legitimidade do STF, ao permitir que os agentes diretamente afetados </w:t>
      </w:r>
      <w:r w:rsidR="00212A10" w:rsidRPr="00143082">
        <w:rPr>
          <w:spacing w:val="-2"/>
        </w:rPr>
        <w:t xml:space="preserve">por sua </w:t>
      </w:r>
      <w:r w:rsidR="00D11F41" w:rsidRPr="00143082">
        <w:rPr>
          <w:spacing w:val="-2"/>
        </w:rPr>
        <w:t>decisão possam dela participar de modo mais ativo</w:t>
      </w:r>
      <w:r w:rsidR="00D20001" w:rsidRPr="00143082">
        <w:rPr>
          <w:spacing w:val="-2"/>
        </w:rPr>
        <w:t>.</w:t>
      </w:r>
    </w:p>
    <w:p w14:paraId="55A6A2B8" w14:textId="5FD36277" w:rsidR="006B571B" w:rsidRPr="00143082" w:rsidRDefault="006B571B" w:rsidP="006B571B">
      <w:pPr>
        <w:spacing w:line="360" w:lineRule="auto"/>
        <w:ind w:firstLine="709"/>
        <w:rPr>
          <w:spacing w:val="-2"/>
        </w:rPr>
      </w:pPr>
      <w:r w:rsidRPr="006B571B">
        <w:rPr>
          <w:spacing w:val="-2"/>
        </w:rPr>
        <w:t>A partir dessa constatação, torna-se necessário compreender por qu</w:t>
      </w:r>
      <w:r w:rsidRPr="00143082">
        <w:rPr>
          <w:spacing w:val="-2"/>
        </w:rPr>
        <w:t>e</w:t>
      </w:r>
      <w:r w:rsidRPr="006B571B">
        <w:rPr>
          <w:spacing w:val="-2"/>
        </w:rPr>
        <w:t xml:space="preserve"> a consensualidade emergiu justamente no contexto do controle concentrado de constitucionalidade. Esse movimento não pode ser explicado apenas por escolhas administrativas pontuais </w:t>
      </w:r>
      <w:r w:rsidRPr="00143082">
        <w:rPr>
          <w:spacing w:val="-2"/>
        </w:rPr>
        <w:t xml:space="preserve">e discricionárias </w:t>
      </w:r>
      <w:r w:rsidR="007D1A65" w:rsidRPr="00143082">
        <w:rPr>
          <w:spacing w:val="-2"/>
        </w:rPr>
        <w:t xml:space="preserve">dos Presidentes </w:t>
      </w:r>
      <w:r w:rsidRPr="006B571B">
        <w:rPr>
          <w:spacing w:val="-2"/>
        </w:rPr>
        <w:t>do STF</w:t>
      </w:r>
      <w:r w:rsidR="007D1A65" w:rsidRPr="00143082">
        <w:rPr>
          <w:spacing w:val="-2"/>
        </w:rPr>
        <w:t xml:space="preserve"> e de alguns de seus Ministros</w:t>
      </w:r>
      <w:r w:rsidRPr="006B571B">
        <w:rPr>
          <w:spacing w:val="-2"/>
        </w:rPr>
        <w:t>, mas deve ser situado em um fenômeno mais amplo: a intensificação da judicialização das relações políticas e sociais no Brasil e a consequente expansão do papel do Supremo Tribunal Federal como ator central na arena pública pós-1988.</w:t>
      </w:r>
    </w:p>
    <w:p w14:paraId="5BECAF7B" w14:textId="77777777" w:rsidR="00302753" w:rsidRPr="00143082" w:rsidRDefault="00302753" w:rsidP="003112BC">
      <w:pPr>
        <w:spacing w:line="360" w:lineRule="auto"/>
        <w:ind w:firstLine="709"/>
        <w:rPr>
          <w:spacing w:val="-2"/>
          <w:shd w:val="clear" w:color="auto" w:fill="FFFFFF"/>
        </w:rPr>
      </w:pPr>
      <w:r w:rsidRPr="00143082">
        <w:rPr>
          <w:spacing w:val="-2"/>
          <w:shd w:val="clear" w:color="auto" w:fill="FFFFFF"/>
        </w:rPr>
        <w:t xml:space="preserve">O termo </w:t>
      </w:r>
      <w:r w:rsidR="002469A3" w:rsidRPr="00143082">
        <w:rPr>
          <w:spacing w:val="-2"/>
          <w:shd w:val="clear" w:color="auto" w:fill="FFFFFF"/>
        </w:rPr>
        <w:t>“</w:t>
      </w:r>
      <w:r w:rsidRPr="00143082">
        <w:rPr>
          <w:spacing w:val="-2"/>
          <w:shd w:val="clear" w:color="auto" w:fill="FFFFFF"/>
        </w:rPr>
        <w:t>j</w:t>
      </w:r>
      <w:r w:rsidR="002469A3" w:rsidRPr="00143082">
        <w:rPr>
          <w:spacing w:val="-2"/>
          <w:shd w:val="clear" w:color="auto" w:fill="FFFFFF"/>
        </w:rPr>
        <w:t>udicialização</w:t>
      </w:r>
      <w:r w:rsidR="00523CB2" w:rsidRPr="00143082">
        <w:rPr>
          <w:spacing w:val="-2"/>
          <w:shd w:val="clear" w:color="auto" w:fill="FFFFFF"/>
        </w:rPr>
        <w:t>”</w:t>
      </w:r>
      <w:r w:rsidR="002469A3" w:rsidRPr="00143082">
        <w:rPr>
          <w:spacing w:val="-2"/>
          <w:shd w:val="clear" w:color="auto" w:fill="FFFFFF"/>
        </w:rPr>
        <w:t xml:space="preserve"> </w:t>
      </w:r>
      <w:r w:rsidRPr="00143082">
        <w:rPr>
          <w:spacing w:val="-2"/>
          <w:shd w:val="clear" w:color="auto" w:fill="FFFFFF"/>
        </w:rPr>
        <w:t>costuma ser utilizado</w:t>
      </w:r>
      <w:r w:rsidR="00533AAE" w:rsidRPr="00143082">
        <w:rPr>
          <w:spacing w:val="-2"/>
          <w:shd w:val="clear" w:color="auto" w:fill="FFFFFF"/>
        </w:rPr>
        <w:t xml:space="preserve"> para designar o fenômeno </w:t>
      </w:r>
      <w:r w:rsidR="00EC24B1" w:rsidRPr="00143082">
        <w:rPr>
          <w:spacing w:val="-2"/>
          <w:shd w:val="clear" w:color="auto" w:fill="FFFFFF"/>
        </w:rPr>
        <w:t xml:space="preserve">pelo qual </w:t>
      </w:r>
      <w:r w:rsidR="00D91401" w:rsidRPr="00143082">
        <w:rPr>
          <w:spacing w:val="-2"/>
          <w:shd w:val="clear" w:color="auto" w:fill="FFFFFF"/>
        </w:rPr>
        <w:t xml:space="preserve">questões </w:t>
      </w:r>
      <w:r w:rsidRPr="00143082">
        <w:rPr>
          <w:spacing w:val="-2"/>
          <w:shd w:val="clear" w:color="auto" w:fill="FFFFFF"/>
        </w:rPr>
        <w:t>de grande sensibilidade política, econômica, social ou moral</w:t>
      </w:r>
      <w:r w:rsidR="00D91401" w:rsidRPr="00143082">
        <w:rPr>
          <w:spacing w:val="-2"/>
          <w:shd w:val="clear" w:color="auto" w:fill="FFFFFF"/>
        </w:rPr>
        <w:t xml:space="preserve"> acabam sendo deslocadas para o âmbito da atividade jurisdicional, </w:t>
      </w:r>
      <w:r w:rsidR="00FE542B" w:rsidRPr="00143082">
        <w:rPr>
          <w:spacing w:val="-2"/>
          <w:shd w:val="clear" w:color="auto" w:fill="FFFFFF"/>
        </w:rPr>
        <w:t>atribuindo-se</w:t>
      </w:r>
      <w:r w:rsidR="003112BC" w:rsidRPr="00143082">
        <w:rPr>
          <w:spacing w:val="-2"/>
          <w:shd w:val="clear" w:color="auto" w:fill="FFFFFF"/>
        </w:rPr>
        <w:t xml:space="preserve"> ao Poder Judiciário o poder de decidi-las definitivamente</w:t>
      </w:r>
      <w:r w:rsidR="002469A3" w:rsidRPr="00143082">
        <w:rPr>
          <w:spacing w:val="-2"/>
          <w:shd w:val="clear" w:color="auto" w:fill="FFFFFF"/>
        </w:rPr>
        <w:t>.</w:t>
      </w:r>
      <w:r w:rsidR="002469A3" w:rsidRPr="00143082">
        <w:rPr>
          <w:rStyle w:val="Refdenotaderodap"/>
          <w:rFonts w:eastAsiaTheme="majorEastAsia"/>
          <w:spacing w:val="-2"/>
          <w:shd w:val="clear" w:color="auto" w:fill="FFFFFF"/>
        </w:rPr>
        <w:footnoteReference w:id="14"/>
      </w:r>
    </w:p>
    <w:p w14:paraId="2432BFC5" w14:textId="2E669930" w:rsidR="002469A3" w:rsidRPr="00143082" w:rsidRDefault="002469A3" w:rsidP="003112BC">
      <w:pPr>
        <w:spacing w:line="360" w:lineRule="auto"/>
        <w:ind w:firstLine="709"/>
        <w:rPr>
          <w:spacing w:val="-2"/>
          <w:shd w:val="clear" w:color="auto" w:fill="FFFFFF"/>
        </w:rPr>
      </w:pPr>
      <w:r w:rsidRPr="00143082">
        <w:rPr>
          <w:spacing w:val="-2"/>
          <w:shd w:val="clear" w:color="auto" w:fill="FFFFFF"/>
        </w:rPr>
        <w:t xml:space="preserve">Para </w:t>
      </w:r>
      <w:proofErr w:type="spellStart"/>
      <w:r w:rsidRPr="00143082">
        <w:rPr>
          <w:spacing w:val="-2"/>
          <w:shd w:val="clear" w:color="auto" w:fill="FFFFFF"/>
        </w:rPr>
        <w:t>Lenio</w:t>
      </w:r>
      <w:proofErr w:type="spellEnd"/>
      <w:r w:rsidRPr="00143082">
        <w:rPr>
          <w:spacing w:val="-2"/>
          <w:shd w:val="clear" w:color="auto" w:fill="FFFFFF"/>
        </w:rPr>
        <w:t xml:space="preserve"> Streck, Clarissa Tassinari e Adriano Lepper, o fenômeno está intimamente ligado às “transformações ocorridas no Direito com o advento de um novo texto constitucional” e à principal marca da passagem do Estado Social para o Estado Democrático de Direito: “um deslocamento do polo de tensão do Executivo para o Judiciário”. Trata-se, portanto, de “uma questão social”, contingente, que “não depende do desejo ou da vontade do órgão judicante”, vez que deriva, na verdade, de “fatores originalmente alheios à jurisdição, que “possuem seu ponto inicial em um maior e mais amplo reconhecimento de direitos, passam pela ineficiência do </w:t>
      </w:r>
      <w:r w:rsidRPr="00143082">
        <w:rPr>
          <w:spacing w:val="-2"/>
        </w:rPr>
        <w:t>Estado</w:t>
      </w:r>
      <w:r w:rsidRPr="00143082">
        <w:rPr>
          <w:spacing w:val="-2"/>
          <w:shd w:val="clear" w:color="auto" w:fill="FFFFFF"/>
        </w:rPr>
        <w:t xml:space="preserve"> em implementá-los e culminam no aumento da litigiosidade — característica da sociedade de massas”</w:t>
      </w:r>
      <w:r w:rsidR="0035034C" w:rsidRPr="00143082">
        <w:rPr>
          <w:spacing w:val="-2"/>
          <w:shd w:val="clear" w:color="auto" w:fill="FFFFFF"/>
        </w:rPr>
        <w:t xml:space="preserve"> (STRECK, TASSINARI e LEPPER, 2015, p. 56).</w:t>
      </w:r>
    </w:p>
    <w:p w14:paraId="7CAFF9C9" w14:textId="514A7D4C" w:rsidR="00BA4E63" w:rsidRPr="00143082" w:rsidRDefault="002469A3" w:rsidP="00524304">
      <w:pPr>
        <w:spacing w:line="360" w:lineRule="auto"/>
        <w:ind w:firstLine="709"/>
        <w:rPr>
          <w:spacing w:val="-2"/>
          <w:shd w:val="clear" w:color="auto" w:fill="FFFFFF"/>
        </w:rPr>
      </w:pPr>
      <w:r w:rsidRPr="00143082">
        <w:rPr>
          <w:spacing w:val="-2"/>
          <w:shd w:val="clear" w:color="auto" w:fill="FFFFFF"/>
        </w:rPr>
        <w:lastRenderedPageBreak/>
        <w:t xml:space="preserve">Para Barroso, </w:t>
      </w:r>
      <w:r w:rsidR="00FE542B" w:rsidRPr="00143082">
        <w:rPr>
          <w:spacing w:val="-2"/>
          <w:shd w:val="clear" w:color="auto" w:fill="FFFFFF"/>
        </w:rPr>
        <w:t>esse</w:t>
      </w:r>
      <w:r w:rsidRPr="00143082">
        <w:rPr>
          <w:spacing w:val="-2"/>
          <w:shd w:val="clear" w:color="auto" w:fill="FFFFFF"/>
        </w:rPr>
        <w:t xml:space="preserve"> fenômeno pode ser analisado sob duas perspectivas</w:t>
      </w:r>
      <w:r w:rsidR="00CF05DA" w:rsidRPr="00143082">
        <w:rPr>
          <w:spacing w:val="-2"/>
          <w:shd w:val="clear" w:color="auto" w:fill="FFFFFF"/>
        </w:rPr>
        <w:t>, a “judicialização quantitativa” e a “judicialização qualitativa”</w:t>
      </w:r>
      <w:r w:rsidRPr="00143082">
        <w:rPr>
          <w:spacing w:val="-2"/>
          <w:shd w:val="clear" w:color="auto" w:fill="FFFFFF"/>
        </w:rPr>
        <w:t>.</w:t>
      </w:r>
      <w:r w:rsidR="0035034C" w:rsidRPr="00143082">
        <w:rPr>
          <w:spacing w:val="-2"/>
          <w:shd w:val="clear" w:color="auto" w:fill="FFFFFF"/>
        </w:rPr>
        <w:t xml:space="preserve"> </w:t>
      </w:r>
      <w:r w:rsidRPr="00143082">
        <w:rPr>
          <w:spacing w:val="-2"/>
          <w:shd w:val="clear" w:color="auto" w:fill="FFFFFF"/>
        </w:rPr>
        <w:t xml:space="preserve">Por um lado, </w:t>
      </w:r>
      <w:r w:rsidR="00CF05DA" w:rsidRPr="00143082">
        <w:rPr>
          <w:spacing w:val="-2"/>
          <w:shd w:val="clear" w:color="auto" w:fill="FFFFFF"/>
        </w:rPr>
        <w:t xml:space="preserve">a </w:t>
      </w:r>
      <w:r w:rsidRPr="00143082">
        <w:rPr>
          <w:spacing w:val="-2"/>
          <w:shd w:val="clear" w:color="auto" w:fill="FFFFFF"/>
        </w:rPr>
        <w:t>“judicialização quantitativa</w:t>
      </w:r>
      <w:r w:rsidR="00CF05DA" w:rsidRPr="00143082">
        <w:rPr>
          <w:spacing w:val="-2"/>
          <w:shd w:val="clear" w:color="auto" w:fill="FFFFFF"/>
        </w:rPr>
        <w:t>” se refere à “</w:t>
      </w:r>
      <w:r w:rsidRPr="00143082">
        <w:rPr>
          <w:spacing w:val="-2"/>
          <w:shd w:val="clear" w:color="auto" w:fill="FFFFFF"/>
        </w:rPr>
        <w:t>explosão de litigiosidade no país, que se manifesta na existência de um número espantoso de ações judiciais em curso”.  Aqui, “os aspectos negativos são mais proeminentes”, na medida em que o excesso de litigiosidade documenta “(i) o reiterado descumprimento de deveres e obrigações por parte de grande número de pessoas”; e “(</w:t>
      </w:r>
      <w:proofErr w:type="spellStart"/>
      <w:r w:rsidRPr="00143082">
        <w:rPr>
          <w:spacing w:val="-2"/>
          <w:shd w:val="clear" w:color="auto" w:fill="FFFFFF"/>
        </w:rPr>
        <w:t>ii</w:t>
      </w:r>
      <w:proofErr w:type="spellEnd"/>
      <w:r w:rsidRPr="00143082">
        <w:rPr>
          <w:spacing w:val="-2"/>
          <w:shd w:val="clear" w:color="auto" w:fill="FFFFFF"/>
        </w:rPr>
        <w:t>) grande espírito de emulação por parte de outras”</w:t>
      </w:r>
      <w:r w:rsidR="0040557A" w:rsidRPr="00143082">
        <w:rPr>
          <w:spacing w:val="-2"/>
          <w:shd w:val="clear" w:color="auto" w:fill="FFFFFF"/>
        </w:rPr>
        <w:t xml:space="preserve"> (BARROSO, 2018, p. 22-23).</w:t>
      </w:r>
    </w:p>
    <w:p w14:paraId="2650AEA5" w14:textId="12462666" w:rsidR="002469A3" w:rsidRPr="00143082" w:rsidRDefault="002469A3" w:rsidP="00524304">
      <w:pPr>
        <w:spacing w:line="360" w:lineRule="auto"/>
        <w:ind w:firstLine="709"/>
        <w:rPr>
          <w:spacing w:val="-2"/>
          <w:shd w:val="clear" w:color="auto" w:fill="FFFFFF"/>
        </w:rPr>
      </w:pPr>
      <w:r w:rsidRPr="00143082">
        <w:rPr>
          <w:spacing w:val="-2"/>
          <w:shd w:val="clear" w:color="auto" w:fill="FFFFFF"/>
        </w:rPr>
        <w:t xml:space="preserve">Corroborando tais argumentos, a edição mais recente do Relatório Justiça em Números, </w:t>
      </w:r>
      <w:r w:rsidRPr="00143082">
        <w:rPr>
          <w:spacing w:val="-2"/>
        </w:rPr>
        <w:t>elaborado</w:t>
      </w:r>
      <w:r w:rsidRPr="00143082">
        <w:rPr>
          <w:spacing w:val="-2"/>
          <w:shd w:val="clear" w:color="auto" w:fill="FFFFFF"/>
        </w:rPr>
        <w:t xml:space="preserve"> pelo Conselho Nacional de Justiça (CNJ), aponta que, </w:t>
      </w:r>
      <w:r w:rsidR="002A69AB" w:rsidRPr="00143082">
        <w:rPr>
          <w:spacing w:val="-2"/>
          <w:shd w:val="clear" w:color="auto" w:fill="FFFFFF"/>
        </w:rPr>
        <w:t>em 2024</w:t>
      </w:r>
      <w:r w:rsidRPr="00143082">
        <w:rPr>
          <w:spacing w:val="-2"/>
          <w:shd w:val="clear" w:color="auto" w:fill="FFFFFF"/>
        </w:rPr>
        <w:t xml:space="preserve">, o Poder Judiciário brasileiro terminou o ano com </w:t>
      </w:r>
      <w:r w:rsidR="001B4ACF" w:rsidRPr="00143082">
        <w:rPr>
          <w:spacing w:val="-2"/>
          <w:shd w:val="clear" w:color="auto" w:fill="FFFFFF"/>
        </w:rPr>
        <w:t>80,6 milhões</w:t>
      </w:r>
      <w:r w:rsidRPr="00143082">
        <w:rPr>
          <w:spacing w:val="-2"/>
          <w:shd w:val="clear" w:color="auto" w:fill="FFFFFF"/>
        </w:rPr>
        <w:t xml:space="preserve"> </w:t>
      </w:r>
      <w:proofErr w:type="spellStart"/>
      <w:r w:rsidRPr="00143082">
        <w:rPr>
          <w:spacing w:val="-2"/>
          <w:shd w:val="clear" w:color="auto" w:fill="FFFFFF"/>
        </w:rPr>
        <w:t>milhões</w:t>
      </w:r>
      <w:proofErr w:type="spellEnd"/>
      <w:r w:rsidRPr="00143082">
        <w:rPr>
          <w:spacing w:val="-2"/>
          <w:shd w:val="clear" w:color="auto" w:fill="FFFFFF"/>
        </w:rPr>
        <w:t xml:space="preserve"> de processos em tramitação</w:t>
      </w:r>
      <w:r w:rsidR="0035034C" w:rsidRPr="00143082">
        <w:rPr>
          <w:spacing w:val="-2"/>
          <w:shd w:val="clear" w:color="auto" w:fill="FFFFFF"/>
        </w:rPr>
        <w:t xml:space="preserve"> (CNJ, 2025).</w:t>
      </w:r>
    </w:p>
    <w:p w14:paraId="0485CE7E" w14:textId="41C0FC6B" w:rsidR="002469A3" w:rsidRPr="00143082" w:rsidRDefault="002469A3" w:rsidP="00BA4E63">
      <w:pPr>
        <w:spacing w:line="360" w:lineRule="auto"/>
        <w:ind w:firstLine="709"/>
        <w:rPr>
          <w:spacing w:val="-2"/>
          <w:shd w:val="clear" w:color="auto" w:fill="FFFFFF"/>
        </w:rPr>
      </w:pPr>
      <w:r w:rsidRPr="00143082">
        <w:rPr>
          <w:spacing w:val="-2"/>
          <w:shd w:val="clear" w:color="auto" w:fill="FFFFFF"/>
        </w:rPr>
        <w:t xml:space="preserve">Por outro lado, </w:t>
      </w:r>
      <w:r w:rsidR="00CF0497" w:rsidRPr="00143082">
        <w:rPr>
          <w:spacing w:val="-2"/>
          <w:shd w:val="clear" w:color="auto" w:fill="FFFFFF"/>
        </w:rPr>
        <w:t>haveria</w:t>
      </w:r>
      <w:r w:rsidRPr="00143082">
        <w:rPr>
          <w:spacing w:val="-2"/>
          <w:shd w:val="clear" w:color="auto" w:fill="FFFFFF"/>
        </w:rPr>
        <w:t xml:space="preserve"> também a “judicialização qualitativa”, que indica que “boa parte das grandes questões nacionais – políticas, econômicas, sociais e éticas – passaram a ter o seu último </w:t>
      </w:r>
      <w:r w:rsidRPr="00143082">
        <w:rPr>
          <w:spacing w:val="-2"/>
        </w:rPr>
        <w:t>capítulo</w:t>
      </w:r>
      <w:r w:rsidRPr="00143082">
        <w:rPr>
          <w:spacing w:val="-2"/>
          <w:shd w:val="clear" w:color="auto" w:fill="FFFFFF"/>
        </w:rPr>
        <w:t xml:space="preserve"> perante os tribunais”. </w:t>
      </w:r>
      <w:r w:rsidR="002E3AAB" w:rsidRPr="00143082">
        <w:rPr>
          <w:spacing w:val="-2"/>
          <w:shd w:val="clear" w:color="auto" w:fill="FFFFFF"/>
        </w:rPr>
        <w:t xml:space="preserve">Para </w:t>
      </w:r>
      <w:r w:rsidR="00CF0497" w:rsidRPr="00143082">
        <w:rPr>
          <w:spacing w:val="-2"/>
          <w:shd w:val="clear" w:color="auto" w:fill="FFFFFF"/>
        </w:rPr>
        <w:t>Barroso</w:t>
      </w:r>
      <w:r w:rsidR="002E3AAB" w:rsidRPr="00143082">
        <w:rPr>
          <w:spacing w:val="-2"/>
          <w:shd w:val="clear" w:color="auto" w:fill="FFFFFF"/>
        </w:rPr>
        <w:t xml:space="preserve">, </w:t>
      </w:r>
      <w:r w:rsidRPr="00143082">
        <w:rPr>
          <w:spacing w:val="-2"/>
          <w:shd w:val="clear" w:color="auto" w:fill="FFFFFF"/>
        </w:rPr>
        <w:t>“o lado ruim”</w:t>
      </w:r>
      <w:r w:rsidR="002E3AAB" w:rsidRPr="00143082">
        <w:rPr>
          <w:spacing w:val="-2"/>
          <w:shd w:val="clear" w:color="auto" w:fill="FFFFFF"/>
        </w:rPr>
        <w:t xml:space="preserve"> da judicialização </w:t>
      </w:r>
      <w:r w:rsidR="004A51BE" w:rsidRPr="00143082">
        <w:rPr>
          <w:spacing w:val="-2"/>
          <w:shd w:val="clear" w:color="auto" w:fill="FFFFFF"/>
        </w:rPr>
        <w:t xml:space="preserve">consistiria no fato de que as “questões políticas” não estariam </w:t>
      </w:r>
      <w:r w:rsidRPr="00143082">
        <w:rPr>
          <w:spacing w:val="-2"/>
          <w:shd w:val="clear" w:color="auto" w:fill="FFFFFF"/>
        </w:rPr>
        <w:t xml:space="preserve">equacionadas </w:t>
      </w:r>
      <w:r w:rsidR="004A51BE" w:rsidRPr="00143082">
        <w:rPr>
          <w:spacing w:val="-2"/>
          <w:shd w:val="clear" w:color="auto" w:fill="FFFFFF"/>
        </w:rPr>
        <w:t>“</w:t>
      </w:r>
      <w:r w:rsidRPr="00143082">
        <w:rPr>
          <w:spacing w:val="-2"/>
          <w:shd w:val="clear" w:color="auto" w:fill="FFFFFF"/>
        </w:rPr>
        <w:t>por quem deveria fazê-lo”, evidenciando, assim, “uma deficiência grave no funcionamento da política majoritária”</w:t>
      </w:r>
      <w:r w:rsidR="0040557A" w:rsidRPr="00143082">
        <w:rPr>
          <w:spacing w:val="-2"/>
          <w:shd w:val="clear" w:color="auto" w:fill="FFFFFF"/>
        </w:rPr>
        <w:t xml:space="preserve"> (BARROSO, 2018, p. 23-24).</w:t>
      </w:r>
    </w:p>
    <w:p w14:paraId="08C34C0E" w14:textId="6BF072AC" w:rsidR="007C07AA" w:rsidRPr="00143082" w:rsidRDefault="00BA4E63" w:rsidP="00BA4E63">
      <w:pPr>
        <w:spacing w:line="360" w:lineRule="auto"/>
        <w:ind w:firstLine="709"/>
        <w:rPr>
          <w:spacing w:val="-2"/>
          <w:shd w:val="clear" w:color="auto" w:fill="FFFFFF"/>
        </w:rPr>
      </w:pPr>
      <w:r w:rsidRPr="00143082">
        <w:rPr>
          <w:spacing w:val="-2"/>
          <w:shd w:val="clear" w:color="auto" w:fill="FFFFFF"/>
        </w:rPr>
        <w:t xml:space="preserve">No caso específico do Brasil, </w:t>
      </w:r>
      <w:r w:rsidR="00113CD9" w:rsidRPr="00143082">
        <w:rPr>
          <w:spacing w:val="-2"/>
          <w:shd w:val="clear" w:color="auto" w:fill="FFFFFF"/>
        </w:rPr>
        <w:t xml:space="preserve">a “judicialização” costuma ser reputada como resultado </w:t>
      </w:r>
      <w:r w:rsidR="005436ED" w:rsidRPr="00143082">
        <w:rPr>
          <w:spacing w:val="-2"/>
          <w:shd w:val="clear" w:color="auto" w:fill="FFFFFF"/>
        </w:rPr>
        <w:t>da</w:t>
      </w:r>
      <w:r w:rsidR="009E0D61" w:rsidRPr="00143082">
        <w:rPr>
          <w:spacing w:val="-2"/>
          <w:shd w:val="clear" w:color="auto" w:fill="FFFFFF"/>
        </w:rPr>
        <w:t xml:space="preserve"> conjugação de diversos fatores</w:t>
      </w:r>
      <w:r w:rsidR="00C0603A" w:rsidRPr="00143082">
        <w:rPr>
          <w:spacing w:val="-2"/>
          <w:shd w:val="clear" w:color="auto" w:fill="FFFFFF"/>
        </w:rPr>
        <w:t xml:space="preserve">. Em parte, esse fenômeno se explica pelo fato de </w:t>
      </w:r>
      <w:r w:rsidR="007C07AA" w:rsidRPr="00143082">
        <w:rPr>
          <w:spacing w:val="-2"/>
          <w:shd w:val="clear" w:color="auto" w:fill="FFFFFF"/>
        </w:rPr>
        <w:t>que</w:t>
      </w:r>
      <w:r w:rsidR="00155F95" w:rsidRPr="00143082">
        <w:rPr>
          <w:spacing w:val="-2"/>
          <w:shd w:val="clear" w:color="auto" w:fill="FFFFFF"/>
        </w:rPr>
        <w:t xml:space="preserve"> </w:t>
      </w:r>
      <w:r w:rsidR="007C07AA" w:rsidRPr="00143082">
        <w:rPr>
          <w:spacing w:val="-2"/>
          <w:shd w:val="clear" w:color="auto" w:fill="FFFFFF"/>
        </w:rPr>
        <w:t xml:space="preserve">as profundas desigualdades que marcam a realidade social brasileira acabam por dificultar a concretização do projeto constitucional transformador </w:t>
      </w:r>
      <w:r w:rsidR="00377170" w:rsidRPr="00143082">
        <w:rPr>
          <w:spacing w:val="-2"/>
          <w:shd w:val="clear" w:color="auto" w:fill="FFFFFF"/>
        </w:rPr>
        <w:t>inaugurado pela</w:t>
      </w:r>
      <w:r w:rsidR="007C07AA" w:rsidRPr="00143082">
        <w:rPr>
          <w:spacing w:val="-2"/>
          <w:shd w:val="clear" w:color="auto" w:fill="FFFFFF"/>
        </w:rPr>
        <w:t xml:space="preserve"> Constituição Federal de 1988</w:t>
      </w:r>
      <w:r w:rsidR="00143082" w:rsidRPr="00143082">
        <w:rPr>
          <w:spacing w:val="-2"/>
          <w:shd w:val="clear" w:color="auto" w:fill="FFFFFF"/>
        </w:rPr>
        <w:t xml:space="preserve"> (</w:t>
      </w:r>
      <w:r w:rsidR="00143082" w:rsidRPr="00143082">
        <w:rPr>
          <w:spacing w:val="-2"/>
          <w:sz w:val="20"/>
          <w:szCs w:val="20"/>
        </w:rPr>
        <w:t>VILLAS BÔAS FILHO, 2009),</w:t>
      </w:r>
      <w:r w:rsidR="00377170" w:rsidRPr="00143082">
        <w:rPr>
          <w:spacing w:val="-2"/>
          <w:shd w:val="clear" w:color="auto" w:fill="FFFFFF"/>
        </w:rPr>
        <w:t xml:space="preserve"> ao mesmo tempo em que </w:t>
      </w:r>
      <w:r w:rsidR="00720EC9" w:rsidRPr="00143082">
        <w:rPr>
          <w:spacing w:val="-2"/>
          <w:shd w:val="clear" w:color="auto" w:fill="FFFFFF"/>
        </w:rPr>
        <w:t xml:space="preserve">o </w:t>
      </w:r>
      <w:r w:rsidR="00377170" w:rsidRPr="00143082">
        <w:rPr>
          <w:spacing w:val="-2"/>
          <w:shd w:val="clear" w:color="auto" w:fill="FFFFFF"/>
        </w:rPr>
        <w:t xml:space="preserve">texto constitucional atribui aos titulares dos direitos fundamentais </w:t>
      </w:r>
      <w:r w:rsidR="0054254D" w:rsidRPr="00143082">
        <w:rPr>
          <w:spacing w:val="-2"/>
          <w:shd w:val="clear" w:color="auto" w:fill="FFFFFF"/>
        </w:rPr>
        <w:t xml:space="preserve">mecanismos de tutela jurisdicional não apenas contra atos comissivos do Poder Público, mas também contra omissões </w:t>
      </w:r>
      <w:r w:rsidR="00B20333" w:rsidRPr="00143082">
        <w:rPr>
          <w:spacing w:val="-2"/>
          <w:shd w:val="clear" w:color="auto" w:fill="FFFFFF"/>
        </w:rPr>
        <w:t>inconstitucionais.</w:t>
      </w:r>
    </w:p>
    <w:p w14:paraId="70C52B13" w14:textId="40F2BC3A" w:rsidR="004E0768" w:rsidRPr="00143082" w:rsidRDefault="00230622" w:rsidP="005A70B8">
      <w:pPr>
        <w:spacing w:line="360" w:lineRule="auto"/>
        <w:ind w:firstLine="709"/>
        <w:rPr>
          <w:rStyle w:val="Nmerodepgina"/>
          <w:spacing w:val="-2"/>
          <w:shd w:val="clear" w:color="auto" w:fill="FFFFFF"/>
        </w:rPr>
      </w:pPr>
      <w:r w:rsidRPr="00143082">
        <w:rPr>
          <w:spacing w:val="-2"/>
          <w:shd w:val="clear" w:color="auto" w:fill="FFFFFF"/>
        </w:rPr>
        <w:t xml:space="preserve">Do ponto de vista dos arranjos jurídico-institucionais, </w:t>
      </w:r>
      <w:r w:rsidR="00FA180B" w:rsidRPr="00143082">
        <w:rPr>
          <w:spacing w:val="-2"/>
          <w:shd w:val="clear" w:color="auto" w:fill="FFFFFF"/>
        </w:rPr>
        <w:t xml:space="preserve">Oscar Vilhena Vieira esclarece que </w:t>
      </w:r>
      <w:r w:rsidR="004E0768" w:rsidRPr="00143082">
        <w:rPr>
          <w:rStyle w:val="Nmerodepgina"/>
          <w:rFonts w:cs="Times New Roman"/>
          <w:spacing w:val="-2"/>
          <w:szCs w:val="24"/>
        </w:rPr>
        <w:t xml:space="preserve">a expansão </w:t>
      </w:r>
      <w:r w:rsidR="00F179D0" w:rsidRPr="00143082">
        <w:rPr>
          <w:rStyle w:val="Nmerodepgina"/>
          <w:rFonts w:cs="Times New Roman"/>
          <w:spacing w:val="-2"/>
          <w:szCs w:val="24"/>
        </w:rPr>
        <w:t>dos poderes e competências</w:t>
      </w:r>
      <w:r w:rsidR="004E0768" w:rsidRPr="00143082">
        <w:rPr>
          <w:rStyle w:val="Nmerodepgina"/>
          <w:rFonts w:cs="Times New Roman"/>
          <w:spacing w:val="-2"/>
          <w:szCs w:val="24"/>
        </w:rPr>
        <w:t xml:space="preserve"> do Judiciário “não é um fenômeno sem paralelo em outras partes do mundo”, indicando que, para alguns analistas, o fortalecimento da autoridade dos tribunais decorreria da “expansão do sistema de mercado em plano global”, em razão da maior confiança depositada pelos investidores no sistema judicial como mecanismo de garantia da segurança jurídica e da estabilidade, em comparação com os legisladores democráticos</w:t>
      </w:r>
      <w:r w:rsidR="00A45262" w:rsidRPr="00143082">
        <w:rPr>
          <w:rStyle w:val="Nmerodepgina"/>
          <w:rFonts w:cs="Times New Roman"/>
          <w:spacing w:val="-2"/>
          <w:szCs w:val="24"/>
        </w:rPr>
        <w:t xml:space="preserve">, como se vê no </w:t>
      </w:r>
      <w:r w:rsidR="004E0768" w:rsidRPr="00143082">
        <w:rPr>
          <w:rStyle w:val="Nmerodepgina"/>
          <w:rFonts w:cs="Times New Roman"/>
          <w:spacing w:val="-2"/>
          <w:szCs w:val="24"/>
        </w:rPr>
        <w:t>conceito de “</w:t>
      </w:r>
      <w:proofErr w:type="spellStart"/>
      <w:r w:rsidR="004E0768" w:rsidRPr="00143082">
        <w:rPr>
          <w:rStyle w:val="Nmerodepgina"/>
          <w:rFonts w:cs="Times New Roman"/>
          <w:spacing w:val="-2"/>
          <w:szCs w:val="24"/>
        </w:rPr>
        <w:t>juristocracia</w:t>
      </w:r>
      <w:proofErr w:type="spellEnd"/>
      <w:r w:rsidR="004E0768" w:rsidRPr="00143082">
        <w:rPr>
          <w:rStyle w:val="Nmerodepgina"/>
          <w:rFonts w:cs="Times New Roman"/>
          <w:spacing w:val="-2"/>
          <w:szCs w:val="24"/>
        </w:rPr>
        <w:t xml:space="preserve">”, de </w:t>
      </w:r>
      <w:proofErr w:type="spellStart"/>
      <w:r w:rsidR="004E0768" w:rsidRPr="00143082">
        <w:rPr>
          <w:rStyle w:val="Nmerodepgina"/>
          <w:rFonts w:cs="Times New Roman"/>
          <w:spacing w:val="-2"/>
          <w:szCs w:val="24"/>
        </w:rPr>
        <w:t>Hirschl</w:t>
      </w:r>
      <w:proofErr w:type="spellEnd"/>
      <w:r w:rsidR="00A45262" w:rsidRPr="00143082">
        <w:rPr>
          <w:rStyle w:val="Nmerodepgina"/>
          <w:rFonts w:cs="Times New Roman"/>
          <w:spacing w:val="-2"/>
          <w:szCs w:val="24"/>
        </w:rPr>
        <w:t xml:space="preserve"> (VIEIRA, </w:t>
      </w:r>
      <w:r w:rsidR="00F16CDB" w:rsidRPr="00143082">
        <w:rPr>
          <w:rStyle w:val="Nmerodepgina"/>
          <w:rFonts w:cs="Times New Roman"/>
          <w:spacing w:val="-2"/>
          <w:szCs w:val="24"/>
        </w:rPr>
        <w:t>2018, p. 163</w:t>
      </w:r>
      <w:r w:rsidR="004E0768" w:rsidRPr="00143082">
        <w:rPr>
          <w:rStyle w:val="Nmerodepgina"/>
          <w:rFonts w:cs="Times New Roman"/>
          <w:spacing w:val="-2"/>
          <w:szCs w:val="24"/>
        </w:rPr>
        <w:t>).</w:t>
      </w:r>
    </w:p>
    <w:p w14:paraId="766925A9" w14:textId="4EBDD78D" w:rsidR="004E0768" w:rsidRPr="00143082" w:rsidRDefault="004E0768" w:rsidP="004E0768">
      <w:pPr>
        <w:spacing w:line="360" w:lineRule="auto"/>
        <w:ind w:firstLine="709"/>
        <w:rPr>
          <w:rStyle w:val="Nmerodepgina"/>
          <w:rFonts w:cs="Times New Roman"/>
          <w:spacing w:val="-2"/>
          <w:szCs w:val="24"/>
        </w:rPr>
      </w:pPr>
      <w:r w:rsidRPr="00143082">
        <w:rPr>
          <w:rStyle w:val="Nmerodepgina"/>
          <w:rFonts w:cs="Times New Roman"/>
          <w:spacing w:val="-2"/>
          <w:szCs w:val="24"/>
        </w:rPr>
        <w:t xml:space="preserve">Embora o deslocamento da autoridade do sistema representativo para o sistema judicial não represente algo recente, Oscar Vilhena aponta que esse processo teria se tornado mais “agudo” com as “constituições dirigentes”, que carregam projetos ambiciosos de transformação </w:t>
      </w:r>
      <w:r w:rsidRPr="00143082">
        <w:rPr>
          <w:rStyle w:val="Nmerodepgina"/>
          <w:rFonts w:cs="Times New Roman"/>
          <w:spacing w:val="-2"/>
          <w:szCs w:val="24"/>
        </w:rPr>
        <w:lastRenderedPageBreak/>
        <w:t>social e impõem ao Judiciário a responsabilidade por controlar a atuação de legisladores e administradores na consecução desses objetivos</w:t>
      </w:r>
      <w:r w:rsidR="00F16CDB" w:rsidRPr="00143082">
        <w:rPr>
          <w:rStyle w:val="Nmerodepgina"/>
          <w:rFonts w:cs="Times New Roman"/>
          <w:spacing w:val="-2"/>
          <w:szCs w:val="24"/>
        </w:rPr>
        <w:t xml:space="preserve"> (VIEIRA, 2018</w:t>
      </w:r>
      <w:r w:rsidR="008A4E6C" w:rsidRPr="00143082">
        <w:rPr>
          <w:rStyle w:val="Nmerodepgina"/>
          <w:rFonts w:cs="Times New Roman"/>
          <w:spacing w:val="-2"/>
          <w:szCs w:val="24"/>
        </w:rPr>
        <w:t>, p. 164).</w:t>
      </w:r>
    </w:p>
    <w:p w14:paraId="3AD6C99E" w14:textId="7FD180D3" w:rsidR="004E0768" w:rsidRPr="00143082" w:rsidRDefault="004E0768" w:rsidP="004E0768">
      <w:pPr>
        <w:spacing w:line="360" w:lineRule="auto"/>
        <w:ind w:firstLine="709"/>
        <w:rPr>
          <w:rStyle w:val="Nmerodepgina"/>
          <w:rFonts w:cs="Times New Roman"/>
          <w:spacing w:val="-2"/>
          <w:szCs w:val="24"/>
        </w:rPr>
      </w:pPr>
      <w:r w:rsidRPr="00143082">
        <w:rPr>
          <w:rStyle w:val="Nmerodepgina"/>
          <w:rFonts w:cs="Times New Roman"/>
          <w:spacing w:val="-2"/>
          <w:szCs w:val="24"/>
        </w:rPr>
        <w:t>No contexto brasileiro, a “hipótese fundamental” do autor é a de que, o deslocamento de autoridade para o STF decorreria (i) da “desconfiança na democracia que estava sendo construída em 1988”, em um cenário político “conflitivo, fragmentado e de desconfiança recíproca”, e (</w:t>
      </w:r>
      <w:proofErr w:type="spellStart"/>
      <w:r w:rsidRPr="00143082">
        <w:rPr>
          <w:rStyle w:val="Nmerodepgina"/>
          <w:rFonts w:cs="Times New Roman"/>
          <w:spacing w:val="-2"/>
          <w:szCs w:val="24"/>
        </w:rPr>
        <w:t>ii</w:t>
      </w:r>
      <w:proofErr w:type="spellEnd"/>
      <w:r w:rsidRPr="00143082">
        <w:rPr>
          <w:rStyle w:val="Nmerodepgina"/>
          <w:rFonts w:cs="Times New Roman"/>
          <w:spacing w:val="-2"/>
          <w:szCs w:val="24"/>
        </w:rPr>
        <w:t>) das “incertezas decorrentes da adoção de um texto constitucional tão ambicioso”, que fizeram com que todos os atores envolvidos no processo constituinte buscassem “entrincheirar na Constituição” o máximo de direitos, interesses e privilégios, para dificultar mudanças futuras, e, ao mesmo tempo, atribuíram ao Supremo amplos poderes para “bloquear decisões futuras do sistema representativo” que pudessem ameaçar esses direitos e interesses</w:t>
      </w:r>
      <w:r w:rsidR="008A4E6C" w:rsidRPr="00143082">
        <w:rPr>
          <w:rStyle w:val="Nmerodepgina"/>
          <w:rFonts w:cs="Times New Roman"/>
          <w:spacing w:val="-2"/>
          <w:szCs w:val="24"/>
        </w:rPr>
        <w:t xml:space="preserve"> (VIEIRA, 2018, p. 164-165).</w:t>
      </w:r>
    </w:p>
    <w:p w14:paraId="5D018ABD" w14:textId="2D6193D2" w:rsidR="004E0768" w:rsidRPr="00143082" w:rsidRDefault="00F179D0" w:rsidP="004E0768">
      <w:pPr>
        <w:spacing w:line="360" w:lineRule="auto"/>
        <w:ind w:firstLine="709"/>
        <w:rPr>
          <w:rStyle w:val="Nmerodepgina"/>
          <w:rFonts w:cs="Times New Roman"/>
          <w:spacing w:val="-2"/>
          <w:szCs w:val="24"/>
        </w:rPr>
      </w:pPr>
      <w:r w:rsidRPr="00143082">
        <w:rPr>
          <w:rStyle w:val="Nmerodepgina"/>
          <w:rFonts w:cs="Times New Roman"/>
          <w:spacing w:val="-2"/>
          <w:szCs w:val="24"/>
        </w:rPr>
        <w:t>O</w:t>
      </w:r>
      <w:r w:rsidR="004E0768" w:rsidRPr="00143082">
        <w:rPr>
          <w:rStyle w:val="Nmerodepgina"/>
          <w:rFonts w:cs="Times New Roman"/>
          <w:spacing w:val="-2"/>
          <w:szCs w:val="24"/>
        </w:rPr>
        <w:t xml:space="preserve"> Supremo</w:t>
      </w:r>
      <w:r w:rsidRPr="00143082">
        <w:rPr>
          <w:rStyle w:val="Nmerodepgina"/>
          <w:rFonts w:cs="Times New Roman"/>
          <w:spacing w:val="-2"/>
          <w:szCs w:val="24"/>
        </w:rPr>
        <w:t>, assim,</w:t>
      </w:r>
      <w:r w:rsidR="004E0768" w:rsidRPr="00143082">
        <w:rPr>
          <w:rStyle w:val="Nmerodepgina"/>
          <w:rFonts w:cs="Times New Roman"/>
          <w:spacing w:val="-2"/>
          <w:szCs w:val="24"/>
        </w:rPr>
        <w:t xml:space="preserve"> assumiria uma “nova posição institucional”, </w:t>
      </w:r>
      <w:r w:rsidR="00222E8C" w:rsidRPr="00143082">
        <w:rPr>
          <w:rStyle w:val="Nmerodepgina"/>
          <w:rFonts w:cs="Times New Roman"/>
          <w:spacing w:val="-2"/>
          <w:szCs w:val="24"/>
        </w:rPr>
        <w:t>enquanto guardião de</w:t>
      </w:r>
      <w:r w:rsidR="004E0768" w:rsidRPr="00143082">
        <w:rPr>
          <w:rStyle w:val="Nmerodepgina"/>
          <w:rFonts w:cs="Times New Roman"/>
          <w:spacing w:val="-2"/>
          <w:szCs w:val="24"/>
        </w:rPr>
        <w:t xml:space="preserve"> uma Constituição “ambiciosa e detalhista”, passando a ser convocado para dar “a última palavra” sobre assuntos de várias ordens (política, moral, social e econômica). A distinção do caso brasileiro em relação a outros países, assim, decorreria tanto da “escala”, pela quantidade de temas constitucionalizados, quanto da “natureza” da atuação do Tribunal, por não haver, em tese, “nenhum obstáculo para que o Supremo aprecie atos produzidos pelo sistema representativo”, lançando o Tribunal na arena política para controlar tanto a “política ordinária” quanto a “política constitucional”</w:t>
      </w:r>
      <w:r w:rsidR="00A5316F" w:rsidRPr="00143082">
        <w:rPr>
          <w:rStyle w:val="Nmerodepgina"/>
          <w:rFonts w:cs="Times New Roman"/>
          <w:spacing w:val="-2"/>
          <w:szCs w:val="24"/>
        </w:rPr>
        <w:t xml:space="preserve"> (VIEIRA, 2018, p. 165-166).</w:t>
      </w:r>
    </w:p>
    <w:p w14:paraId="3BBE5CF0" w14:textId="333CA12F" w:rsidR="00725D16" w:rsidRPr="00143082" w:rsidRDefault="00725D16" w:rsidP="00725D16">
      <w:pPr>
        <w:spacing w:line="360" w:lineRule="auto"/>
        <w:ind w:firstLine="709"/>
        <w:rPr>
          <w:rFonts w:cs="Times New Roman"/>
          <w:spacing w:val="-2"/>
          <w:szCs w:val="24"/>
        </w:rPr>
      </w:pPr>
      <w:r w:rsidRPr="00725D16">
        <w:rPr>
          <w:rFonts w:cs="Times New Roman"/>
          <w:spacing w:val="-2"/>
          <w:szCs w:val="24"/>
        </w:rPr>
        <w:t xml:space="preserve">Esse cenário descrito por Oscar Vilhena Vieira, marcado pelo deslocamento de autoridade para o STF e pela ampliação de suas competências, ajuda a compreender por que </w:t>
      </w:r>
      <w:r w:rsidR="003824FD" w:rsidRPr="00143082">
        <w:rPr>
          <w:rFonts w:cs="Times New Roman"/>
          <w:spacing w:val="-2"/>
          <w:szCs w:val="24"/>
        </w:rPr>
        <w:t>o Tribunal</w:t>
      </w:r>
      <w:r w:rsidRPr="00725D16">
        <w:rPr>
          <w:rFonts w:cs="Times New Roman"/>
          <w:spacing w:val="-2"/>
          <w:szCs w:val="24"/>
        </w:rPr>
        <w:t xml:space="preserve"> passou a ocupar posição central na dinâmica política brasileira. Contudo, essa expansão não ocorreu sem tensões e desafios internos. Como apontam Maria Tereza Sadek e Rogério Bastos Arantes, a consolidação do Judiciário como ator protagonista trouxe consigo uma série de crises que revelam os limites e contradições desse modelo</w:t>
      </w:r>
      <w:r w:rsidR="00C935A5" w:rsidRPr="00143082">
        <w:rPr>
          <w:rFonts w:cs="Times New Roman"/>
          <w:spacing w:val="-2"/>
          <w:szCs w:val="24"/>
        </w:rPr>
        <w:t xml:space="preserve"> (SADEK e ARANTES, 1994).</w:t>
      </w:r>
    </w:p>
    <w:p w14:paraId="7F844AE5" w14:textId="77777777" w:rsidR="00C935A5" w:rsidRPr="00143082" w:rsidRDefault="00E04D10" w:rsidP="00E04D10">
      <w:pPr>
        <w:spacing w:line="360" w:lineRule="auto"/>
        <w:ind w:firstLine="709"/>
        <w:rPr>
          <w:rFonts w:cs="Times New Roman"/>
          <w:spacing w:val="-2"/>
          <w:szCs w:val="24"/>
        </w:rPr>
      </w:pPr>
      <w:r w:rsidRPr="00143082">
        <w:rPr>
          <w:rFonts w:cs="Times New Roman"/>
          <w:spacing w:val="-2"/>
          <w:szCs w:val="24"/>
        </w:rPr>
        <w:t>Para os autores, a</w:t>
      </w:r>
      <w:r w:rsidRPr="00E04D10">
        <w:rPr>
          <w:rFonts w:cs="Times New Roman"/>
          <w:spacing w:val="-2"/>
          <w:szCs w:val="24"/>
        </w:rPr>
        <w:t xml:space="preserve"> chamada “crise do Judiciário” </w:t>
      </w:r>
      <w:r w:rsidRPr="00143082">
        <w:rPr>
          <w:rFonts w:cs="Times New Roman"/>
          <w:spacing w:val="-2"/>
          <w:szCs w:val="24"/>
        </w:rPr>
        <w:t>poderia ser lida em</w:t>
      </w:r>
      <w:r w:rsidRPr="00E04D10">
        <w:rPr>
          <w:rFonts w:cs="Times New Roman"/>
          <w:spacing w:val="-2"/>
          <w:szCs w:val="24"/>
        </w:rPr>
        <w:t xml:space="preserve"> três dimensões: institucional, estrutural e procedimental. A </w:t>
      </w:r>
      <w:r w:rsidRPr="00143082">
        <w:rPr>
          <w:rFonts w:cs="Times New Roman"/>
          <w:spacing w:val="-2"/>
          <w:szCs w:val="24"/>
        </w:rPr>
        <w:t>“</w:t>
      </w:r>
      <w:r w:rsidRPr="00E04D10">
        <w:rPr>
          <w:rFonts w:cs="Times New Roman"/>
          <w:spacing w:val="-2"/>
          <w:szCs w:val="24"/>
        </w:rPr>
        <w:t>crise institucional</w:t>
      </w:r>
      <w:r w:rsidRPr="00143082">
        <w:rPr>
          <w:rFonts w:cs="Times New Roman"/>
          <w:spacing w:val="-2"/>
          <w:szCs w:val="24"/>
        </w:rPr>
        <w:t>”</w:t>
      </w:r>
      <w:r w:rsidRPr="00E04D10">
        <w:rPr>
          <w:rFonts w:cs="Times New Roman"/>
          <w:spacing w:val="-2"/>
          <w:szCs w:val="24"/>
        </w:rPr>
        <w:t xml:space="preserve"> decorre da posição do Judiciário no arranjo constitucional pós-1988, que, ao mesmo tempo em que lhe conferiu autonomia administrativa e financeira, criou um modelo peculiar de separação de poderes. Esse desenho fortaleceu o Legislativo e ampliou as prerrogativas do Executivo, atribuindo ao Judiciário a função de mediar conflitos políticos e controlar atos normativos, o que intensificou sua politização e gerou tensões sobre como conciliar decisões jurídicas com disputas essencialmente políticas</w:t>
      </w:r>
      <w:r w:rsidR="00C935A5" w:rsidRPr="00143082">
        <w:rPr>
          <w:rFonts w:cs="Times New Roman"/>
          <w:spacing w:val="-2"/>
          <w:szCs w:val="24"/>
        </w:rPr>
        <w:t xml:space="preserve"> (SADEK e ARANTES, 1994, p. 37-38).</w:t>
      </w:r>
    </w:p>
    <w:p w14:paraId="6607ACC2" w14:textId="1A63BE32" w:rsidR="00E04D10" w:rsidRPr="00E04D10" w:rsidRDefault="00E04D10" w:rsidP="00E04D10">
      <w:pPr>
        <w:spacing w:line="360" w:lineRule="auto"/>
        <w:ind w:firstLine="709"/>
        <w:rPr>
          <w:rFonts w:cs="Times New Roman"/>
          <w:spacing w:val="-2"/>
          <w:szCs w:val="24"/>
        </w:rPr>
      </w:pPr>
      <w:r w:rsidRPr="00E04D10">
        <w:rPr>
          <w:rFonts w:cs="Times New Roman"/>
          <w:spacing w:val="-2"/>
          <w:szCs w:val="24"/>
        </w:rPr>
        <w:lastRenderedPageBreak/>
        <w:t xml:space="preserve">A </w:t>
      </w:r>
      <w:r w:rsidRPr="00143082">
        <w:rPr>
          <w:rFonts w:cs="Times New Roman"/>
          <w:spacing w:val="-2"/>
          <w:szCs w:val="24"/>
        </w:rPr>
        <w:t>“</w:t>
      </w:r>
      <w:r w:rsidRPr="00E04D10">
        <w:rPr>
          <w:rFonts w:cs="Times New Roman"/>
          <w:spacing w:val="-2"/>
          <w:szCs w:val="24"/>
        </w:rPr>
        <w:t>crise estrutural</w:t>
      </w:r>
      <w:r w:rsidRPr="00143082">
        <w:rPr>
          <w:rFonts w:cs="Times New Roman"/>
          <w:spacing w:val="-2"/>
          <w:szCs w:val="24"/>
        </w:rPr>
        <w:t xml:space="preserve">” </w:t>
      </w:r>
      <w:r w:rsidRPr="00E04D10">
        <w:rPr>
          <w:rFonts w:cs="Times New Roman"/>
          <w:spacing w:val="-2"/>
          <w:szCs w:val="24"/>
        </w:rPr>
        <w:t>refere-se à pesada burocracia e à falta de agilidade do sistema, evidenciada pelo descompasso entre o volume de processos e sua capacidade de julgamento. Já nos anos 1990, os autores alertavam para uma “bola de neve” de processos acumulados, tendência que se confirmou nas décadas seguintes, com explosão de litigiosidade e baixa taxa de resolução. Esse quadro é agravado por fatores como insuficiência de servidores, número reduzido de magistrados e uma cultura corporativa resistente a mudanças e mecanismos de controle externo.</w:t>
      </w:r>
    </w:p>
    <w:p w14:paraId="5AF0FB19" w14:textId="3D07E0DA" w:rsidR="00FF0811" w:rsidRPr="00143082" w:rsidRDefault="00E04D10" w:rsidP="00FF0811">
      <w:pPr>
        <w:spacing w:line="360" w:lineRule="auto"/>
        <w:ind w:firstLine="709"/>
        <w:rPr>
          <w:rFonts w:cs="Times New Roman"/>
          <w:spacing w:val="-2"/>
          <w:szCs w:val="24"/>
        </w:rPr>
      </w:pPr>
      <w:r w:rsidRPr="00E04D10">
        <w:rPr>
          <w:rFonts w:cs="Times New Roman"/>
          <w:spacing w:val="-2"/>
          <w:szCs w:val="24"/>
        </w:rPr>
        <w:t xml:space="preserve">Por fim, a </w:t>
      </w:r>
      <w:r w:rsidR="00FF0811" w:rsidRPr="00143082">
        <w:rPr>
          <w:rFonts w:cs="Times New Roman"/>
          <w:spacing w:val="-2"/>
          <w:szCs w:val="24"/>
        </w:rPr>
        <w:t>“</w:t>
      </w:r>
      <w:r w:rsidRPr="00E04D10">
        <w:rPr>
          <w:rFonts w:cs="Times New Roman"/>
          <w:spacing w:val="-2"/>
          <w:szCs w:val="24"/>
        </w:rPr>
        <w:t>crise procedimental</w:t>
      </w:r>
      <w:r w:rsidR="00FF0811" w:rsidRPr="00143082">
        <w:rPr>
          <w:rFonts w:cs="Times New Roman"/>
          <w:spacing w:val="-2"/>
          <w:szCs w:val="24"/>
        </w:rPr>
        <w:t>”</w:t>
      </w:r>
      <w:r w:rsidRPr="00E04D10">
        <w:rPr>
          <w:rFonts w:cs="Times New Roman"/>
          <w:spacing w:val="-2"/>
          <w:szCs w:val="24"/>
        </w:rPr>
        <w:t xml:space="preserve"> diz respeito à morosidade decorrente não apenas da estrutura, mas também das normas processuais e da excessiva formalidade dos ritos, somadas à instabilidade legislativa provocada pela edição frequente de medidas provisórias. Esses elementos contribuem para um sistema lento e pouco responsivo, reforçando a percepção de ineficiência e alimentando pressões por reformas que busquem maior celeridade e racionalidade</w:t>
      </w:r>
      <w:r w:rsidR="00711464" w:rsidRPr="00143082">
        <w:rPr>
          <w:rFonts w:cs="Times New Roman"/>
          <w:spacing w:val="-2"/>
          <w:szCs w:val="24"/>
        </w:rPr>
        <w:t xml:space="preserve"> (SADEK e ARANTES, 1994, p. 40).</w:t>
      </w:r>
    </w:p>
    <w:p w14:paraId="68163FFF" w14:textId="7F7AACCC" w:rsidR="00AF3F24" w:rsidRPr="00143082" w:rsidRDefault="00FF0811" w:rsidP="00FF0811">
      <w:pPr>
        <w:spacing w:line="360" w:lineRule="auto"/>
        <w:ind w:firstLine="709"/>
        <w:rPr>
          <w:rFonts w:cs="Times New Roman"/>
          <w:spacing w:val="-2"/>
          <w:szCs w:val="24"/>
        </w:rPr>
      </w:pPr>
      <w:r w:rsidRPr="00143082">
        <w:rPr>
          <w:rFonts w:cs="Times New Roman"/>
          <w:spacing w:val="-2"/>
          <w:szCs w:val="24"/>
        </w:rPr>
        <w:t>Nesse contexto de “crise”, a</w:t>
      </w:r>
      <w:r w:rsidR="00910CF9" w:rsidRPr="00143082">
        <w:rPr>
          <w:spacing w:val="-2"/>
          <w:shd w:val="clear" w:color="auto" w:fill="FFFFFF"/>
        </w:rPr>
        <w:t xml:space="preserve"> ideia de que o Judiciário seria um poder politicamente neutro, vinculada a uma leitura tradicionalista da separação de poderes</w:t>
      </w:r>
      <w:r w:rsidR="00711464" w:rsidRPr="00143082">
        <w:rPr>
          <w:spacing w:val="-2"/>
          <w:shd w:val="clear" w:color="auto" w:fill="FFFFFF"/>
        </w:rPr>
        <w:t xml:space="preserve"> e a uma visão </w:t>
      </w:r>
      <w:r w:rsidR="00B563CE" w:rsidRPr="00143082">
        <w:rPr>
          <w:spacing w:val="-2"/>
          <w:shd w:val="clear" w:color="auto" w:fill="FFFFFF"/>
        </w:rPr>
        <w:t>limitada sobre a adjudicação de disputas</w:t>
      </w:r>
      <w:r w:rsidR="00910CF9" w:rsidRPr="00143082">
        <w:rPr>
          <w:spacing w:val="-2"/>
          <w:shd w:val="clear" w:color="auto" w:fill="FFFFFF"/>
        </w:rPr>
        <w:t xml:space="preserve">, foi sendo gradativamente relativizada à medida que a juridicização de questões </w:t>
      </w:r>
      <w:r w:rsidR="00910CF9" w:rsidRPr="00143082">
        <w:rPr>
          <w:spacing w:val="-2"/>
        </w:rPr>
        <w:t>essencialmente</w:t>
      </w:r>
      <w:r w:rsidR="00910CF9" w:rsidRPr="00143082">
        <w:rPr>
          <w:spacing w:val="-2"/>
          <w:shd w:val="clear" w:color="auto" w:fill="FFFFFF"/>
        </w:rPr>
        <w:t xml:space="preserve"> políticas, morais e econômicas ganhou espaço.</w:t>
      </w:r>
    </w:p>
    <w:p w14:paraId="2A053483" w14:textId="77777777" w:rsidR="004B2244" w:rsidRPr="00143082" w:rsidRDefault="00910CF9" w:rsidP="00910CF9">
      <w:pPr>
        <w:spacing w:line="360" w:lineRule="auto"/>
        <w:ind w:firstLine="709"/>
        <w:rPr>
          <w:spacing w:val="-2"/>
          <w:shd w:val="clear" w:color="auto" w:fill="FFFFFF"/>
        </w:rPr>
      </w:pPr>
      <w:r w:rsidRPr="00143082">
        <w:rPr>
          <w:spacing w:val="-2"/>
          <w:shd w:val="clear" w:color="auto" w:fill="FFFFFF"/>
        </w:rPr>
        <w:t>Assim, a partir do momento em que as Constituições passam a traçar metas, planos e programas de longo prazo, “as atividades de controle mudam de vetor, deixando de voltar-se primordialmente para o passado, para ocupar-se basicamente do futuro”.</w:t>
      </w:r>
    </w:p>
    <w:p w14:paraId="30C707A5" w14:textId="557D0303" w:rsidR="00AF3F24" w:rsidRPr="00143082" w:rsidRDefault="00910CF9" w:rsidP="00910CF9">
      <w:pPr>
        <w:spacing w:line="360" w:lineRule="auto"/>
        <w:ind w:firstLine="709"/>
        <w:rPr>
          <w:spacing w:val="-2"/>
          <w:shd w:val="clear" w:color="auto" w:fill="FFFFFF"/>
        </w:rPr>
      </w:pPr>
      <w:r w:rsidRPr="00143082">
        <w:rPr>
          <w:spacing w:val="-2"/>
          <w:shd w:val="clear" w:color="auto" w:fill="FFFFFF"/>
        </w:rPr>
        <w:t>Do ponto de vista jurídico, isso significa que os tribunais passam</w:t>
      </w:r>
      <w:r w:rsidR="00AF3F24" w:rsidRPr="00143082">
        <w:rPr>
          <w:spacing w:val="-2"/>
          <w:shd w:val="clear" w:color="auto" w:fill="FFFFFF"/>
        </w:rPr>
        <w:t xml:space="preserve"> </w:t>
      </w:r>
      <w:r w:rsidRPr="00143082">
        <w:rPr>
          <w:spacing w:val="-2"/>
          <w:shd w:val="clear" w:color="auto" w:fill="FFFFFF"/>
        </w:rPr>
        <w:t>a serem chamados para “uma avaliação prospectiva” e um julgamento daquilo que pode efetivamente ser feito, configurando-se o que Tércio Sampaio Ferraz Jr. denomina de “projeção do sentido do direito para o futuro, para sua realizabilidade mais do que para a sua consistência pré-constituída”</w:t>
      </w:r>
      <w:r w:rsidR="004B2244" w:rsidRPr="00143082">
        <w:rPr>
          <w:spacing w:val="-2"/>
          <w:shd w:val="clear" w:color="auto" w:fill="FFFFFF"/>
        </w:rPr>
        <w:t xml:space="preserve"> (FERRAZ JR., 1994, p. 18)</w:t>
      </w:r>
      <w:r w:rsidRPr="00143082">
        <w:rPr>
          <w:spacing w:val="-2"/>
          <w:shd w:val="clear" w:color="auto" w:fill="FFFFFF"/>
        </w:rPr>
        <w:t xml:space="preserve">. Os direitos sociais, que têm um sentido “promocional prospectivo”, </w:t>
      </w:r>
      <w:r w:rsidRPr="00143082">
        <w:rPr>
          <w:spacing w:val="-4"/>
          <w:shd w:val="clear" w:color="auto" w:fill="FFFFFF"/>
        </w:rPr>
        <w:t xml:space="preserve">fazem com que o Judiciário altere sua função, passando a ter de julgar não tanto uma questão de certo ou errado com base na lei, mas sobretudo “examinar se o exercício discricionário do poder de legislar conduz à concretização dos resultados objetivados”, no que se revela a “responsabilidade finalística do juiz, que, de certa forma, o </w:t>
      </w:r>
      <w:proofErr w:type="spellStart"/>
      <w:r w:rsidRPr="00143082">
        <w:rPr>
          <w:spacing w:val="-4"/>
          <w:shd w:val="clear" w:color="auto" w:fill="FFFFFF"/>
        </w:rPr>
        <w:t>repolitiza</w:t>
      </w:r>
      <w:proofErr w:type="spellEnd"/>
      <w:r w:rsidRPr="00143082">
        <w:rPr>
          <w:spacing w:val="-4"/>
          <w:shd w:val="clear" w:color="auto" w:fill="FFFFFF"/>
        </w:rPr>
        <w:t>”</w:t>
      </w:r>
      <w:r w:rsidR="004B2244" w:rsidRPr="00143082">
        <w:rPr>
          <w:spacing w:val="-4"/>
          <w:shd w:val="clear" w:color="auto" w:fill="FFFFFF"/>
        </w:rPr>
        <w:t xml:space="preserve"> (FERRAZ JR., 1994, p. 18).</w:t>
      </w:r>
    </w:p>
    <w:p w14:paraId="28A8ED10" w14:textId="0E717C59" w:rsidR="00910CF9" w:rsidRPr="00143082" w:rsidRDefault="00910CF9" w:rsidP="00910CF9">
      <w:pPr>
        <w:spacing w:line="360" w:lineRule="auto"/>
        <w:ind w:firstLine="709"/>
        <w:rPr>
          <w:spacing w:val="-2"/>
          <w:shd w:val="clear" w:color="auto" w:fill="FFFFFF"/>
        </w:rPr>
      </w:pPr>
      <w:r w:rsidRPr="00143082">
        <w:rPr>
          <w:spacing w:val="-2"/>
          <w:shd w:val="clear" w:color="auto" w:fill="FFFFFF"/>
        </w:rPr>
        <w:t>Nas palavras de José Eduardo Faria, o Judiciário se vê, agora, obrigado a “dar respostas para demandas para as quais não tem nem experiência acumulada nem jurisprudência firmada”</w:t>
      </w:r>
      <w:r w:rsidR="00E82006" w:rsidRPr="00143082">
        <w:rPr>
          <w:spacing w:val="-2"/>
          <w:shd w:val="clear" w:color="auto" w:fill="FFFFFF"/>
        </w:rPr>
        <w:t xml:space="preserve"> (FARIA, 2010, p. 53).</w:t>
      </w:r>
    </w:p>
    <w:p w14:paraId="28575F58" w14:textId="5B63363F" w:rsidR="00910CF9" w:rsidRPr="00143082" w:rsidRDefault="00A34095" w:rsidP="00910CF9">
      <w:pPr>
        <w:spacing w:line="360" w:lineRule="auto"/>
        <w:ind w:firstLine="709"/>
        <w:rPr>
          <w:spacing w:val="-2"/>
          <w:shd w:val="clear" w:color="auto" w:fill="FFFFFF"/>
        </w:rPr>
      </w:pPr>
      <w:r w:rsidRPr="00143082">
        <w:rPr>
          <w:spacing w:val="-2"/>
          <w:shd w:val="clear" w:color="auto" w:fill="FFFFFF"/>
        </w:rPr>
        <w:t>Nesse contexto, o</w:t>
      </w:r>
      <w:r w:rsidR="00910CF9" w:rsidRPr="00143082">
        <w:rPr>
          <w:spacing w:val="-2"/>
          <w:shd w:val="clear" w:color="auto" w:fill="FFFFFF"/>
        </w:rPr>
        <w:t xml:space="preserve">s paradigmas tradicionais da atuação judicial são colocados em crise ao se depararem com pelo menos três profundas modificações ocorridas nos elementos </w:t>
      </w:r>
      <w:r w:rsidR="00910CF9" w:rsidRPr="00143082">
        <w:rPr>
          <w:spacing w:val="-2"/>
          <w:shd w:val="clear" w:color="auto" w:fill="FFFFFF"/>
        </w:rPr>
        <w:lastRenderedPageBreak/>
        <w:t xml:space="preserve">convencionais de mediação entre direito e </w:t>
      </w:r>
      <w:r w:rsidR="00910CF9" w:rsidRPr="00143082">
        <w:rPr>
          <w:spacing w:val="-2"/>
        </w:rPr>
        <w:t>sociedade</w:t>
      </w:r>
      <w:r w:rsidR="00910CF9" w:rsidRPr="00143082">
        <w:rPr>
          <w:spacing w:val="-2"/>
          <w:shd w:val="clear" w:color="auto" w:fill="FFFFFF"/>
        </w:rPr>
        <w:t>: “expansão dos serviços jurídicos (novos atores</w:t>
      </w:r>
      <w:proofErr w:type="gramStart"/>
      <w:r w:rsidR="00910CF9" w:rsidRPr="00143082">
        <w:rPr>
          <w:spacing w:val="-2"/>
          <w:shd w:val="clear" w:color="auto" w:fill="FFFFFF"/>
        </w:rPr>
        <w:t>) ”</w:t>
      </w:r>
      <w:proofErr w:type="gramEnd"/>
      <w:r w:rsidR="00910CF9" w:rsidRPr="00143082">
        <w:rPr>
          <w:spacing w:val="-2"/>
          <w:shd w:val="clear" w:color="auto" w:fill="FFFFFF"/>
        </w:rPr>
        <w:t>; “hipertrofia normativa”; e “incremente quantitativo e qualitativo das funções do Judiciário”</w:t>
      </w:r>
      <w:r w:rsidR="002768E6" w:rsidRPr="00143082">
        <w:rPr>
          <w:spacing w:val="-2"/>
          <w:shd w:val="clear" w:color="auto" w:fill="FFFFFF"/>
        </w:rPr>
        <w:t xml:space="preserve"> (CAMPILONGO, 2010, p. 30).</w:t>
      </w:r>
      <w:r w:rsidR="00910CF9" w:rsidRPr="00143082">
        <w:rPr>
          <w:spacing w:val="-2"/>
          <w:shd w:val="clear" w:color="auto" w:fill="FFFFFF"/>
        </w:rPr>
        <w:t xml:space="preserve"> Com isso, as novas estruturas normativas passam a se caracterizar por sua provisoriedade, mutabilidade e contingência, o que implica, para a racionalidade jurídica, a necessidade de um saber cada vez mais “pragmático”, que “pressupõe o conhecimento das situações concretas para, daí sim, extrair o máximo da regra</w:t>
      </w:r>
      <w:r w:rsidR="00A37717" w:rsidRPr="00143082">
        <w:rPr>
          <w:spacing w:val="-2"/>
          <w:shd w:val="clear" w:color="auto" w:fill="FFFFFF"/>
        </w:rPr>
        <w:t xml:space="preserve"> (CAMPILONGO, 2010, p. 3</w:t>
      </w:r>
      <w:r w:rsidR="002768E6" w:rsidRPr="00143082">
        <w:rPr>
          <w:spacing w:val="-2"/>
          <w:shd w:val="clear" w:color="auto" w:fill="FFFFFF"/>
        </w:rPr>
        <w:t>9-40</w:t>
      </w:r>
      <w:r w:rsidR="00A37717" w:rsidRPr="00143082">
        <w:rPr>
          <w:spacing w:val="-2"/>
          <w:shd w:val="clear" w:color="auto" w:fill="FFFFFF"/>
        </w:rPr>
        <w:t>)</w:t>
      </w:r>
      <w:r w:rsidR="002768E6" w:rsidRPr="00143082">
        <w:rPr>
          <w:spacing w:val="-2"/>
          <w:shd w:val="clear" w:color="auto" w:fill="FFFFFF"/>
        </w:rPr>
        <w:t>.</w:t>
      </w:r>
    </w:p>
    <w:p w14:paraId="2222DB51" w14:textId="631CE06C" w:rsidR="001D1C76" w:rsidRPr="00143082" w:rsidRDefault="00894D4E" w:rsidP="00910CF9">
      <w:pPr>
        <w:spacing w:line="360" w:lineRule="auto"/>
        <w:ind w:firstLine="709"/>
        <w:rPr>
          <w:spacing w:val="-2"/>
          <w:shd w:val="clear" w:color="auto" w:fill="FFFFFF"/>
        </w:rPr>
      </w:pPr>
      <w:r w:rsidRPr="00143082">
        <w:rPr>
          <w:spacing w:val="-2"/>
          <w:shd w:val="clear" w:color="auto" w:fill="FFFFFF"/>
        </w:rPr>
        <w:t>D</w:t>
      </w:r>
      <w:r w:rsidR="00910CF9" w:rsidRPr="00143082">
        <w:rPr>
          <w:spacing w:val="-2"/>
          <w:shd w:val="clear" w:color="auto" w:fill="FFFFFF"/>
        </w:rPr>
        <w:t>iante de uma sociedade altamente complexa e de um mundo irreversivelmente globalizado, em que os Estados passam a ter de repartir seu protagonismo com atores novos que vão das instâncias de discussão internacional (como ONU, OMC e OIT) até organizações não-governamentais, o Poder Judiciário, ainda não totalmente consciente de seu papel na organização das funções estatais, passa a ter de recepcionar novas demandas (</w:t>
      </w:r>
      <w:r w:rsidR="00910CF9" w:rsidRPr="00143082">
        <w:rPr>
          <w:i/>
          <w:spacing w:val="-2"/>
          <w:shd w:val="clear" w:color="auto" w:fill="FFFFFF"/>
        </w:rPr>
        <w:t>inputs</w:t>
      </w:r>
      <w:r w:rsidR="00910CF9" w:rsidRPr="00143082">
        <w:rPr>
          <w:spacing w:val="-2"/>
          <w:shd w:val="clear" w:color="auto" w:fill="FFFFFF"/>
        </w:rPr>
        <w:t>) e, ao mesmo tempo, adaptar suas repostas (</w:t>
      </w:r>
      <w:r w:rsidR="00910CF9" w:rsidRPr="00143082">
        <w:rPr>
          <w:i/>
          <w:spacing w:val="-2"/>
          <w:shd w:val="clear" w:color="auto" w:fill="FFFFFF"/>
        </w:rPr>
        <w:t>outputs</w:t>
      </w:r>
      <w:r w:rsidR="00910CF9" w:rsidRPr="00143082">
        <w:rPr>
          <w:spacing w:val="-2"/>
          <w:shd w:val="clear" w:color="auto" w:fill="FFFFFF"/>
        </w:rPr>
        <w:t>), sob pena de vê-las descumpridas.</w:t>
      </w:r>
    </w:p>
    <w:p w14:paraId="5C8ED715" w14:textId="33A6906D" w:rsidR="00910CF9" w:rsidRPr="00143082" w:rsidRDefault="00910CF9" w:rsidP="00910CF9">
      <w:pPr>
        <w:spacing w:line="360" w:lineRule="auto"/>
        <w:ind w:firstLine="709"/>
        <w:rPr>
          <w:spacing w:val="-4"/>
          <w:shd w:val="clear" w:color="auto" w:fill="FFFFFF"/>
        </w:rPr>
      </w:pPr>
      <w:r w:rsidRPr="00143082">
        <w:rPr>
          <w:spacing w:val="-4"/>
          <w:shd w:val="clear" w:color="auto" w:fill="FFFFFF"/>
        </w:rPr>
        <w:t xml:space="preserve">Como, porém, a teoria tradicional da decisão judicial lhe impõe que decida com base em estruturas já “pré-moldadas”, o Judiciário coloca-se diante de um dilema: por um lado, ao aplicar normas “gerais e abstratas” a casos “concretos”, “os juízes não podem contrariar o espírito e o sentido de um sistema legal frequentemente ineficaz”; por outro, “por carecerem de liberdade criativa e de flexibilidade interpretativa”, também não podem “modernizar códigos esclerosados”, o que leva muitas vezes a verem descumpridas </w:t>
      </w:r>
      <w:proofErr w:type="spellStart"/>
      <w:r w:rsidRPr="00143082">
        <w:rPr>
          <w:spacing w:val="-4"/>
          <w:shd w:val="clear" w:color="auto" w:fill="FFFFFF"/>
        </w:rPr>
        <w:t>suas</w:t>
      </w:r>
      <w:proofErr w:type="spellEnd"/>
      <w:r w:rsidRPr="00143082">
        <w:rPr>
          <w:spacing w:val="-4"/>
          <w:shd w:val="clear" w:color="auto" w:fill="FFFFFF"/>
        </w:rPr>
        <w:t xml:space="preserve"> sentença</w:t>
      </w:r>
      <w:r w:rsidR="00BC1077" w:rsidRPr="00143082">
        <w:rPr>
          <w:spacing w:val="-4"/>
          <w:shd w:val="clear" w:color="auto" w:fill="FFFFFF"/>
        </w:rPr>
        <w:t xml:space="preserve"> (FARIA, 2010, p. 17-18).</w:t>
      </w:r>
    </w:p>
    <w:p w14:paraId="5A0BFADE" w14:textId="3F02BFA3" w:rsidR="00910CF9" w:rsidRDefault="00910CF9" w:rsidP="00910CF9">
      <w:pPr>
        <w:spacing w:line="360" w:lineRule="auto"/>
        <w:ind w:firstLine="709"/>
        <w:rPr>
          <w:shd w:val="clear" w:color="auto" w:fill="FFFFFF"/>
        </w:rPr>
      </w:pPr>
      <w:r>
        <w:rPr>
          <w:shd w:val="clear" w:color="auto" w:fill="FFFFFF"/>
        </w:rPr>
        <w:t xml:space="preserve">Conforme </w:t>
      </w:r>
      <w:r w:rsidRPr="00910CF9">
        <w:t>sintetiza</w:t>
      </w:r>
      <w:r>
        <w:rPr>
          <w:shd w:val="clear" w:color="auto" w:fill="FFFFFF"/>
        </w:rPr>
        <w:t xml:space="preserve"> Campilongo</w:t>
      </w:r>
      <w:r w:rsidR="002F13B6">
        <w:rPr>
          <w:shd w:val="clear" w:color="auto" w:fill="FFFFFF"/>
        </w:rPr>
        <w:t>:</w:t>
      </w:r>
    </w:p>
    <w:p w14:paraId="18A3FD61" w14:textId="77777777" w:rsidR="00910CF9" w:rsidRDefault="00910CF9" w:rsidP="00910CF9">
      <w:pPr>
        <w:widowControl w:val="0"/>
        <w:spacing w:line="240" w:lineRule="auto"/>
        <w:ind w:left="2268"/>
        <w:rPr>
          <w:sz w:val="22"/>
          <w:shd w:val="clear" w:color="auto" w:fill="FFFFFF"/>
        </w:rPr>
      </w:pPr>
    </w:p>
    <w:p w14:paraId="663C26D6" w14:textId="36C3BAB0" w:rsidR="00910CF9" w:rsidRDefault="00910CF9" w:rsidP="00910CF9">
      <w:pPr>
        <w:widowControl w:val="0"/>
        <w:spacing w:line="240" w:lineRule="auto"/>
        <w:ind w:left="2268"/>
        <w:rPr>
          <w:sz w:val="22"/>
          <w:shd w:val="clear" w:color="auto" w:fill="FFFFFF"/>
        </w:rPr>
      </w:pPr>
      <w:r>
        <w:rPr>
          <w:sz w:val="22"/>
          <w:shd w:val="clear" w:color="auto" w:fill="FFFFFF"/>
        </w:rPr>
        <w:t>o Judiciário deixa de ser visto como o lugar de trivialização, banalização ou neutralização dos conflitos por meio de operações programadas e passa a ser encarado como uma importante arena de exposição, afirmação e condensação dos conflitos mediante operações estratégicas</w:t>
      </w:r>
      <w:r w:rsidR="002F13B6">
        <w:rPr>
          <w:sz w:val="22"/>
          <w:shd w:val="clear" w:color="auto" w:fill="FFFFFF"/>
        </w:rPr>
        <w:t xml:space="preserve"> </w:t>
      </w:r>
      <w:r w:rsidR="002F13B6" w:rsidRPr="002F13B6">
        <w:rPr>
          <w:sz w:val="22"/>
          <w:shd w:val="clear" w:color="auto" w:fill="FFFFFF"/>
        </w:rPr>
        <w:t>(CAMPILONGO, 2011, p. 62)</w:t>
      </w:r>
    </w:p>
    <w:p w14:paraId="2CAACD37" w14:textId="77777777" w:rsidR="00910CF9" w:rsidRDefault="00910CF9" w:rsidP="00910CF9">
      <w:pPr>
        <w:widowControl w:val="0"/>
        <w:spacing w:line="360" w:lineRule="auto"/>
        <w:rPr>
          <w:shd w:val="clear" w:color="auto" w:fill="FFFFFF"/>
        </w:rPr>
      </w:pPr>
    </w:p>
    <w:p w14:paraId="2F8F78EB" w14:textId="5A4A7C6E" w:rsidR="00910CF9" w:rsidRDefault="00910CF9" w:rsidP="00910CF9">
      <w:pPr>
        <w:spacing w:line="360" w:lineRule="auto"/>
        <w:ind w:firstLine="709"/>
        <w:rPr>
          <w:shd w:val="clear" w:color="auto" w:fill="FFFFFF"/>
        </w:rPr>
      </w:pPr>
      <w:r>
        <w:rPr>
          <w:shd w:val="clear" w:color="auto" w:fill="FFFFFF"/>
        </w:rPr>
        <w:t xml:space="preserve">Do ponto de </w:t>
      </w:r>
      <w:r w:rsidRPr="00910CF9">
        <w:t>vista</w:t>
      </w:r>
      <w:r>
        <w:rPr>
          <w:shd w:val="clear" w:color="auto" w:fill="FFFFFF"/>
        </w:rPr>
        <w:t xml:space="preserve"> da própria normatividade estatal, a “hipertrofia legislativa”, a “variabilidade de normas” e os “problemas de coerência interna do ordenamento” forçam o julgador a repensar “a dimensão temporal” do direito, deslocando-o cada vez mais para a figura de um “sujeito ativo do processo político”</w:t>
      </w:r>
      <w:r w:rsidR="002F13B6">
        <w:rPr>
          <w:shd w:val="clear" w:color="auto" w:fill="FFFFFF"/>
        </w:rPr>
        <w:t xml:space="preserve"> (CAMPILONGO, 2010, p. 44-46).</w:t>
      </w:r>
    </w:p>
    <w:p w14:paraId="686858A2" w14:textId="6765D509" w:rsidR="00910CF9" w:rsidRDefault="00910CF9" w:rsidP="00910CF9">
      <w:pPr>
        <w:spacing w:line="360" w:lineRule="auto"/>
        <w:ind w:firstLine="709"/>
        <w:rPr>
          <w:shd w:val="clear" w:color="auto" w:fill="FFFFFF"/>
        </w:rPr>
      </w:pPr>
      <w:r>
        <w:rPr>
          <w:shd w:val="clear" w:color="auto" w:fill="FFFFFF"/>
        </w:rPr>
        <w:t>A tão-falada “crise do Estado”</w:t>
      </w:r>
      <w:r w:rsidR="001D1C76">
        <w:rPr>
          <w:shd w:val="clear" w:color="auto" w:fill="FFFFFF"/>
        </w:rPr>
        <w:t>, nesse contexto,</w:t>
      </w:r>
      <w:r>
        <w:rPr>
          <w:shd w:val="clear" w:color="auto" w:fill="FFFFFF"/>
        </w:rPr>
        <w:t xml:space="preserve"> faz com que a racionalidade jurídica se veja obrigada a lidar com “uma sobrecarga de demandas sociais” e “um contexto de crescente escassez de recursos”. Por isso mesmo, no </w:t>
      </w:r>
      <w:r w:rsidRPr="00910CF9">
        <w:t>contexto</w:t>
      </w:r>
      <w:r>
        <w:rPr>
          <w:shd w:val="clear" w:color="auto" w:fill="FFFFFF"/>
        </w:rPr>
        <w:t xml:space="preserve"> de consolidação do Estado pós-social, a hermenêutica de “bloqueio” (herdade do paradigma liberal) e a hermenêutica “de legitimação” (herdada do paradigma social) conjugam-se com a interpretação “reflexiva”, que espelha “a </w:t>
      </w:r>
      <w:r>
        <w:rPr>
          <w:shd w:val="clear" w:color="auto" w:fill="FFFFFF"/>
        </w:rPr>
        <w:lastRenderedPageBreak/>
        <w:t>correlação de forças sociais, o momento econômico e a capacidade circunstancial de resposta do sistema político”, lançando a magistratura para o centro do processo de “afirmação da cidadania e da justiça distributiva”</w:t>
      </w:r>
      <w:r w:rsidR="002F13B6">
        <w:rPr>
          <w:shd w:val="clear" w:color="auto" w:fill="FFFFFF"/>
        </w:rPr>
        <w:t xml:space="preserve"> (CAMPILONGO, 2010, p. 47-49).</w:t>
      </w:r>
    </w:p>
    <w:p w14:paraId="0A17865C" w14:textId="77777777" w:rsidR="00F75F2B" w:rsidRDefault="00910CF9" w:rsidP="00910CF9">
      <w:pPr>
        <w:spacing w:line="360" w:lineRule="auto"/>
        <w:ind w:firstLine="709"/>
        <w:rPr>
          <w:shd w:val="clear" w:color="auto" w:fill="FFFFFF"/>
        </w:rPr>
      </w:pPr>
      <w:r>
        <w:rPr>
          <w:shd w:val="clear" w:color="auto" w:fill="FFFFFF"/>
        </w:rPr>
        <w:t>Sendo obrigados a decidir, os tribunais não podem se furtar a responder a tais demandas, o que acaba por gerar uma certa sobrecarga do sistema jurídico diante do grande número e da alta complexidade dos casos.</w:t>
      </w:r>
    </w:p>
    <w:p w14:paraId="28A1A96F" w14:textId="0D62B4FC" w:rsidR="00910CF9" w:rsidRPr="00DF1930" w:rsidRDefault="00910CF9" w:rsidP="00793C14">
      <w:pPr>
        <w:spacing w:line="360" w:lineRule="auto"/>
        <w:ind w:firstLine="709"/>
        <w:rPr>
          <w:spacing w:val="-2"/>
          <w:shd w:val="clear" w:color="auto" w:fill="FFFFFF"/>
        </w:rPr>
      </w:pPr>
      <w:r w:rsidRPr="00DF1930">
        <w:rPr>
          <w:spacing w:val="-2"/>
          <w:shd w:val="clear" w:color="auto" w:fill="FFFFFF"/>
        </w:rPr>
        <w:t>Especificamente em relação à realidade social brasileira, é preciso atentar, ainda, para as abissais e persistentes desigualdades que marcam nossa história, e que, de certa forma, ao configurarem situações de “</w:t>
      </w:r>
      <w:proofErr w:type="spellStart"/>
      <w:r w:rsidRPr="00DF1930">
        <w:rPr>
          <w:spacing w:val="-2"/>
          <w:shd w:val="clear" w:color="auto" w:fill="FFFFFF"/>
        </w:rPr>
        <w:t>subcidadania</w:t>
      </w:r>
      <w:proofErr w:type="spellEnd"/>
      <w:r w:rsidRPr="00DF1930">
        <w:rPr>
          <w:spacing w:val="-2"/>
          <w:shd w:val="clear" w:color="auto" w:fill="FFFFFF"/>
        </w:rPr>
        <w:t xml:space="preserve">”, excluem “um enorme contingente de pessoas dos </w:t>
      </w:r>
      <w:r w:rsidRPr="00DF1930">
        <w:rPr>
          <w:spacing w:val="-2"/>
        </w:rPr>
        <w:t>subsistemas</w:t>
      </w:r>
      <w:r w:rsidRPr="00DF1930">
        <w:rPr>
          <w:spacing w:val="-2"/>
          <w:shd w:val="clear" w:color="auto" w:fill="FFFFFF"/>
        </w:rPr>
        <w:t xml:space="preserve"> funcionais, dentre os quais o jurídico”, de modo que se instaura uma “descrença generalizada” na efetividade dos mecanismos de salvaguarda de direitos constitucionalmente declarados</w:t>
      </w:r>
      <w:r w:rsidR="002F13B6" w:rsidRPr="00DF1930">
        <w:rPr>
          <w:spacing w:val="-2"/>
          <w:shd w:val="clear" w:color="auto" w:fill="FFFFFF"/>
        </w:rPr>
        <w:t xml:space="preserve"> (VILLAS BÔAS FILHO, 2009, p. </w:t>
      </w:r>
      <w:r w:rsidR="00793C14" w:rsidRPr="00DF1930">
        <w:rPr>
          <w:spacing w:val="-2"/>
          <w:shd w:val="clear" w:color="auto" w:fill="FFFFFF"/>
        </w:rPr>
        <w:t xml:space="preserve">388-389). </w:t>
      </w:r>
      <w:r w:rsidRPr="00DF1930">
        <w:rPr>
          <w:spacing w:val="-2"/>
          <w:shd w:val="clear" w:color="auto" w:fill="FFFFFF"/>
        </w:rPr>
        <w:t>A legitimidade do Judiciário passa a ser constantemente questionada, e o projeto constitucional, uma vez mais, tem sua realização adiada.</w:t>
      </w:r>
    </w:p>
    <w:p w14:paraId="36AC5895" w14:textId="3AB18D35" w:rsidR="007A3DE3" w:rsidRDefault="00910CF9" w:rsidP="007A3DE3">
      <w:pPr>
        <w:spacing w:line="360" w:lineRule="auto"/>
        <w:ind w:firstLine="709"/>
        <w:rPr>
          <w:shd w:val="clear" w:color="auto" w:fill="FFFFFF"/>
        </w:rPr>
      </w:pPr>
      <w:r>
        <w:rPr>
          <w:shd w:val="clear" w:color="auto" w:fill="FFFFFF"/>
        </w:rPr>
        <w:t xml:space="preserve">Neste contexto, uma das possíveis saídas para esta aporia parece ser aquela apontada por José Eduardo Faria: a fim de que o Judiciário readquira “credibilidade e legitimidade”, impõe-se a necessidade de um “diálogo substantivo sem idiossincrasias e sem preconceitos”, “forjado a partir de uma racionalidade comunicativa capaz de fluir com base na força do melhor argumento”, comprometido com o respeito “à verdade factual, aos princípios mais elementares de justiça social e às </w:t>
      </w:r>
      <w:r w:rsidRPr="00910CF9">
        <w:t>convicções</w:t>
      </w:r>
      <w:r>
        <w:rPr>
          <w:shd w:val="clear" w:color="auto" w:fill="FFFFFF"/>
        </w:rPr>
        <w:t xml:space="preserve"> doutrinárias”</w:t>
      </w:r>
      <w:r w:rsidR="00793C14">
        <w:rPr>
          <w:shd w:val="clear" w:color="auto" w:fill="FFFFFF"/>
        </w:rPr>
        <w:t xml:space="preserve"> (FARIA, 2010, p. 67).</w:t>
      </w:r>
    </w:p>
    <w:p w14:paraId="7D8A86AA" w14:textId="5EFB489A" w:rsidR="00235345" w:rsidRPr="007A3DE3" w:rsidRDefault="007A3DE3" w:rsidP="007A3DE3">
      <w:pPr>
        <w:spacing w:line="360" w:lineRule="auto"/>
        <w:ind w:firstLine="709"/>
        <w:rPr>
          <w:shd w:val="clear" w:color="auto" w:fill="FFFFFF"/>
        </w:rPr>
      </w:pPr>
      <w:r>
        <w:rPr>
          <w:shd w:val="clear" w:color="auto" w:fill="FFFFFF"/>
        </w:rPr>
        <w:t xml:space="preserve">Reforçando essa leitura do fenômeno, </w:t>
      </w:r>
      <w:r w:rsidR="00157464">
        <w:rPr>
          <w:shd w:val="clear" w:color="auto" w:fill="FFFFFF"/>
        </w:rPr>
        <w:t xml:space="preserve">Sebastião Tojal e Igor </w:t>
      </w:r>
      <w:proofErr w:type="spellStart"/>
      <w:r w:rsidR="00157464">
        <w:rPr>
          <w:shd w:val="clear" w:color="auto" w:fill="FFFFFF"/>
        </w:rPr>
        <w:t>Tamasauskas</w:t>
      </w:r>
      <w:proofErr w:type="spellEnd"/>
      <w:r w:rsidR="00157464">
        <w:rPr>
          <w:shd w:val="clear" w:color="auto" w:fill="FFFFFF"/>
        </w:rPr>
        <w:t xml:space="preserve"> apontam que, n</w:t>
      </w:r>
      <w:r w:rsidR="004865BB">
        <w:t>o contexto de crescente “fragmentação do Estado</w:t>
      </w:r>
      <w:r w:rsidR="00240A43">
        <w:t xml:space="preserve"> em diversas facetas, com suas lógicas internas e características singulares”</w:t>
      </w:r>
      <w:r w:rsidR="0087605B">
        <w:t xml:space="preserve"> e da consequente “crise do Estado Social”, dada sua “progressiva incapacidade de lidar com toda essa complexidade”, </w:t>
      </w:r>
      <w:r w:rsidR="004A3373">
        <w:t xml:space="preserve">verifica-se que a multiplicidade de interesses e de formas organizacionais “inviabiliza a tomada de decisão sob uma roupagem hierárquica”. Assim, continuam os autores, </w:t>
      </w:r>
      <w:r w:rsidR="00790731">
        <w:t xml:space="preserve">“sem um centro claro de decisão e diante de uma complexidade exponencial dos assuntos objetos de decisão estatal, a heteronomia acaba se demonstrando limitada para impor </w:t>
      </w:r>
      <w:r w:rsidR="00EB0E40">
        <w:t>comportamentos à sociedade”</w:t>
      </w:r>
      <w:r w:rsidR="007231F7">
        <w:t xml:space="preserve"> </w:t>
      </w:r>
      <w:r w:rsidR="006E01FB">
        <w:t>(</w:t>
      </w:r>
      <w:r w:rsidR="006E01FB" w:rsidRPr="007231F7">
        <w:t>TOJAL e TAMASAUSKAS</w:t>
      </w:r>
      <w:r w:rsidR="007231F7" w:rsidRPr="007231F7">
        <w:t xml:space="preserve">, 2021, p. </w:t>
      </w:r>
      <w:r w:rsidR="006E01FB" w:rsidRPr="007231F7">
        <w:t>14</w:t>
      </w:r>
      <w:r w:rsidR="00396111" w:rsidRPr="007231F7">
        <w:t>1</w:t>
      </w:r>
      <w:r w:rsidR="006E01FB">
        <w:t>)</w:t>
      </w:r>
      <w:r w:rsidR="007231F7">
        <w:t>.</w:t>
      </w:r>
    </w:p>
    <w:p w14:paraId="141E22BE" w14:textId="5A62861D" w:rsidR="00DE697C" w:rsidRDefault="00DE697C" w:rsidP="00157464">
      <w:pPr>
        <w:spacing w:line="360" w:lineRule="auto"/>
        <w:ind w:firstLine="709"/>
      </w:pPr>
      <w:r>
        <w:t xml:space="preserve">O sistema jurídico, nesse contexto, vê-se obrigado a “prover mecanismos que dialoguem com esse quadro”, com destaque para “estratégias de indução, </w:t>
      </w:r>
      <w:r w:rsidR="002C4EFF">
        <w:t xml:space="preserve">de negociação e de participação”, que deslocam o cidadão da posição de “mero destinatário” para inseri-lo, “de forma mais ativa”, </w:t>
      </w:r>
      <w:r w:rsidR="007B5F7D">
        <w:t xml:space="preserve">na </w:t>
      </w:r>
      <w:r w:rsidR="00BC36D6">
        <w:t xml:space="preserve">própria </w:t>
      </w:r>
      <w:r w:rsidR="007B5F7D">
        <w:t>formatação da decisão estatal</w:t>
      </w:r>
      <w:r w:rsidR="00EF273C">
        <w:t xml:space="preserve"> (</w:t>
      </w:r>
      <w:r w:rsidR="007231F7" w:rsidRPr="007231F7">
        <w:t>TOJAL e TAMASAUSKAS, 2021, p. 141</w:t>
      </w:r>
      <w:r w:rsidR="006E01FB">
        <w:t>)</w:t>
      </w:r>
      <w:r w:rsidR="007231F7">
        <w:t>.</w:t>
      </w:r>
    </w:p>
    <w:p w14:paraId="3A5BF477" w14:textId="060BF4F0" w:rsidR="00F65E07" w:rsidRDefault="00F65E07" w:rsidP="00157464">
      <w:pPr>
        <w:spacing w:line="360" w:lineRule="auto"/>
        <w:ind w:firstLine="709"/>
      </w:pPr>
      <w:r>
        <w:lastRenderedPageBreak/>
        <w:t>Na emergência desse novo paradigma da “justiça negocial”, o Judiciário também se vê obrigado a alterar seu papel</w:t>
      </w:r>
      <w:r w:rsidR="00E55EB5">
        <w:t xml:space="preserve">, arbitrando posições com o objetivo de “(re)compor o equilíbrio entre os órgãos </w:t>
      </w:r>
      <w:r w:rsidR="007209D2">
        <w:t xml:space="preserve">eventualmente dissonantes e (r)estabelecer a lógica da negociação quando comportamentos adjudicatórios se manifestarem indevidamente </w:t>
      </w:r>
      <w:r w:rsidR="00135955">
        <w:t>durante o processo de negociação” (</w:t>
      </w:r>
      <w:r w:rsidR="007231F7" w:rsidRPr="007231F7">
        <w:t>TOJAL e TAMASAUSKAS, 2021, p. 14</w:t>
      </w:r>
      <w:r w:rsidR="007231F7">
        <w:t>4</w:t>
      </w:r>
      <w:r w:rsidR="00EF273C">
        <w:t>)</w:t>
      </w:r>
      <w:r w:rsidR="007231F7">
        <w:t>.</w:t>
      </w:r>
    </w:p>
    <w:p w14:paraId="3393D342" w14:textId="77777777" w:rsidR="007C08DF" w:rsidRDefault="007C08DF" w:rsidP="004208CB">
      <w:pPr>
        <w:tabs>
          <w:tab w:val="num" w:pos="720"/>
        </w:tabs>
        <w:spacing w:line="360" w:lineRule="auto"/>
      </w:pPr>
    </w:p>
    <w:p w14:paraId="6F72D6EE" w14:textId="47926ABE" w:rsidR="005547D8" w:rsidRDefault="004347ED" w:rsidP="004347ED">
      <w:pPr>
        <w:pStyle w:val="Ttulo1"/>
        <w:spacing w:after="240" w:line="360" w:lineRule="auto"/>
      </w:pPr>
      <w:r>
        <w:rPr>
          <w:caps w:val="0"/>
        </w:rPr>
        <w:t>4. Conclusão</w:t>
      </w:r>
    </w:p>
    <w:p w14:paraId="5513F7A2" w14:textId="6CA67001" w:rsidR="003169D3" w:rsidRPr="003169D3" w:rsidRDefault="003169D3" w:rsidP="003169D3">
      <w:pPr>
        <w:spacing w:line="360" w:lineRule="auto"/>
        <w:ind w:firstLine="709"/>
      </w:pPr>
      <w:r w:rsidRPr="003169D3">
        <w:t xml:space="preserve">A institucionalização da consensualidade no âmbito do controle concentrado de constitucionalidade pelo Supremo Tribunal Federal </w:t>
      </w:r>
      <w:r>
        <w:t xml:space="preserve">(STF) </w:t>
      </w:r>
      <w:r w:rsidRPr="003169D3">
        <w:t xml:space="preserve">revela um movimento de adaptação do </w:t>
      </w:r>
      <w:r>
        <w:t xml:space="preserve">Poder </w:t>
      </w:r>
      <w:r w:rsidRPr="003169D3">
        <w:t xml:space="preserve">Judiciário às transformações sociais e políticas </w:t>
      </w:r>
      <w:r w:rsidR="008C176C">
        <w:t>que marcam a sociedade brasileira desde a promulgação da Constituição Federal de 1988</w:t>
      </w:r>
      <w:r w:rsidRPr="003169D3">
        <w:t>. A crescente judicialização de questões complexas, associada à sobrecarga estrutural do sistema, impôs ao STF a necessidade de buscar mecanismos inovadores capazes de conferir maior eficiência e legitimidade à sua atuação. Nesse contexto, a adoção de soluções consensuais surge como resposta pragmática às limitações do modelo tradicional de adjudicação, sem, contudo, deixar de suscitar relevantes questionamentos teóricos e práticos.</w:t>
      </w:r>
    </w:p>
    <w:p w14:paraId="7A0FE4C1" w14:textId="2CE4990C" w:rsidR="003169D3" w:rsidRPr="003169D3" w:rsidRDefault="003169D3" w:rsidP="003169D3">
      <w:pPr>
        <w:spacing w:line="360" w:lineRule="auto"/>
        <w:ind w:firstLine="709"/>
      </w:pPr>
      <w:r w:rsidRPr="003169D3">
        <w:t>Por um lado, os defensores da consensualidade destacam suas vantagens, como a celeridade, a redução de litigiosidade e a ampliação do diálogo institucional, fatores que contribu</w:t>
      </w:r>
      <w:r w:rsidR="002840DD">
        <w:t>iria</w:t>
      </w:r>
      <w:r w:rsidRPr="003169D3">
        <w:t xml:space="preserve">m para a pacificação social e para a construção de decisões mais estáveis e legítimas. </w:t>
      </w:r>
      <w:r w:rsidR="002840DD">
        <w:t>N</w:t>
      </w:r>
      <w:r w:rsidRPr="003169D3">
        <w:t xml:space="preserve">esse sentido, </w:t>
      </w:r>
      <w:r w:rsidR="002840DD">
        <w:t xml:space="preserve">a “lógica negocial” </w:t>
      </w:r>
      <w:r w:rsidRPr="003169D3">
        <w:t xml:space="preserve">é apresentada como instrumento apto a </w:t>
      </w:r>
      <w:r w:rsidR="002840DD">
        <w:t>aumentar a eficiência e fortalecer a legitimidade</w:t>
      </w:r>
      <w:r w:rsidRPr="003169D3">
        <w:t xml:space="preserve"> do STF, permitindo-lhe atuar como mediador em conflitos de alta densidade política e social. Essa perspectiva, alinhada ao paradigma da “justiça multiportas”, reforça a ideia de que o acesso à justiça não se limita à via adjudicatória, mas pode se concretizar por meio de soluções dialogadas e participativas.</w:t>
      </w:r>
    </w:p>
    <w:p w14:paraId="4EC7B753" w14:textId="58BD0E47" w:rsidR="003169D3" w:rsidRPr="003169D3" w:rsidRDefault="003169D3" w:rsidP="003169D3">
      <w:pPr>
        <w:spacing w:line="360" w:lineRule="auto"/>
        <w:ind w:firstLine="709"/>
      </w:pPr>
      <w:r w:rsidRPr="003169D3">
        <w:t xml:space="preserve">Por outro lado, não se pode ignorar as críticas que apontam riscos à supremacia </w:t>
      </w:r>
      <w:r w:rsidR="005E56B2">
        <w:t>da Constituição</w:t>
      </w:r>
      <w:r w:rsidRPr="003169D3">
        <w:t xml:space="preserve"> e à proteção dos direitos fundamentais. A ausência de previsão legal expressa, a fragilidade dos mecanismos de transparência e a possibilidade de captura por interesses políticos ou econômicos são fatores que desafiam a legitimidade dessa prática. Além disso, a transferência de questões constitucionais para a esfera negocial pode implicar uma relativização do papel contramajoritário do STF, comprometendo sua função de guardião da Constituição e gerando tensões quanto à separação de poderes.</w:t>
      </w:r>
    </w:p>
    <w:p w14:paraId="1B5D25A8" w14:textId="2B48D757" w:rsidR="005E56B2" w:rsidRDefault="003169D3" w:rsidP="005E56B2">
      <w:pPr>
        <w:spacing w:line="360" w:lineRule="auto"/>
        <w:ind w:firstLine="709"/>
      </w:pPr>
      <w:r w:rsidRPr="003169D3">
        <w:lastRenderedPageBreak/>
        <w:t>Diante dessas considerações, conclui-se que</w:t>
      </w:r>
      <w:r w:rsidR="005E56B2">
        <w:t>,</w:t>
      </w:r>
      <w:r w:rsidRPr="003169D3">
        <w:t xml:space="preserve"> </w:t>
      </w:r>
      <w:r w:rsidR="005E56B2">
        <w:t>embora não prevista formalmente em lei, a lógica de acordos no controle abstrato de constitucionalidade representa uma inovação procedimental que desafia os limites tradicionais da jurisdição constitucional, devendo ser objeto de análises críticas acerca da real capacidade desse mecanismo de responder aos objetivos que se coloca.</w:t>
      </w:r>
    </w:p>
    <w:p w14:paraId="4EC96F08" w14:textId="77777777" w:rsidR="00D503C8" w:rsidRDefault="00D503C8" w:rsidP="00D93DA5">
      <w:pPr>
        <w:tabs>
          <w:tab w:val="num" w:pos="720"/>
        </w:tabs>
      </w:pPr>
    </w:p>
    <w:p w14:paraId="72F8985D" w14:textId="76A9C464" w:rsidR="00927C1D" w:rsidRPr="00927C1D" w:rsidRDefault="00794B4F" w:rsidP="004208CB">
      <w:pPr>
        <w:pStyle w:val="Ttulo1"/>
        <w:tabs>
          <w:tab w:val="num" w:pos="720"/>
        </w:tabs>
        <w:spacing w:line="360" w:lineRule="auto"/>
        <w:rPr>
          <w:bCs/>
        </w:rPr>
      </w:pPr>
      <w:r>
        <w:rPr>
          <w:bCs/>
        </w:rPr>
        <w:t>REFERÊNCIAS</w:t>
      </w:r>
    </w:p>
    <w:p w14:paraId="6F08EFB4" w14:textId="77777777" w:rsidR="00DB4980" w:rsidRPr="00143082" w:rsidRDefault="00DB4980" w:rsidP="00375555">
      <w:pPr>
        <w:spacing w:after="240" w:line="240" w:lineRule="auto"/>
        <w:rPr>
          <w:rFonts w:eastAsiaTheme="minorHAnsi" w:cs="Times New Roman"/>
          <w:spacing w:val="-4"/>
          <w:sz w:val="22"/>
        </w:rPr>
      </w:pPr>
      <w:r w:rsidRPr="00143082">
        <w:rPr>
          <w:rFonts w:eastAsiaTheme="minorHAnsi" w:cs="Times New Roman"/>
          <w:spacing w:val="-4"/>
          <w:sz w:val="22"/>
        </w:rPr>
        <w:t xml:space="preserve">ABBOUD, Georges. </w:t>
      </w:r>
      <w:r w:rsidRPr="00143082">
        <w:rPr>
          <w:rFonts w:eastAsiaTheme="minorHAnsi" w:cs="Times New Roman"/>
          <w:b/>
          <w:bCs/>
          <w:spacing w:val="-4"/>
          <w:sz w:val="22"/>
        </w:rPr>
        <w:t>Acordos no STF</w:t>
      </w:r>
      <w:r w:rsidRPr="00143082">
        <w:rPr>
          <w:rFonts w:eastAsiaTheme="minorHAnsi" w:cs="Times New Roman"/>
          <w:spacing w:val="-4"/>
          <w:sz w:val="22"/>
        </w:rPr>
        <w:t>. São Paulo: Thomson Reuters Brasil, 2025.</w:t>
      </w:r>
    </w:p>
    <w:p w14:paraId="44E0B73D" w14:textId="77777777" w:rsidR="00DB4980" w:rsidRPr="00143082" w:rsidRDefault="00DB4980" w:rsidP="00375555">
      <w:pPr>
        <w:spacing w:after="240" w:line="240" w:lineRule="auto"/>
        <w:rPr>
          <w:rFonts w:eastAsiaTheme="minorHAnsi" w:cs="Times New Roman"/>
          <w:spacing w:val="-4"/>
          <w:sz w:val="22"/>
        </w:rPr>
      </w:pPr>
      <w:r w:rsidRPr="00143082">
        <w:rPr>
          <w:rFonts w:eastAsiaTheme="minorHAnsi" w:cs="Times New Roman"/>
          <w:spacing w:val="-4"/>
          <w:sz w:val="22"/>
        </w:rPr>
        <w:t xml:space="preserve">ABBOUD, Georges. O STF é mesmo um bazar de direitos? </w:t>
      </w:r>
      <w:r w:rsidRPr="00143082">
        <w:rPr>
          <w:rFonts w:eastAsiaTheme="minorHAnsi" w:cs="Times New Roman"/>
          <w:b/>
          <w:bCs/>
          <w:spacing w:val="-4"/>
          <w:sz w:val="22"/>
        </w:rPr>
        <w:t>Folha de S. Paulo</w:t>
      </w:r>
      <w:r w:rsidRPr="00143082">
        <w:rPr>
          <w:rFonts w:eastAsiaTheme="minorHAnsi" w:cs="Times New Roman"/>
          <w:spacing w:val="-4"/>
          <w:sz w:val="22"/>
        </w:rPr>
        <w:t>, São Paulo, 18 jul. 2024. Opinião. Disponível em: &lt;https://www1.folha.uol.com.br/opiniao/2024/07/o-stf-e-mesmo-um-bazar-de-direitos.shtml&gt;. Acesso em: 19 dez. 2025.</w:t>
      </w:r>
    </w:p>
    <w:p w14:paraId="7BE279E5" w14:textId="77777777" w:rsidR="00DB4980" w:rsidRPr="004B2D5F" w:rsidRDefault="00DB4980" w:rsidP="00375555">
      <w:pPr>
        <w:spacing w:after="240" w:line="240" w:lineRule="auto"/>
        <w:rPr>
          <w:rFonts w:eastAsiaTheme="minorHAnsi" w:cs="Times New Roman"/>
          <w:spacing w:val="-4"/>
          <w:sz w:val="22"/>
        </w:rPr>
      </w:pPr>
      <w:r w:rsidRPr="004B2D5F">
        <w:rPr>
          <w:rFonts w:eastAsiaTheme="minorHAnsi" w:cs="Times New Roman"/>
          <w:spacing w:val="-4"/>
          <w:sz w:val="22"/>
        </w:rPr>
        <w:t xml:space="preserve">ABBOUD, Georges. </w:t>
      </w:r>
      <w:r w:rsidRPr="004B2D5F">
        <w:rPr>
          <w:rFonts w:eastAsiaTheme="minorHAnsi" w:cs="Times New Roman"/>
          <w:b/>
          <w:bCs/>
          <w:spacing w:val="-4"/>
          <w:sz w:val="22"/>
        </w:rPr>
        <w:t>Processo Constitucional Brasileiro</w:t>
      </w:r>
      <w:r w:rsidRPr="004B2D5F">
        <w:rPr>
          <w:rFonts w:eastAsiaTheme="minorHAnsi" w:cs="Times New Roman"/>
          <w:spacing w:val="-4"/>
          <w:sz w:val="22"/>
        </w:rPr>
        <w:t>. 5. ed. São Paulo: Revista dos Tribunais (Thomson Reuters Brasil), 2021.</w:t>
      </w:r>
    </w:p>
    <w:p w14:paraId="3A6B451F" w14:textId="77777777" w:rsidR="00DB4980" w:rsidRPr="00143082" w:rsidRDefault="00DB4980" w:rsidP="00375555">
      <w:pPr>
        <w:spacing w:after="240" w:line="240" w:lineRule="auto"/>
        <w:rPr>
          <w:rFonts w:eastAsiaTheme="minorHAnsi" w:cs="Times New Roman"/>
          <w:spacing w:val="-4"/>
          <w:sz w:val="22"/>
        </w:rPr>
      </w:pPr>
      <w:r w:rsidRPr="00E9634C">
        <w:rPr>
          <w:rFonts w:eastAsiaTheme="minorHAnsi" w:cs="Times New Roman"/>
          <w:spacing w:val="-4"/>
          <w:sz w:val="22"/>
        </w:rPr>
        <w:t xml:space="preserve">ABBOUD, Georges; NAVARRO, </w:t>
      </w:r>
      <w:proofErr w:type="spellStart"/>
      <w:r w:rsidRPr="00E9634C">
        <w:rPr>
          <w:rFonts w:eastAsiaTheme="minorHAnsi" w:cs="Times New Roman"/>
          <w:spacing w:val="-4"/>
          <w:sz w:val="22"/>
        </w:rPr>
        <w:t>Trícia</w:t>
      </w:r>
      <w:proofErr w:type="spellEnd"/>
      <w:r w:rsidRPr="00E9634C">
        <w:rPr>
          <w:rFonts w:eastAsiaTheme="minorHAnsi" w:cs="Times New Roman"/>
          <w:spacing w:val="-4"/>
          <w:sz w:val="22"/>
        </w:rPr>
        <w:t xml:space="preserve"> (</w:t>
      </w:r>
      <w:proofErr w:type="spellStart"/>
      <w:r w:rsidRPr="00143082">
        <w:rPr>
          <w:rFonts w:eastAsiaTheme="minorHAnsi" w:cs="Times New Roman"/>
          <w:spacing w:val="-4"/>
          <w:sz w:val="22"/>
        </w:rPr>
        <w:t>O</w:t>
      </w:r>
      <w:r w:rsidRPr="00E9634C">
        <w:rPr>
          <w:rFonts w:eastAsiaTheme="minorHAnsi" w:cs="Times New Roman"/>
          <w:spacing w:val="-4"/>
          <w:sz w:val="22"/>
        </w:rPr>
        <w:t>rgs</w:t>
      </w:r>
      <w:proofErr w:type="spellEnd"/>
      <w:r w:rsidRPr="00E9634C">
        <w:rPr>
          <w:rFonts w:eastAsiaTheme="minorHAnsi" w:cs="Times New Roman"/>
          <w:spacing w:val="-4"/>
          <w:sz w:val="22"/>
        </w:rPr>
        <w:t xml:space="preserve">.). </w:t>
      </w:r>
      <w:r w:rsidRPr="00E9634C">
        <w:rPr>
          <w:rFonts w:eastAsiaTheme="minorHAnsi" w:cs="Times New Roman"/>
          <w:b/>
          <w:bCs/>
          <w:spacing w:val="-4"/>
          <w:sz w:val="22"/>
        </w:rPr>
        <w:t>Consensualidade no STF</w:t>
      </w:r>
      <w:r w:rsidRPr="00143082">
        <w:rPr>
          <w:rFonts w:eastAsiaTheme="minorHAnsi" w:cs="Times New Roman"/>
          <w:spacing w:val="-4"/>
          <w:sz w:val="22"/>
        </w:rPr>
        <w:t>. São Paulo: Thomson Reuters Brasil, 2025.</w:t>
      </w:r>
    </w:p>
    <w:p w14:paraId="767B89D6" w14:textId="77777777" w:rsidR="00DB4980" w:rsidRPr="00A06B2C" w:rsidRDefault="00DB4980" w:rsidP="00375555">
      <w:pPr>
        <w:spacing w:after="240" w:line="240" w:lineRule="auto"/>
        <w:rPr>
          <w:rFonts w:eastAsiaTheme="minorHAnsi" w:cs="Times New Roman"/>
          <w:spacing w:val="-4"/>
          <w:sz w:val="22"/>
        </w:rPr>
      </w:pPr>
      <w:r w:rsidRPr="00143082">
        <w:rPr>
          <w:rFonts w:eastAsiaTheme="minorHAnsi" w:cs="Times New Roman"/>
          <w:spacing w:val="-4"/>
          <w:sz w:val="22"/>
        </w:rPr>
        <w:t xml:space="preserve">BARROSO, Luís Roberto. </w:t>
      </w:r>
      <w:r w:rsidRPr="00143082">
        <w:rPr>
          <w:rFonts w:eastAsiaTheme="minorHAnsi" w:cs="Times New Roman"/>
          <w:b/>
          <w:bCs/>
          <w:spacing w:val="-4"/>
          <w:sz w:val="22"/>
        </w:rPr>
        <w:t>A judicialização da vida e o papel do Supremo Tribunal Federal</w:t>
      </w:r>
      <w:r w:rsidRPr="00143082">
        <w:rPr>
          <w:rFonts w:eastAsiaTheme="minorHAnsi" w:cs="Times New Roman"/>
          <w:spacing w:val="-4"/>
          <w:sz w:val="22"/>
        </w:rPr>
        <w:t>. Belo Horizonte: Fórum, 2018</w:t>
      </w:r>
    </w:p>
    <w:p w14:paraId="05352B1C" w14:textId="77777777" w:rsidR="001F6668" w:rsidRPr="00143082" w:rsidRDefault="001F6668" w:rsidP="001F6668">
      <w:pPr>
        <w:spacing w:after="240" w:line="240" w:lineRule="auto"/>
        <w:rPr>
          <w:rFonts w:eastAsiaTheme="minorHAnsi" w:cs="Times New Roman"/>
          <w:spacing w:val="-4"/>
          <w:sz w:val="22"/>
        </w:rPr>
      </w:pPr>
      <w:r w:rsidRPr="00143082">
        <w:rPr>
          <w:rFonts w:eastAsiaTheme="minorHAnsi" w:cs="Times New Roman"/>
          <w:spacing w:val="-4"/>
          <w:sz w:val="22"/>
        </w:rPr>
        <w:t>BUCCI, M. P. D.; GASPARDO, M. Mapeamento de arranjos jurídico-institucionais: um roteiro metodológico para estudos das relações entre direito e política. </w:t>
      </w:r>
      <w:r w:rsidRPr="00143082">
        <w:rPr>
          <w:rFonts w:eastAsiaTheme="minorHAnsi" w:cs="Times New Roman"/>
          <w:b/>
          <w:bCs/>
          <w:spacing w:val="-4"/>
          <w:sz w:val="22"/>
        </w:rPr>
        <w:t>REI - REVISTA ESTUDOS INSTITUCIONAIS</w:t>
      </w:r>
      <w:r w:rsidRPr="00143082">
        <w:rPr>
          <w:rFonts w:eastAsiaTheme="minorHAnsi" w:cs="Times New Roman"/>
          <w:spacing w:val="-4"/>
          <w:sz w:val="22"/>
        </w:rPr>
        <w:t>, [S. l.], v. 10, n. 1, p. 1–36, 2024. DOI: 10.21783/</w:t>
      </w:r>
      <w:proofErr w:type="gramStart"/>
      <w:r w:rsidRPr="00143082">
        <w:rPr>
          <w:rFonts w:eastAsiaTheme="minorHAnsi" w:cs="Times New Roman"/>
          <w:spacing w:val="-4"/>
          <w:sz w:val="22"/>
        </w:rPr>
        <w:t>rei.v</w:t>
      </w:r>
      <w:proofErr w:type="gramEnd"/>
      <w:r w:rsidRPr="00143082">
        <w:rPr>
          <w:rFonts w:eastAsiaTheme="minorHAnsi" w:cs="Times New Roman"/>
          <w:spacing w:val="-4"/>
          <w:sz w:val="22"/>
        </w:rPr>
        <w:t>10i1.777. Disponível em: https://www.estudosinstitucionais.com/REI/article/view/777. Acesso em: 19 dez. 2025.</w:t>
      </w:r>
    </w:p>
    <w:p w14:paraId="61139728" w14:textId="353FE30F" w:rsidR="00DB4980" w:rsidRPr="00143082" w:rsidRDefault="00DB4980" w:rsidP="00375555">
      <w:pPr>
        <w:spacing w:after="240" w:line="240" w:lineRule="auto"/>
        <w:rPr>
          <w:rFonts w:eastAsiaTheme="minorHAnsi" w:cs="Times New Roman"/>
          <w:spacing w:val="-4"/>
          <w:sz w:val="22"/>
        </w:rPr>
      </w:pPr>
      <w:r w:rsidRPr="00143082">
        <w:rPr>
          <w:rFonts w:eastAsiaTheme="minorHAnsi" w:cs="Times New Roman"/>
          <w:spacing w:val="-4"/>
          <w:sz w:val="22"/>
        </w:rPr>
        <w:t xml:space="preserve">CAMPILONGO, Celso Fernandes. Os desafios do judiciário: um enquadramento teórico. In: FARIA, José Eduardo [org.]. </w:t>
      </w:r>
      <w:r w:rsidRPr="00143082">
        <w:rPr>
          <w:rFonts w:eastAsiaTheme="minorHAnsi" w:cs="Times New Roman"/>
          <w:b/>
          <w:bCs/>
          <w:spacing w:val="-4"/>
          <w:sz w:val="22"/>
        </w:rPr>
        <w:t>Direitos humanos, direitos sociais e justiça</w:t>
      </w:r>
      <w:r w:rsidRPr="00143082">
        <w:rPr>
          <w:rFonts w:eastAsiaTheme="minorHAnsi" w:cs="Times New Roman"/>
          <w:spacing w:val="-4"/>
          <w:sz w:val="22"/>
        </w:rPr>
        <w:t xml:space="preserve">, 1.ed., 5. </w:t>
      </w:r>
      <w:proofErr w:type="spellStart"/>
      <w:r w:rsidRPr="00143082">
        <w:rPr>
          <w:rFonts w:eastAsiaTheme="minorHAnsi" w:cs="Times New Roman"/>
          <w:spacing w:val="-4"/>
          <w:sz w:val="22"/>
        </w:rPr>
        <w:t>tirag</w:t>
      </w:r>
      <w:proofErr w:type="spellEnd"/>
      <w:r w:rsidRPr="00143082">
        <w:rPr>
          <w:rFonts w:eastAsiaTheme="minorHAnsi" w:cs="Times New Roman"/>
          <w:spacing w:val="-4"/>
          <w:sz w:val="22"/>
        </w:rPr>
        <w:t xml:space="preserve">. São Paulo: Malheiros, 2010 </w:t>
      </w:r>
    </w:p>
    <w:p w14:paraId="4452A153" w14:textId="7627949F" w:rsidR="000A3E57" w:rsidRPr="00143082" w:rsidRDefault="000A3E57" w:rsidP="00375555">
      <w:pPr>
        <w:spacing w:after="240" w:line="240" w:lineRule="auto"/>
        <w:rPr>
          <w:rFonts w:eastAsiaTheme="minorHAnsi" w:cs="Times New Roman"/>
          <w:spacing w:val="-4"/>
          <w:sz w:val="22"/>
        </w:rPr>
      </w:pPr>
      <w:r w:rsidRPr="00143082">
        <w:rPr>
          <w:rFonts w:eastAsiaTheme="minorHAnsi" w:cs="Times New Roman"/>
          <w:spacing w:val="-4"/>
          <w:sz w:val="22"/>
        </w:rPr>
        <w:t xml:space="preserve">CAMPILONGO, Celso Fernandes. </w:t>
      </w:r>
      <w:r w:rsidRPr="00143082">
        <w:rPr>
          <w:rFonts w:eastAsiaTheme="minorHAnsi" w:cs="Times New Roman"/>
          <w:b/>
          <w:bCs/>
          <w:spacing w:val="-4"/>
          <w:sz w:val="22"/>
        </w:rPr>
        <w:t>Política, sistema jurídico e decisão judicial</w:t>
      </w:r>
      <w:r w:rsidRPr="00143082">
        <w:rPr>
          <w:rFonts w:eastAsiaTheme="minorHAnsi" w:cs="Times New Roman"/>
          <w:spacing w:val="-4"/>
          <w:sz w:val="22"/>
        </w:rPr>
        <w:t>. 2. ed. São Paulo: Editora Saraiva, 2011.</w:t>
      </w:r>
    </w:p>
    <w:p w14:paraId="479AC368" w14:textId="4A65F41C" w:rsidR="00DB4980" w:rsidRPr="00143082" w:rsidRDefault="00DB4980" w:rsidP="00375555">
      <w:pPr>
        <w:spacing w:after="240" w:line="240" w:lineRule="auto"/>
        <w:rPr>
          <w:rFonts w:eastAsiaTheme="minorHAnsi" w:cs="Times New Roman"/>
          <w:spacing w:val="-4"/>
          <w:sz w:val="22"/>
        </w:rPr>
      </w:pPr>
      <w:r w:rsidRPr="00143082">
        <w:rPr>
          <w:rFonts w:eastAsiaTheme="minorHAnsi" w:cs="Times New Roman"/>
          <w:spacing w:val="-4"/>
          <w:sz w:val="22"/>
        </w:rPr>
        <w:t xml:space="preserve">CINTRA, Antonio Carlos de Araújo; GRINOVER, Ada Pellegrini; DINAMARCO, Cândido Rangel. </w:t>
      </w:r>
      <w:r w:rsidRPr="00143082">
        <w:rPr>
          <w:rFonts w:eastAsiaTheme="minorHAnsi" w:cs="Times New Roman"/>
          <w:b/>
          <w:bCs/>
          <w:spacing w:val="-4"/>
          <w:sz w:val="22"/>
        </w:rPr>
        <w:t>Teoria Geral do Processo</w:t>
      </w:r>
      <w:r w:rsidRPr="00143082">
        <w:rPr>
          <w:rFonts w:eastAsiaTheme="minorHAnsi" w:cs="Times New Roman"/>
          <w:spacing w:val="-4"/>
          <w:sz w:val="22"/>
        </w:rPr>
        <w:t>. 13. ed. São Paulo: Malheiros, 1994</w:t>
      </w:r>
    </w:p>
    <w:p w14:paraId="17473983" w14:textId="5C1ACBF7" w:rsidR="00DB4980" w:rsidRPr="00143082" w:rsidRDefault="00143082" w:rsidP="00375555">
      <w:pPr>
        <w:spacing w:after="240" w:line="240" w:lineRule="auto"/>
        <w:rPr>
          <w:rFonts w:eastAsiaTheme="minorHAnsi" w:cs="Times New Roman"/>
          <w:spacing w:val="-4"/>
          <w:sz w:val="22"/>
        </w:rPr>
      </w:pPr>
      <w:r w:rsidRPr="00143082">
        <w:rPr>
          <w:rFonts w:eastAsiaTheme="minorHAnsi" w:cs="Times New Roman"/>
          <w:spacing w:val="-4"/>
          <w:sz w:val="22"/>
        </w:rPr>
        <w:t>CNJ</w:t>
      </w:r>
      <w:r w:rsidR="00DB4980" w:rsidRPr="00143082">
        <w:rPr>
          <w:rFonts w:eastAsiaTheme="minorHAnsi" w:cs="Times New Roman"/>
          <w:spacing w:val="-4"/>
          <w:sz w:val="22"/>
        </w:rPr>
        <w:t xml:space="preserve">. </w:t>
      </w:r>
      <w:r w:rsidR="00DB4980" w:rsidRPr="00143082">
        <w:rPr>
          <w:rFonts w:eastAsiaTheme="minorHAnsi" w:cs="Times New Roman"/>
          <w:b/>
          <w:bCs/>
          <w:spacing w:val="-4"/>
          <w:sz w:val="22"/>
        </w:rPr>
        <w:t>Justiça em Números 2025</w:t>
      </w:r>
      <w:r w:rsidR="00DB4980" w:rsidRPr="00143082">
        <w:rPr>
          <w:rFonts w:eastAsiaTheme="minorHAnsi" w:cs="Times New Roman"/>
          <w:spacing w:val="-4"/>
          <w:sz w:val="22"/>
        </w:rPr>
        <w:t>: ano-base 2024. Brasília: CNJ, 2025.</w:t>
      </w:r>
    </w:p>
    <w:p w14:paraId="22760A11" w14:textId="02880085" w:rsidR="00DB4980" w:rsidRPr="006F6F34" w:rsidRDefault="00143082" w:rsidP="00375555">
      <w:pPr>
        <w:spacing w:after="240" w:line="240" w:lineRule="auto"/>
        <w:rPr>
          <w:rFonts w:eastAsiaTheme="minorHAnsi" w:cs="Times New Roman"/>
          <w:spacing w:val="-4"/>
          <w:sz w:val="22"/>
        </w:rPr>
      </w:pPr>
      <w:r w:rsidRPr="00143082">
        <w:rPr>
          <w:rFonts w:eastAsiaTheme="minorHAnsi" w:cs="Times New Roman"/>
          <w:spacing w:val="-4"/>
          <w:sz w:val="22"/>
        </w:rPr>
        <w:t>CNJ</w:t>
      </w:r>
      <w:r w:rsidR="00DB4980" w:rsidRPr="006F6F34">
        <w:rPr>
          <w:rFonts w:eastAsiaTheme="minorHAnsi" w:cs="Times New Roman"/>
          <w:spacing w:val="-4"/>
          <w:sz w:val="22"/>
        </w:rPr>
        <w:t xml:space="preserve">. </w:t>
      </w:r>
      <w:r w:rsidR="00DB4980" w:rsidRPr="006F6F34">
        <w:rPr>
          <w:rFonts w:eastAsiaTheme="minorHAnsi" w:cs="Times New Roman"/>
          <w:b/>
          <w:bCs/>
          <w:spacing w:val="-4"/>
          <w:sz w:val="22"/>
        </w:rPr>
        <w:t>Resolução nº 125, de 29 de novembro de 2010</w:t>
      </w:r>
      <w:r w:rsidR="00DB4980" w:rsidRPr="006F6F34">
        <w:rPr>
          <w:rFonts w:eastAsiaTheme="minorHAnsi" w:cs="Times New Roman"/>
          <w:spacing w:val="-4"/>
          <w:sz w:val="22"/>
        </w:rPr>
        <w:t>. Brasília: CNJ, 2010.</w:t>
      </w:r>
    </w:p>
    <w:p w14:paraId="256CFFD9" w14:textId="63FB7272" w:rsidR="00DB4980" w:rsidRPr="00143082" w:rsidRDefault="00143082" w:rsidP="00375555">
      <w:pPr>
        <w:spacing w:after="240" w:line="240" w:lineRule="auto"/>
        <w:rPr>
          <w:rFonts w:eastAsiaTheme="minorHAnsi" w:cs="Times New Roman"/>
          <w:spacing w:val="-4"/>
          <w:sz w:val="22"/>
        </w:rPr>
      </w:pPr>
      <w:r w:rsidRPr="00143082">
        <w:rPr>
          <w:rFonts w:eastAsiaTheme="minorHAnsi" w:cs="Times New Roman"/>
          <w:spacing w:val="-4"/>
          <w:sz w:val="22"/>
        </w:rPr>
        <w:t>CNJ</w:t>
      </w:r>
      <w:r w:rsidR="00DB4980" w:rsidRPr="006F6F34">
        <w:rPr>
          <w:rFonts w:eastAsiaTheme="minorHAnsi" w:cs="Times New Roman"/>
          <w:spacing w:val="-4"/>
          <w:sz w:val="22"/>
        </w:rPr>
        <w:t xml:space="preserve">. </w:t>
      </w:r>
      <w:r w:rsidR="00DB4980" w:rsidRPr="001F7C75">
        <w:rPr>
          <w:rFonts w:eastAsiaTheme="minorHAnsi" w:cs="Times New Roman"/>
          <w:b/>
          <w:bCs/>
          <w:spacing w:val="-4"/>
          <w:sz w:val="22"/>
        </w:rPr>
        <w:t>Resolução nº 70, de 18 de março de 2009</w:t>
      </w:r>
      <w:r w:rsidR="00DB4980" w:rsidRPr="001F7C75">
        <w:rPr>
          <w:rFonts w:eastAsiaTheme="minorHAnsi" w:cs="Times New Roman"/>
          <w:spacing w:val="-4"/>
          <w:sz w:val="22"/>
        </w:rPr>
        <w:t>. Brasília: CNJ, 2009.</w:t>
      </w:r>
    </w:p>
    <w:p w14:paraId="525BB5EE" w14:textId="6768587B" w:rsidR="00DB4980" w:rsidRPr="00143082" w:rsidRDefault="00DB4980" w:rsidP="00375555">
      <w:pPr>
        <w:spacing w:after="240" w:line="240" w:lineRule="auto"/>
        <w:rPr>
          <w:rFonts w:eastAsiaTheme="minorHAnsi" w:cs="Times New Roman"/>
          <w:spacing w:val="-4"/>
          <w:sz w:val="22"/>
        </w:rPr>
      </w:pPr>
      <w:r w:rsidRPr="00143082">
        <w:rPr>
          <w:rFonts w:eastAsiaTheme="minorHAnsi" w:cs="Times New Roman"/>
          <w:spacing w:val="-4"/>
          <w:sz w:val="22"/>
        </w:rPr>
        <w:t>ASPERTI, M. C.</w:t>
      </w:r>
      <w:r w:rsidR="0035401A" w:rsidRPr="00143082">
        <w:rPr>
          <w:rFonts w:eastAsiaTheme="minorHAnsi" w:cs="Times New Roman"/>
          <w:spacing w:val="-4"/>
          <w:sz w:val="22"/>
        </w:rPr>
        <w:t xml:space="preserve"> A</w:t>
      </w:r>
      <w:r w:rsidRPr="00143082">
        <w:rPr>
          <w:rFonts w:eastAsiaTheme="minorHAnsi" w:cs="Times New Roman"/>
          <w:spacing w:val="-4"/>
          <w:sz w:val="22"/>
        </w:rPr>
        <w:t>; ROCHA CHIUZULI, D. Supremo Conciliador</w:t>
      </w:r>
      <w:proofErr w:type="gramStart"/>
      <w:r w:rsidRPr="00143082">
        <w:rPr>
          <w:rFonts w:eastAsiaTheme="minorHAnsi" w:cs="Times New Roman"/>
          <w:spacing w:val="-4"/>
          <w:sz w:val="22"/>
        </w:rPr>
        <w:t>? :</w:t>
      </w:r>
      <w:proofErr w:type="gramEnd"/>
      <w:r w:rsidRPr="00143082">
        <w:rPr>
          <w:rFonts w:eastAsiaTheme="minorHAnsi" w:cs="Times New Roman"/>
          <w:spacing w:val="-4"/>
          <w:sz w:val="22"/>
        </w:rPr>
        <w:t xml:space="preserve"> Análise dos casos encaminhados à conciliação no âmbito do Supremo Tribunal Federal. </w:t>
      </w:r>
      <w:r w:rsidRPr="00143082">
        <w:rPr>
          <w:rFonts w:eastAsiaTheme="minorHAnsi" w:cs="Times New Roman"/>
          <w:b/>
          <w:bCs/>
          <w:spacing w:val="-4"/>
          <w:sz w:val="22"/>
        </w:rPr>
        <w:t>REI - REVISTA ESTUDOS INSTITUCIONAIS</w:t>
      </w:r>
      <w:r w:rsidRPr="00143082">
        <w:rPr>
          <w:rFonts w:eastAsiaTheme="minorHAnsi" w:cs="Times New Roman"/>
          <w:spacing w:val="-4"/>
          <w:sz w:val="22"/>
        </w:rPr>
        <w:t>, [S. l.], v. 10, n. 2, p. 450–499, 2024. DOI: 10.21783/</w:t>
      </w:r>
      <w:proofErr w:type="gramStart"/>
      <w:r w:rsidRPr="00143082">
        <w:rPr>
          <w:rFonts w:eastAsiaTheme="minorHAnsi" w:cs="Times New Roman"/>
          <w:spacing w:val="-4"/>
          <w:sz w:val="22"/>
        </w:rPr>
        <w:t>rei.v</w:t>
      </w:r>
      <w:proofErr w:type="gramEnd"/>
      <w:r w:rsidRPr="00143082">
        <w:rPr>
          <w:rFonts w:eastAsiaTheme="minorHAnsi" w:cs="Times New Roman"/>
          <w:spacing w:val="-4"/>
          <w:sz w:val="22"/>
        </w:rPr>
        <w:t>10i2.823. Disponível em: https://www.estudosinstitucionais.com/REI/article/view/823. Acesso em: 19 dez. 2025.</w:t>
      </w:r>
    </w:p>
    <w:p w14:paraId="1C95C2BF" w14:textId="77777777" w:rsidR="00DB4980" w:rsidRPr="00143082" w:rsidRDefault="00DB4980" w:rsidP="00375555">
      <w:pPr>
        <w:spacing w:after="240" w:line="240" w:lineRule="auto"/>
        <w:rPr>
          <w:rFonts w:eastAsiaTheme="minorHAnsi" w:cs="Times New Roman"/>
          <w:spacing w:val="-4"/>
          <w:sz w:val="22"/>
        </w:rPr>
      </w:pPr>
      <w:r w:rsidRPr="00143082">
        <w:rPr>
          <w:rFonts w:eastAsiaTheme="minorHAnsi" w:cs="Times New Roman"/>
          <w:spacing w:val="-4"/>
          <w:sz w:val="22"/>
        </w:rPr>
        <w:t xml:space="preserve">DELLÊ, Felipe </w:t>
      </w:r>
      <w:proofErr w:type="spellStart"/>
      <w:r w:rsidRPr="00143082">
        <w:rPr>
          <w:rFonts w:eastAsiaTheme="minorHAnsi" w:cs="Times New Roman"/>
          <w:spacing w:val="-4"/>
          <w:sz w:val="22"/>
        </w:rPr>
        <w:t>Diatczuk</w:t>
      </w:r>
      <w:proofErr w:type="spellEnd"/>
      <w:r w:rsidRPr="00143082">
        <w:rPr>
          <w:rFonts w:eastAsiaTheme="minorHAnsi" w:cs="Times New Roman"/>
          <w:spacing w:val="-4"/>
          <w:sz w:val="22"/>
        </w:rPr>
        <w:t xml:space="preserve">. O acordo de (in)constitucionalidade: os limites, as possibilidades e as respostas institucionais do Supremo Tribunal Federal. 2025. Dissertação (Mestrado em Direito) – Universidade </w:t>
      </w:r>
      <w:r w:rsidRPr="00143082">
        <w:rPr>
          <w:rFonts w:eastAsiaTheme="minorHAnsi" w:cs="Times New Roman"/>
          <w:spacing w:val="-4"/>
          <w:sz w:val="22"/>
        </w:rPr>
        <w:lastRenderedPageBreak/>
        <w:t>Federal do Paraná. Disponível em: https://acervodigital.ufpr.br/xmlui/handle/1884/98335. Acesso em: [data].</w:t>
      </w:r>
    </w:p>
    <w:p w14:paraId="385CD3E8" w14:textId="77777777" w:rsidR="00DB4980" w:rsidRPr="00143082" w:rsidRDefault="00DB4980" w:rsidP="00375555">
      <w:pPr>
        <w:spacing w:after="240" w:line="240" w:lineRule="auto"/>
        <w:rPr>
          <w:rFonts w:eastAsiaTheme="minorHAnsi" w:cs="Times New Roman"/>
          <w:spacing w:val="-4"/>
          <w:sz w:val="22"/>
        </w:rPr>
      </w:pPr>
      <w:r w:rsidRPr="009E673B">
        <w:rPr>
          <w:rFonts w:eastAsiaTheme="minorHAnsi" w:cs="Times New Roman"/>
          <w:spacing w:val="-4"/>
          <w:sz w:val="22"/>
        </w:rPr>
        <w:t xml:space="preserve">DIDIER JR, </w:t>
      </w:r>
      <w:proofErr w:type="spellStart"/>
      <w:r w:rsidRPr="009E673B">
        <w:rPr>
          <w:rFonts w:eastAsiaTheme="minorHAnsi" w:cs="Times New Roman"/>
          <w:spacing w:val="-4"/>
          <w:sz w:val="22"/>
        </w:rPr>
        <w:t>Fredie</w:t>
      </w:r>
      <w:proofErr w:type="spellEnd"/>
      <w:r w:rsidRPr="009E673B">
        <w:rPr>
          <w:rFonts w:eastAsiaTheme="minorHAnsi" w:cs="Times New Roman"/>
          <w:spacing w:val="-4"/>
          <w:sz w:val="22"/>
        </w:rPr>
        <w:t xml:space="preserve">; FERNANDEZ, Leandro. </w:t>
      </w:r>
      <w:r w:rsidRPr="009E673B">
        <w:rPr>
          <w:rFonts w:eastAsiaTheme="minorHAnsi" w:cs="Times New Roman"/>
          <w:b/>
          <w:bCs/>
          <w:spacing w:val="-4"/>
          <w:sz w:val="22"/>
        </w:rPr>
        <w:t>Introdução à Justiça Multiportas</w:t>
      </w:r>
      <w:r w:rsidRPr="009E673B">
        <w:rPr>
          <w:rFonts w:eastAsiaTheme="minorHAnsi" w:cs="Times New Roman"/>
          <w:spacing w:val="-4"/>
          <w:sz w:val="22"/>
        </w:rPr>
        <w:t xml:space="preserve">: sistema de solução de problemas jurídicos e o perfil do acesso à justiça no Brasil. 2. ed. São Paulo: </w:t>
      </w:r>
      <w:proofErr w:type="spellStart"/>
      <w:r w:rsidRPr="009E673B">
        <w:rPr>
          <w:rFonts w:eastAsiaTheme="minorHAnsi" w:cs="Times New Roman"/>
          <w:spacing w:val="-4"/>
          <w:sz w:val="22"/>
        </w:rPr>
        <w:t>JusPodivm</w:t>
      </w:r>
      <w:proofErr w:type="spellEnd"/>
      <w:r w:rsidRPr="009E673B">
        <w:rPr>
          <w:rFonts w:eastAsiaTheme="minorHAnsi" w:cs="Times New Roman"/>
          <w:spacing w:val="-4"/>
          <w:sz w:val="22"/>
        </w:rPr>
        <w:t>, 2025</w:t>
      </w:r>
      <w:r w:rsidRPr="00143082">
        <w:rPr>
          <w:rFonts w:eastAsiaTheme="minorHAnsi" w:cs="Times New Roman"/>
          <w:spacing w:val="-4"/>
          <w:sz w:val="22"/>
        </w:rPr>
        <w:t>.</w:t>
      </w:r>
    </w:p>
    <w:p w14:paraId="5C3A3FCD" w14:textId="77777777" w:rsidR="00DB4980" w:rsidRPr="00143082" w:rsidRDefault="00DB4980" w:rsidP="00375555">
      <w:pPr>
        <w:spacing w:after="240" w:line="240" w:lineRule="auto"/>
        <w:rPr>
          <w:rFonts w:eastAsiaTheme="minorHAnsi" w:cs="Times New Roman"/>
          <w:spacing w:val="-4"/>
          <w:sz w:val="22"/>
        </w:rPr>
      </w:pPr>
      <w:r w:rsidRPr="00A06B2C">
        <w:rPr>
          <w:rFonts w:eastAsiaTheme="minorHAnsi" w:cs="Times New Roman"/>
          <w:spacing w:val="-4"/>
          <w:sz w:val="22"/>
        </w:rPr>
        <w:t xml:space="preserve">DIDIER JR, </w:t>
      </w:r>
      <w:proofErr w:type="spellStart"/>
      <w:r w:rsidRPr="00A06B2C">
        <w:rPr>
          <w:rFonts w:eastAsiaTheme="minorHAnsi" w:cs="Times New Roman"/>
          <w:spacing w:val="-4"/>
          <w:sz w:val="22"/>
        </w:rPr>
        <w:t>Fredie</w:t>
      </w:r>
      <w:proofErr w:type="spellEnd"/>
      <w:r w:rsidRPr="00A06B2C">
        <w:rPr>
          <w:rFonts w:eastAsiaTheme="minorHAnsi" w:cs="Times New Roman"/>
          <w:spacing w:val="-4"/>
          <w:sz w:val="22"/>
        </w:rPr>
        <w:t>; FERNÁNDEZ, Leandro. O sistema brasileiro de justiça multiportas como um sistema auto</w:t>
      </w:r>
      <w:r w:rsidRPr="00A06B2C">
        <w:rPr>
          <w:rFonts w:eastAsiaTheme="minorHAnsi" w:cs="Times New Roman"/>
          <w:spacing w:val="-4"/>
          <w:sz w:val="22"/>
        </w:rPr>
        <w:noBreakHyphen/>
        <w:t xml:space="preserve">organizado: interação, integração e seus institutos catalisadores. </w:t>
      </w:r>
      <w:r w:rsidRPr="00A06B2C">
        <w:rPr>
          <w:rFonts w:eastAsiaTheme="minorHAnsi" w:cs="Times New Roman"/>
          <w:b/>
          <w:bCs/>
          <w:spacing w:val="-4"/>
          <w:sz w:val="22"/>
        </w:rPr>
        <w:t>Revista do Ministério Público do Estado do Rio de Janeiro</w:t>
      </w:r>
      <w:r w:rsidRPr="00A06B2C">
        <w:rPr>
          <w:rFonts w:eastAsiaTheme="minorHAnsi" w:cs="Times New Roman"/>
          <w:spacing w:val="-4"/>
          <w:sz w:val="22"/>
        </w:rPr>
        <w:t>, Rio de Janeiro, v. 88, abr./jun. 2023. Disponível em: &lt;https://www.mprj.mp.br/documents/20184/3978934/Fredie+Didier+Jr._Leandro+Fernandez__RMP-886.pdf&gt;. Acesso em: 19 dez. 2025</w:t>
      </w:r>
      <w:r w:rsidRPr="00143082">
        <w:rPr>
          <w:rFonts w:eastAsiaTheme="minorHAnsi" w:cs="Times New Roman"/>
          <w:spacing w:val="-4"/>
          <w:sz w:val="22"/>
        </w:rPr>
        <w:t>.</w:t>
      </w:r>
    </w:p>
    <w:p w14:paraId="5C3656FA" w14:textId="77777777" w:rsidR="00DB4980" w:rsidRPr="00143082" w:rsidRDefault="00DB4980" w:rsidP="00375555">
      <w:pPr>
        <w:spacing w:after="240" w:line="240" w:lineRule="auto"/>
        <w:rPr>
          <w:rFonts w:eastAsiaTheme="minorHAnsi" w:cs="Times New Roman"/>
          <w:spacing w:val="-4"/>
          <w:sz w:val="22"/>
        </w:rPr>
      </w:pPr>
      <w:r w:rsidRPr="00143082">
        <w:rPr>
          <w:rFonts w:eastAsiaTheme="minorHAnsi" w:cs="Times New Roman"/>
          <w:spacing w:val="-4"/>
          <w:sz w:val="22"/>
        </w:rPr>
        <w:t xml:space="preserve">FARIA, José Eduardo. As transformações do judiciário em face de suas responsabilidades sociais. In: FARIA, José Eduardo [org.]. </w:t>
      </w:r>
      <w:r w:rsidRPr="00143082">
        <w:rPr>
          <w:rFonts w:eastAsiaTheme="minorHAnsi" w:cs="Times New Roman"/>
          <w:b/>
          <w:bCs/>
          <w:spacing w:val="-4"/>
          <w:sz w:val="22"/>
        </w:rPr>
        <w:t>Direitos humanos, direitos sociais e justiça</w:t>
      </w:r>
      <w:r w:rsidRPr="00143082">
        <w:rPr>
          <w:rFonts w:eastAsiaTheme="minorHAnsi" w:cs="Times New Roman"/>
          <w:spacing w:val="-4"/>
          <w:sz w:val="22"/>
        </w:rPr>
        <w:t xml:space="preserve">, 1.ed., 5. </w:t>
      </w:r>
      <w:proofErr w:type="spellStart"/>
      <w:r w:rsidRPr="00143082">
        <w:rPr>
          <w:rFonts w:eastAsiaTheme="minorHAnsi" w:cs="Times New Roman"/>
          <w:spacing w:val="-4"/>
          <w:sz w:val="22"/>
        </w:rPr>
        <w:t>tirag</w:t>
      </w:r>
      <w:proofErr w:type="spellEnd"/>
      <w:r w:rsidRPr="00143082">
        <w:rPr>
          <w:rFonts w:eastAsiaTheme="minorHAnsi" w:cs="Times New Roman"/>
          <w:spacing w:val="-4"/>
          <w:sz w:val="22"/>
        </w:rPr>
        <w:t>. São Paulo: Malheiros, 2010.</w:t>
      </w:r>
    </w:p>
    <w:p w14:paraId="2BB38ED0" w14:textId="77777777" w:rsidR="00DB4980" w:rsidRPr="00143082" w:rsidRDefault="00DB4980" w:rsidP="00375555">
      <w:pPr>
        <w:spacing w:after="240" w:line="240" w:lineRule="auto"/>
        <w:rPr>
          <w:rFonts w:eastAsiaTheme="minorHAnsi" w:cs="Times New Roman"/>
          <w:spacing w:val="-4"/>
          <w:sz w:val="22"/>
        </w:rPr>
      </w:pPr>
      <w:r w:rsidRPr="00143082">
        <w:rPr>
          <w:rFonts w:eastAsiaTheme="minorHAnsi" w:cs="Times New Roman"/>
          <w:spacing w:val="-4"/>
          <w:sz w:val="22"/>
        </w:rPr>
        <w:t xml:space="preserve">FERRAZ JR., Tércio Sampaio. O Judiciário frente à divisão de poderes: um princípio em decadência? </w:t>
      </w:r>
      <w:r w:rsidRPr="00143082">
        <w:rPr>
          <w:rFonts w:eastAsiaTheme="minorHAnsi" w:cs="Times New Roman"/>
          <w:b/>
          <w:bCs/>
          <w:spacing w:val="-4"/>
          <w:sz w:val="22"/>
        </w:rPr>
        <w:t>Revista da USP</w:t>
      </w:r>
      <w:r w:rsidRPr="00143082">
        <w:rPr>
          <w:rFonts w:eastAsiaTheme="minorHAnsi" w:cs="Times New Roman"/>
          <w:spacing w:val="-4"/>
          <w:sz w:val="22"/>
        </w:rPr>
        <w:t xml:space="preserve">, Dossiê Judiciário, São Paulo, n. 21, p. 12-21, mar.-mai. 1994, p. 18  </w:t>
      </w:r>
    </w:p>
    <w:p w14:paraId="4DFF1EC0" w14:textId="77777777" w:rsidR="00915051" w:rsidRPr="00143082" w:rsidRDefault="00915051" w:rsidP="00375555">
      <w:pPr>
        <w:spacing w:after="240" w:line="240" w:lineRule="auto"/>
        <w:rPr>
          <w:rFonts w:eastAsiaTheme="minorHAnsi" w:cs="Times New Roman"/>
          <w:spacing w:val="-4"/>
          <w:sz w:val="22"/>
        </w:rPr>
      </w:pPr>
      <w:r w:rsidRPr="00143082">
        <w:rPr>
          <w:rFonts w:eastAsiaTheme="minorHAnsi" w:cs="Times New Roman"/>
          <w:spacing w:val="-4"/>
          <w:sz w:val="22"/>
        </w:rPr>
        <w:t>FUNDAÇÃO FHC. A responsabilidade pela última palavra. Fundação FHC, São Paulo, out. 2025. Disponível em: &lt;https://fundacaofhc.org.br/publicacao/a-responsabilidade-pela-ultima-palavra/&gt;. Acesso em: 19 dez. 2025.</w:t>
      </w:r>
    </w:p>
    <w:p w14:paraId="4FC62859" w14:textId="09D1BAFC" w:rsidR="00DB4980" w:rsidRPr="00143082" w:rsidRDefault="00DB4980" w:rsidP="00375555">
      <w:pPr>
        <w:spacing w:after="240" w:line="240" w:lineRule="auto"/>
        <w:rPr>
          <w:rFonts w:eastAsiaTheme="minorHAnsi" w:cs="Times New Roman"/>
          <w:spacing w:val="-4"/>
          <w:sz w:val="22"/>
        </w:rPr>
      </w:pPr>
      <w:r w:rsidRPr="00143082">
        <w:rPr>
          <w:rFonts w:eastAsiaTheme="minorHAnsi" w:cs="Times New Roman"/>
          <w:spacing w:val="-4"/>
          <w:sz w:val="22"/>
        </w:rPr>
        <w:t xml:space="preserve">GODOY, Miguel </w:t>
      </w:r>
      <w:proofErr w:type="spellStart"/>
      <w:r w:rsidRPr="00143082">
        <w:rPr>
          <w:rFonts w:eastAsiaTheme="minorHAnsi" w:cs="Times New Roman"/>
          <w:spacing w:val="-4"/>
          <w:sz w:val="22"/>
        </w:rPr>
        <w:t>Gualano</w:t>
      </w:r>
      <w:proofErr w:type="spellEnd"/>
      <w:r w:rsidRPr="00143082">
        <w:rPr>
          <w:rFonts w:eastAsiaTheme="minorHAnsi" w:cs="Times New Roman"/>
          <w:spacing w:val="-4"/>
          <w:sz w:val="22"/>
        </w:rPr>
        <w:t xml:space="preserve"> de. O Supremo contra o processo constitucional: decisões monocráticas, transação da constitucionalidade e o silêncio do Plenário. </w:t>
      </w:r>
      <w:r w:rsidRPr="00143082">
        <w:rPr>
          <w:rFonts w:eastAsiaTheme="minorHAnsi" w:cs="Times New Roman"/>
          <w:b/>
          <w:bCs/>
          <w:spacing w:val="-4"/>
          <w:sz w:val="22"/>
        </w:rPr>
        <w:t>Revista Direito e Práxis</w:t>
      </w:r>
      <w:r w:rsidRPr="00143082">
        <w:rPr>
          <w:rFonts w:eastAsiaTheme="minorHAnsi" w:cs="Times New Roman"/>
          <w:spacing w:val="-4"/>
          <w:sz w:val="22"/>
        </w:rPr>
        <w:t>, Rio de Janeiro, v. 12, n. 2, p. XX–YY, 2021. DOI: 10.1590/2179-8966/2020/44292. Disponível em: &lt;https://doi.org/10.1590/2179-8966/2020/44292&gt;. Acesso em: 19 dez. 2025.</w:t>
      </w:r>
    </w:p>
    <w:p w14:paraId="1B337469" w14:textId="77777777" w:rsidR="00DB4980" w:rsidRPr="00143082" w:rsidRDefault="00DB4980" w:rsidP="00375555">
      <w:pPr>
        <w:spacing w:after="240" w:line="240" w:lineRule="auto"/>
        <w:rPr>
          <w:rFonts w:eastAsiaTheme="minorHAnsi" w:cs="Times New Roman"/>
          <w:spacing w:val="-4"/>
          <w:sz w:val="22"/>
        </w:rPr>
      </w:pPr>
      <w:r w:rsidRPr="00143082">
        <w:rPr>
          <w:rFonts w:eastAsiaTheme="minorHAnsi" w:cs="Times New Roman"/>
          <w:spacing w:val="-4"/>
          <w:sz w:val="22"/>
        </w:rPr>
        <w:t xml:space="preserve">GUALANO DE GODOY, Miguel; SANTANA, Carolina Ribeiro. STF: guardião ou porteiro da Constituição? </w:t>
      </w:r>
      <w:r w:rsidRPr="00143082">
        <w:rPr>
          <w:rFonts w:eastAsiaTheme="minorHAnsi" w:cs="Times New Roman"/>
          <w:b/>
          <w:bCs/>
          <w:spacing w:val="-4"/>
          <w:sz w:val="22"/>
        </w:rPr>
        <w:t>JOTA</w:t>
      </w:r>
      <w:r w:rsidRPr="00143082">
        <w:rPr>
          <w:rFonts w:eastAsiaTheme="minorHAnsi" w:cs="Times New Roman"/>
          <w:spacing w:val="-4"/>
          <w:sz w:val="22"/>
        </w:rPr>
        <w:t>, 02 set. 2024. Disponível em: https://www.academia.edu/143618989/STF_guardi%C3%A3o_ou_porteiro_da_Constitui%C3%A7%C3%A3o. Acesso em: [data].</w:t>
      </w:r>
    </w:p>
    <w:p w14:paraId="2005A947" w14:textId="77777777" w:rsidR="00DB4980" w:rsidRPr="007077AE" w:rsidRDefault="00DB4980" w:rsidP="00375555">
      <w:pPr>
        <w:spacing w:after="240" w:line="240" w:lineRule="auto"/>
        <w:rPr>
          <w:rFonts w:eastAsiaTheme="minorHAnsi" w:cs="Times New Roman"/>
          <w:spacing w:val="-4"/>
          <w:sz w:val="22"/>
        </w:rPr>
      </w:pPr>
      <w:r w:rsidRPr="007077AE">
        <w:rPr>
          <w:rFonts w:eastAsiaTheme="minorHAnsi" w:cs="Times New Roman"/>
          <w:spacing w:val="-4"/>
          <w:sz w:val="22"/>
        </w:rPr>
        <w:t xml:space="preserve">HORBACH, Beatriz Bastide; PINTO, Ana Luísa Ferreira; VASCONCELOS, Beto. O consensualismo nos tribunais superiores. </w:t>
      </w:r>
      <w:r w:rsidRPr="007077AE">
        <w:rPr>
          <w:rFonts w:eastAsiaTheme="minorHAnsi" w:cs="Times New Roman"/>
          <w:b/>
          <w:bCs/>
          <w:spacing w:val="-4"/>
          <w:sz w:val="22"/>
        </w:rPr>
        <w:t>JOTA</w:t>
      </w:r>
      <w:r w:rsidRPr="007077AE">
        <w:rPr>
          <w:rFonts w:eastAsiaTheme="minorHAnsi" w:cs="Times New Roman"/>
          <w:spacing w:val="-4"/>
          <w:sz w:val="22"/>
        </w:rPr>
        <w:t>, São Paulo, 29 ago. 2025. Disponível em: &lt;https://www.jota.info/opiniao-e-analise/artigos/o-consensualismo-nos-tribunais-superiores&gt;. Acesso em: 19 dez. 2025</w:t>
      </w:r>
    </w:p>
    <w:p w14:paraId="143BD4B3" w14:textId="77777777" w:rsidR="00DB4980" w:rsidRPr="00143082" w:rsidRDefault="00DB4980" w:rsidP="00375555">
      <w:pPr>
        <w:spacing w:after="240" w:line="240" w:lineRule="auto"/>
        <w:rPr>
          <w:rFonts w:eastAsiaTheme="minorHAnsi" w:cs="Times New Roman"/>
          <w:spacing w:val="-4"/>
          <w:sz w:val="22"/>
        </w:rPr>
      </w:pPr>
      <w:r w:rsidRPr="00143082">
        <w:rPr>
          <w:rFonts w:eastAsiaTheme="minorHAnsi" w:cs="Times New Roman"/>
          <w:spacing w:val="-4"/>
          <w:sz w:val="22"/>
        </w:rPr>
        <w:t xml:space="preserve">JOTA. É possível uma conciliação entre indígenas e ruralistas? </w:t>
      </w:r>
      <w:r w:rsidRPr="00143082">
        <w:rPr>
          <w:rFonts w:eastAsiaTheme="minorHAnsi" w:cs="Times New Roman"/>
          <w:b/>
          <w:bCs/>
          <w:spacing w:val="-4"/>
          <w:sz w:val="22"/>
        </w:rPr>
        <w:t>JOTA – Opinião e Análise</w:t>
      </w:r>
      <w:r w:rsidRPr="00143082">
        <w:rPr>
          <w:rFonts w:eastAsiaTheme="minorHAnsi" w:cs="Times New Roman"/>
          <w:spacing w:val="-4"/>
          <w:sz w:val="22"/>
        </w:rPr>
        <w:t>, 9 ago. 2024. Disponível em: &lt;https://www.jota.info/opiniao-e-analise/colunas/sem-precedentes/e-possivel-uma-conciliacao-entre-indigenas-e-ruralistas&gt;. Acesso em: 19 dez. 2025.</w:t>
      </w:r>
    </w:p>
    <w:p w14:paraId="565B8A94" w14:textId="77777777" w:rsidR="00DB4980" w:rsidRPr="00143082" w:rsidRDefault="00DB4980" w:rsidP="00375555">
      <w:pPr>
        <w:spacing w:after="240" w:line="240" w:lineRule="auto"/>
        <w:rPr>
          <w:rFonts w:eastAsiaTheme="minorHAnsi" w:cs="Times New Roman"/>
          <w:spacing w:val="-4"/>
          <w:sz w:val="22"/>
        </w:rPr>
      </w:pPr>
      <w:r w:rsidRPr="00143082">
        <w:rPr>
          <w:rFonts w:eastAsiaTheme="minorHAnsi" w:cs="Times New Roman"/>
          <w:spacing w:val="-4"/>
          <w:sz w:val="22"/>
        </w:rPr>
        <w:t>KARAM DE CHUEIRI, Vera; GUALANO DE GODOY, Miguel; MARTINS FONÇATTI, Gabriel. Conciliação no STF para além da normatividade: entendendo a constituição negocial; mobilizando a constituição radical. </w:t>
      </w:r>
      <w:r w:rsidRPr="00143082">
        <w:rPr>
          <w:rFonts w:eastAsiaTheme="minorHAnsi" w:cs="Times New Roman"/>
          <w:b/>
          <w:bCs/>
          <w:spacing w:val="-4"/>
          <w:sz w:val="22"/>
        </w:rPr>
        <w:t>Revista Direito e Práxis</w:t>
      </w:r>
      <w:r w:rsidRPr="00143082">
        <w:rPr>
          <w:rFonts w:eastAsiaTheme="minorHAnsi" w:cs="Times New Roman"/>
          <w:spacing w:val="-4"/>
          <w:sz w:val="22"/>
        </w:rPr>
        <w:t>, [S. l.], v. 16, n. 2, p. 1–23, 2025. Disponível em: https://www.e-publicacoes.uerj.br/revistaceaju/article/view/88068. Acesso em: 19 dez. 2025.</w:t>
      </w:r>
    </w:p>
    <w:p w14:paraId="027AF30E" w14:textId="77777777" w:rsidR="00DB4980" w:rsidRPr="00143082" w:rsidRDefault="00DB4980" w:rsidP="00375555">
      <w:pPr>
        <w:spacing w:after="240" w:line="240" w:lineRule="auto"/>
        <w:rPr>
          <w:rFonts w:eastAsiaTheme="minorHAnsi" w:cs="Times New Roman"/>
          <w:spacing w:val="-4"/>
          <w:sz w:val="22"/>
        </w:rPr>
      </w:pPr>
      <w:r w:rsidRPr="00143082">
        <w:rPr>
          <w:rFonts w:eastAsiaTheme="minorHAnsi" w:cs="Times New Roman"/>
          <w:spacing w:val="-4"/>
          <w:sz w:val="22"/>
        </w:rPr>
        <w:t xml:space="preserve">LEAL, Saul Tourinho. Conciliações no STF ressignificam justiça constitucional. </w:t>
      </w:r>
      <w:r w:rsidRPr="00143082">
        <w:rPr>
          <w:rFonts w:eastAsiaTheme="minorHAnsi" w:cs="Times New Roman"/>
          <w:b/>
          <w:bCs/>
          <w:spacing w:val="-4"/>
          <w:sz w:val="22"/>
        </w:rPr>
        <w:t>Migalhas</w:t>
      </w:r>
      <w:r w:rsidRPr="00143082">
        <w:rPr>
          <w:rFonts w:eastAsiaTheme="minorHAnsi" w:cs="Times New Roman"/>
          <w:spacing w:val="-4"/>
          <w:sz w:val="22"/>
        </w:rPr>
        <w:t>, São Paulo, 28 maio 2019. Coluna “Conversa Constitucional”. Disponível em: &lt;https://www.migalhas.com.br/coluna/conversa-constitucional/303181/conciliacoes-no-stf-ressignificam-justica-constitucional&gt;. Acesso em: 19 dez. 2025.</w:t>
      </w:r>
    </w:p>
    <w:p w14:paraId="41CB0853" w14:textId="77777777" w:rsidR="00DB4980" w:rsidRPr="001D2F33" w:rsidRDefault="00DB4980" w:rsidP="00375555">
      <w:pPr>
        <w:spacing w:after="240" w:line="240" w:lineRule="auto"/>
        <w:rPr>
          <w:rFonts w:eastAsiaTheme="minorHAnsi" w:cs="Times New Roman"/>
          <w:spacing w:val="-4"/>
          <w:sz w:val="22"/>
        </w:rPr>
      </w:pPr>
      <w:r w:rsidRPr="001D2F33">
        <w:rPr>
          <w:rFonts w:eastAsiaTheme="minorHAnsi" w:cs="Times New Roman"/>
          <w:spacing w:val="-4"/>
          <w:sz w:val="22"/>
        </w:rPr>
        <w:t xml:space="preserve">LUNARDI, Soraya Gasparetto; DIMOULIS, Dimitri. Ser ou não ser Corte constitucional? Eis o problema da “conciliação”. </w:t>
      </w:r>
      <w:r w:rsidRPr="001D2F33">
        <w:rPr>
          <w:rFonts w:eastAsiaTheme="minorHAnsi" w:cs="Times New Roman"/>
          <w:b/>
          <w:bCs/>
          <w:spacing w:val="-4"/>
          <w:sz w:val="22"/>
        </w:rPr>
        <w:t>JOTA</w:t>
      </w:r>
      <w:r w:rsidRPr="001D2F33">
        <w:rPr>
          <w:rFonts w:eastAsiaTheme="minorHAnsi" w:cs="Times New Roman"/>
          <w:spacing w:val="-4"/>
          <w:sz w:val="22"/>
        </w:rPr>
        <w:t>, São Paulo, 6 ago. 2024. Disponível em: &lt;https://www.jota.info/stf/supra/ser-ou-nao-ser-corte-constitucional-eis-o-problema-da-conciliacao&gt;. Acesso em: 19 dez. 2025</w:t>
      </w:r>
    </w:p>
    <w:p w14:paraId="4D33CB9A" w14:textId="77777777" w:rsidR="00DB4980" w:rsidRPr="00143082" w:rsidRDefault="00DB4980" w:rsidP="00375555">
      <w:pPr>
        <w:spacing w:after="240" w:line="240" w:lineRule="auto"/>
        <w:rPr>
          <w:rFonts w:eastAsiaTheme="minorHAnsi" w:cs="Times New Roman"/>
          <w:spacing w:val="-4"/>
          <w:sz w:val="22"/>
        </w:rPr>
      </w:pPr>
      <w:r w:rsidRPr="00143082">
        <w:rPr>
          <w:rFonts w:eastAsiaTheme="minorHAnsi" w:cs="Times New Roman"/>
          <w:spacing w:val="-4"/>
          <w:sz w:val="22"/>
        </w:rPr>
        <w:lastRenderedPageBreak/>
        <w:t xml:space="preserve">MENDES, Conrado Hubner. STF tenta transformar direito fundamental indígena em escambo. </w:t>
      </w:r>
      <w:r w:rsidRPr="00143082">
        <w:rPr>
          <w:rFonts w:eastAsiaTheme="minorHAnsi" w:cs="Times New Roman"/>
          <w:b/>
          <w:bCs/>
          <w:spacing w:val="-4"/>
          <w:sz w:val="22"/>
        </w:rPr>
        <w:t>Folha de S. Paulo</w:t>
      </w:r>
      <w:r w:rsidRPr="00143082">
        <w:rPr>
          <w:rFonts w:eastAsiaTheme="minorHAnsi" w:cs="Times New Roman"/>
          <w:spacing w:val="-4"/>
          <w:sz w:val="22"/>
        </w:rPr>
        <w:t>, São Paulo, 18 jul. 2024. Coluna Opinião. Disponível em: &lt;https://www1.folha.uol.com.br/colunas/conrado-hubner-mendes/2024/07/stf-tenta-transformar-direito-fundamental-indigena-em-escambo.shtml&gt;. Acesso em: 19 dez. 2025.</w:t>
      </w:r>
    </w:p>
    <w:p w14:paraId="5716A06C" w14:textId="77777777" w:rsidR="00DB4980" w:rsidRPr="00143082" w:rsidRDefault="00DB4980" w:rsidP="00375555">
      <w:pPr>
        <w:spacing w:after="240" w:line="240" w:lineRule="auto"/>
        <w:rPr>
          <w:rFonts w:eastAsiaTheme="minorHAnsi" w:cs="Times New Roman"/>
          <w:spacing w:val="-4"/>
          <w:sz w:val="22"/>
        </w:rPr>
      </w:pPr>
      <w:r w:rsidRPr="00143082">
        <w:rPr>
          <w:rFonts w:eastAsiaTheme="minorHAnsi" w:cs="Times New Roman"/>
          <w:spacing w:val="-4"/>
          <w:sz w:val="22"/>
        </w:rPr>
        <w:t xml:space="preserve">MENDES, Gilmar Ferreira. BRANCO. Gustavo </w:t>
      </w:r>
      <w:proofErr w:type="spellStart"/>
      <w:r w:rsidRPr="00143082">
        <w:rPr>
          <w:rFonts w:eastAsiaTheme="minorHAnsi" w:cs="Times New Roman"/>
          <w:spacing w:val="-4"/>
          <w:sz w:val="22"/>
        </w:rPr>
        <w:t>Gonet</w:t>
      </w:r>
      <w:proofErr w:type="spellEnd"/>
      <w:r w:rsidRPr="00143082">
        <w:rPr>
          <w:rFonts w:eastAsiaTheme="minorHAnsi" w:cs="Times New Roman"/>
          <w:spacing w:val="-4"/>
          <w:sz w:val="22"/>
        </w:rPr>
        <w:t xml:space="preserve">. </w:t>
      </w:r>
      <w:r w:rsidRPr="00143082">
        <w:rPr>
          <w:rFonts w:eastAsiaTheme="minorHAnsi" w:cs="Times New Roman"/>
          <w:b/>
          <w:bCs/>
          <w:spacing w:val="-4"/>
          <w:sz w:val="22"/>
        </w:rPr>
        <w:t>Curso de Direito Constitucional</w:t>
      </w:r>
      <w:r w:rsidRPr="00143082">
        <w:rPr>
          <w:rFonts w:eastAsiaTheme="minorHAnsi" w:cs="Times New Roman"/>
          <w:spacing w:val="-4"/>
          <w:sz w:val="22"/>
        </w:rPr>
        <w:t xml:space="preserve">, 10. </w:t>
      </w:r>
      <w:proofErr w:type="gramStart"/>
      <w:r w:rsidRPr="00143082">
        <w:rPr>
          <w:rFonts w:eastAsiaTheme="minorHAnsi" w:cs="Times New Roman"/>
          <w:spacing w:val="-4"/>
          <w:sz w:val="22"/>
        </w:rPr>
        <w:t>ed..</w:t>
      </w:r>
      <w:proofErr w:type="gramEnd"/>
      <w:r w:rsidRPr="00143082">
        <w:rPr>
          <w:rFonts w:eastAsiaTheme="minorHAnsi" w:cs="Times New Roman"/>
          <w:spacing w:val="-4"/>
          <w:sz w:val="22"/>
        </w:rPr>
        <w:t xml:space="preserve"> São Paulo: Saraiva, 2015.</w:t>
      </w:r>
    </w:p>
    <w:p w14:paraId="1A152208" w14:textId="77777777" w:rsidR="00DB4980" w:rsidRPr="00D503C8" w:rsidRDefault="00DB4980" w:rsidP="00375555">
      <w:pPr>
        <w:spacing w:after="240" w:line="240" w:lineRule="auto"/>
        <w:rPr>
          <w:rFonts w:eastAsiaTheme="minorHAnsi" w:cs="Times New Roman"/>
          <w:spacing w:val="-4"/>
          <w:sz w:val="22"/>
        </w:rPr>
      </w:pPr>
      <w:r w:rsidRPr="00D503C8">
        <w:rPr>
          <w:rFonts w:eastAsiaTheme="minorHAnsi" w:cs="Times New Roman"/>
          <w:spacing w:val="-4"/>
          <w:sz w:val="22"/>
        </w:rPr>
        <w:t xml:space="preserve">MIGALHAS. STF – Peluso defende conciliação como alternativa para a solução de conflitos. </w:t>
      </w:r>
      <w:r w:rsidRPr="00D503C8">
        <w:rPr>
          <w:rFonts w:eastAsiaTheme="minorHAnsi" w:cs="Times New Roman"/>
          <w:b/>
          <w:bCs/>
          <w:spacing w:val="-4"/>
          <w:sz w:val="22"/>
        </w:rPr>
        <w:t>Migalhas</w:t>
      </w:r>
      <w:r w:rsidRPr="00D503C8">
        <w:rPr>
          <w:rFonts w:eastAsiaTheme="minorHAnsi" w:cs="Times New Roman"/>
          <w:spacing w:val="-4"/>
          <w:sz w:val="22"/>
        </w:rPr>
        <w:t>, São Paulo, 16 maio 2011. Disponível em: &lt;https://www.migalhas.com.br/quentes/136405/stf---peluso-defende-conciliacao-como-alternativa-para-a-solucao-de-conflitos&gt;. Acesso em: 19 dez. 2025.</w:t>
      </w:r>
    </w:p>
    <w:p w14:paraId="37C75BBB" w14:textId="77777777" w:rsidR="00DB4980" w:rsidRPr="00143082" w:rsidRDefault="00DB4980" w:rsidP="00375555">
      <w:pPr>
        <w:spacing w:after="240" w:line="240" w:lineRule="auto"/>
        <w:rPr>
          <w:rFonts w:eastAsiaTheme="minorHAnsi" w:cs="Times New Roman"/>
          <w:spacing w:val="-4"/>
          <w:sz w:val="22"/>
        </w:rPr>
      </w:pPr>
      <w:r w:rsidRPr="00143082">
        <w:rPr>
          <w:rFonts w:eastAsiaTheme="minorHAnsi" w:cs="Times New Roman"/>
          <w:spacing w:val="-4"/>
          <w:sz w:val="22"/>
        </w:rPr>
        <w:t xml:space="preserve">OUTRAS PALAVRAS. Liderança indígena confronta a conciliação infame. </w:t>
      </w:r>
      <w:r w:rsidRPr="00143082">
        <w:rPr>
          <w:rFonts w:eastAsiaTheme="minorHAnsi" w:cs="Times New Roman"/>
          <w:b/>
          <w:bCs/>
          <w:spacing w:val="-4"/>
          <w:sz w:val="22"/>
        </w:rPr>
        <w:t>Outras Palavras</w:t>
      </w:r>
      <w:r w:rsidRPr="00143082">
        <w:rPr>
          <w:rFonts w:eastAsiaTheme="minorHAnsi" w:cs="Times New Roman"/>
          <w:spacing w:val="-4"/>
          <w:sz w:val="22"/>
        </w:rPr>
        <w:t>, São Paulo, 14 jun. 2023. Disponível em: &lt;https://outraspalavras.net/outrasmidias/lideranca-indigena-confronta-a-conciliacao-infame/&gt;. Acesso em: 19 dez. 2025.</w:t>
      </w:r>
    </w:p>
    <w:p w14:paraId="7616F211" w14:textId="77777777" w:rsidR="00DB4980" w:rsidRPr="00143082" w:rsidRDefault="00DB4980" w:rsidP="00375555">
      <w:pPr>
        <w:spacing w:after="240" w:line="240" w:lineRule="auto"/>
        <w:rPr>
          <w:rFonts w:eastAsiaTheme="minorHAnsi" w:cs="Times New Roman"/>
          <w:spacing w:val="-4"/>
          <w:sz w:val="22"/>
        </w:rPr>
      </w:pPr>
      <w:r w:rsidRPr="00143082">
        <w:rPr>
          <w:rFonts w:eastAsiaTheme="minorHAnsi" w:cs="Times New Roman"/>
          <w:spacing w:val="-4"/>
          <w:sz w:val="22"/>
        </w:rPr>
        <w:t xml:space="preserve">SADEK, Maria Tereza; e ARANTES, Rogerio Bastos. A crise do Judiciário e a visão dos juízes. </w:t>
      </w:r>
      <w:r w:rsidRPr="00143082">
        <w:rPr>
          <w:rFonts w:eastAsiaTheme="minorHAnsi" w:cs="Times New Roman"/>
          <w:b/>
          <w:bCs/>
          <w:spacing w:val="-4"/>
          <w:sz w:val="22"/>
        </w:rPr>
        <w:t>Revista da USP</w:t>
      </w:r>
      <w:r w:rsidRPr="00143082">
        <w:rPr>
          <w:rFonts w:eastAsiaTheme="minorHAnsi" w:cs="Times New Roman"/>
          <w:spacing w:val="-4"/>
          <w:sz w:val="22"/>
        </w:rPr>
        <w:t xml:space="preserve">, São Paulo: Coordenadoria de Comunicação Social da Universidade de São Paulo, n. 21, p. 35-45, mar.-abr.-mai. 1994  </w:t>
      </w:r>
    </w:p>
    <w:p w14:paraId="35801E22" w14:textId="77777777" w:rsidR="00DB4980" w:rsidRPr="00143082" w:rsidRDefault="00DB4980" w:rsidP="00375555">
      <w:pPr>
        <w:spacing w:after="240" w:line="240" w:lineRule="auto"/>
        <w:rPr>
          <w:rFonts w:eastAsiaTheme="minorHAnsi" w:cs="Times New Roman"/>
          <w:spacing w:val="-4"/>
          <w:sz w:val="22"/>
        </w:rPr>
      </w:pPr>
      <w:r w:rsidRPr="00143082">
        <w:rPr>
          <w:rFonts w:eastAsiaTheme="minorHAnsi" w:cs="Times New Roman"/>
          <w:spacing w:val="-4"/>
          <w:sz w:val="22"/>
        </w:rPr>
        <w:t xml:space="preserve">SEM​ER, Marcelo. </w:t>
      </w:r>
      <w:r w:rsidRPr="00143082">
        <w:rPr>
          <w:rFonts w:eastAsiaTheme="minorHAnsi" w:cs="Times New Roman"/>
          <w:b/>
          <w:bCs/>
          <w:spacing w:val="-4"/>
          <w:sz w:val="22"/>
        </w:rPr>
        <w:t>Os paradoxos da justiça</w:t>
      </w:r>
      <w:r w:rsidRPr="00143082">
        <w:rPr>
          <w:rFonts w:eastAsiaTheme="minorHAnsi" w:cs="Times New Roman"/>
          <w:spacing w:val="-4"/>
          <w:sz w:val="22"/>
        </w:rPr>
        <w:t>: Judiciário e Política no Brasil. 2. ed. São Paulo: Contracorrente, 2024</w:t>
      </w:r>
    </w:p>
    <w:p w14:paraId="3497BC7C" w14:textId="77777777" w:rsidR="00DB4980" w:rsidRPr="00143082" w:rsidRDefault="00DB4980" w:rsidP="00375555">
      <w:pPr>
        <w:spacing w:after="240" w:line="240" w:lineRule="auto"/>
        <w:rPr>
          <w:rFonts w:eastAsiaTheme="minorHAnsi" w:cs="Times New Roman"/>
          <w:spacing w:val="-4"/>
          <w:sz w:val="22"/>
        </w:rPr>
      </w:pPr>
      <w:r w:rsidRPr="00143082">
        <w:rPr>
          <w:rFonts w:eastAsiaTheme="minorHAnsi" w:cs="Times New Roman"/>
          <w:spacing w:val="-4"/>
          <w:sz w:val="22"/>
        </w:rPr>
        <w:t xml:space="preserve">STRECK, </w:t>
      </w:r>
      <w:proofErr w:type="spellStart"/>
      <w:r w:rsidRPr="00143082">
        <w:rPr>
          <w:rFonts w:eastAsiaTheme="minorHAnsi" w:cs="Times New Roman"/>
          <w:spacing w:val="-4"/>
          <w:sz w:val="22"/>
        </w:rPr>
        <w:t>Lenio</w:t>
      </w:r>
      <w:proofErr w:type="spellEnd"/>
      <w:r w:rsidRPr="00143082">
        <w:rPr>
          <w:rFonts w:eastAsiaTheme="minorHAnsi" w:cs="Times New Roman"/>
          <w:spacing w:val="-4"/>
          <w:sz w:val="22"/>
        </w:rPr>
        <w:t xml:space="preserve"> Luiz; TASSINARI, Clarissa; e LEPPER, Adriano </w:t>
      </w:r>
      <w:proofErr w:type="spellStart"/>
      <w:r w:rsidRPr="00143082">
        <w:rPr>
          <w:rFonts w:eastAsiaTheme="minorHAnsi" w:cs="Times New Roman"/>
          <w:spacing w:val="-4"/>
          <w:sz w:val="22"/>
        </w:rPr>
        <w:t>Obach</w:t>
      </w:r>
      <w:proofErr w:type="spellEnd"/>
      <w:r w:rsidRPr="00143082">
        <w:rPr>
          <w:rFonts w:eastAsiaTheme="minorHAnsi" w:cs="Times New Roman"/>
          <w:spacing w:val="-4"/>
          <w:sz w:val="22"/>
        </w:rPr>
        <w:t xml:space="preserve">. O problema do ativismo judicial: uma análise do caso MS3326. </w:t>
      </w:r>
      <w:r w:rsidRPr="00143082">
        <w:rPr>
          <w:rFonts w:eastAsiaTheme="minorHAnsi" w:cs="Times New Roman"/>
          <w:b/>
          <w:bCs/>
          <w:spacing w:val="-4"/>
          <w:sz w:val="22"/>
        </w:rPr>
        <w:t>Revista Brasileira de Políticas Públicas</w:t>
      </w:r>
      <w:r w:rsidRPr="00143082">
        <w:rPr>
          <w:rFonts w:eastAsiaTheme="minorHAnsi" w:cs="Times New Roman"/>
          <w:spacing w:val="-4"/>
          <w:sz w:val="22"/>
        </w:rPr>
        <w:t>, Brasília, v. 5, Número Especial, p. 51-61, 2015</w:t>
      </w:r>
    </w:p>
    <w:p w14:paraId="3C26AD1A" w14:textId="5D4F962F" w:rsidR="00DB4980" w:rsidRPr="00E66A05" w:rsidRDefault="00143082" w:rsidP="00375555">
      <w:pPr>
        <w:spacing w:after="240" w:line="240" w:lineRule="auto"/>
        <w:rPr>
          <w:rFonts w:eastAsiaTheme="minorHAnsi" w:cs="Times New Roman"/>
          <w:spacing w:val="-2"/>
          <w:sz w:val="22"/>
        </w:rPr>
      </w:pPr>
      <w:r>
        <w:rPr>
          <w:rFonts w:eastAsiaTheme="minorHAnsi" w:cs="Times New Roman"/>
          <w:spacing w:val="-2"/>
          <w:sz w:val="22"/>
        </w:rPr>
        <w:t>STF</w:t>
      </w:r>
      <w:r w:rsidR="00DB4980" w:rsidRPr="00E500BF">
        <w:rPr>
          <w:rFonts w:eastAsiaTheme="minorHAnsi" w:cs="Times New Roman"/>
          <w:spacing w:val="-2"/>
          <w:sz w:val="22"/>
        </w:rPr>
        <w:t xml:space="preserve">. </w:t>
      </w:r>
      <w:r w:rsidR="00DB4980" w:rsidRPr="00E66A05">
        <w:rPr>
          <w:rFonts w:eastAsiaTheme="minorHAnsi" w:cs="Times New Roman"/>
          <w:b/>
          <w:bCs/>
          <w:spacing w:val="-2"/>
          <w:sz w:val="22"/>
        </w:rPr>
        <w:t>Ato Regulamentar nº 27, de 11 de dezembro de 2023</w:t>
      </w:r>
      <w:r w:rsidR="00DB4980" w:rsidRPr="00E66A05">
        <w:rPr>
          <w:rFonts w:eastAsiaTheme="minorHAnsi" w:cs="Times New Roman"/>
          <w:spacing w:val="-2"/>
          <w:sz w:val="22"/>
        </w:rPr>
        <w:t>. Brasília: STF, 202</w:t>
      </w:r>
      <w:r>
        <w:rPr>
          <w:rFonts w:eastAsiaTheme="minorHAnsi" w:cs="Times New Roman"/>
          <w:spacing w:val="-2"/>
          <w:sz w:val="22"/>
        </w:rPr>
        <w:t>3</w:t>
      </w:r>
      <w:r w:rsidR="00DB4980" w:rsidRPr="00E66A05">
        <w:rPr>
          <w:rFonts w:eastAsiaTheme="minorHAnsi" w:cs="Times New Roman"/>
          <w:spacing w:val="-2"/>
          <w:sz w:val="22"/>
        </w:rPr>
        <w:t>.</w:t>
      </w:r>
    </w:p>
    <w:p w14:paraId="32CB7FEF" w14:textId="3171754E" w:rsidR="00DB4980" w:rsidRPr="00E500BF" w:rsidRDefault="00143082" w:rsidP="00375555">
      <w:pPr>
        <w:spacing w:after="240" w:line="240" w:lineRule="auto"/>
        <w:rPr>
          <w:rFonts w:eastAsiaTheme="minorHAnsi" w:cs="Times New Roman"/>
          <w:spacing w:val="-2"/>
          <w:sz w:val="22"/>
        </w:rPr>
      </w:pPr>
      <w:r>
        <w:rPr>
          <w:rFonts w:eastAsiaTheme="minorHAnsi" w:cs="Times New Roman"/>
          <w:spacing w:val="-2"/>
          <w:sz w:val="22"/>
        </w:rPr>
        <w:t>STF</w:t>
      </w:r>
      <w:r w:rsidR="00DB4980" w:rsidRPr="00E500BF">
        <w:rPr>
          <w:rFonts w:eastAsiaTheme="minorHAnsi" w:cs="Times New Roman"/>
          <w:spacing w:val="-2"/>
          <w:sz w:val="22"/>
        </w:rPr>
        <w:t xml:space="preserve">. Ministro Dias Toffoli participa da abertura da XIII Semana Nacional de Conciliação. </w:t>
      </w:r>
      <w:r w:rsidR="00DB4980" w:rsidRPr="00E500BF">
        <w:rPr>
          <w:rFonts w:eastAsiaTheme="minorHAnsi" w:cs="Times New Roman"/>
          <w:b/>
          <w:bCs/>
          <w:spacing w:val="-2"/>
          <w:sz w:val="22"/>
        </w:rPr>
        <w:t>Portal STF</w:t>
      </w:r>
      <w:r w:rsidR="00DB4980" w:rsidRPr="00E500BF">
        <w:rPr>
          <w:rFonts w:eastAsiaTheme="minorHAnsi" w:cs="Times New Roman"/>
          <w:spacing w:val="-2"/>
          <w:sz w:val="22"/>
        </w:rPr>
        <w:t>, Brasília, 5 nov. 2018. Disponível em: &lt;https://portal.stf.jus.br/noticias/verNoticiaDetalhe.asp?idConteudo=394630&gt;. Acesso em: 19 dez. 2025.</w:t>
      </w:r>
    </w:p>
    <w:p w14:paraId="43F7C439" w14:textId="175B4A86" w:rsidR="00DB4980" w:rsidRPr="00E9634C" w:rsidRDefault="00143082" w:rsidP="00375555">
      <w:pPr>
        <w:spacing w:after="240" w:line="240" w:lineRule="auto"/>
        <w:rPr>
          <w:rFonts w:eastAsiaTheme="minorHAnsi" w:cs="Times New Roman"/>
          <w:spacing w:val="-2"/>
          <w:sz w:val="22"/>
        </w:rPr>
      </w:pPr>
      <w:r>
        <w:rPr>
          <w:rFonts w:eastAsiaTheme="minorHAnsi" w:cs="Times New Roman"/>
          <w:spacing w:val="-2"/>
          <w:sz w:val="22"/>
        </w:rPr>
        <w:t>STF</w:t>
      </w:r>
      <w:r w:rsidR="00DB4980" w:rsidRPr="00E500BF">
        <w:rPr>
          <w:rFonts w:eastAsiaTheme="minorHAnsi" w:cs="Times New Roman"/>
          <w:spacing w:val="-2"/>
          <w:sz w:val="22"/>
        </w:rPr>
        <w:t xml:space="preserve">. </w:t>
      </w:r>
      <w:r w:rsidR="00DB4980" w:rsidRPr="00E500BF">
        <w:rPr>
          <w:rFonts w:eastAsiaTheme="minorHAnsi" w:cs="Times New Roman"/>
          <w:b/>
          <w:bCs/>
          <w:spacing w:val="-2"/>
          <w:sz w:val="22"/>
        </w:rPr>
        <w:t>Núcleo de Solução Consensual de Conflitos (NUSOL/STF)</w:t>
      </w:r>
      <w:r w:rsidR="00DB4980" w:rsidRPr="00E500BF">
        <w:rPr>
          <w:rFonts w:eastAsiaTheme="minorHAnsi" w:cs="Times New Roman"/>
          <w:spacing w:val="-2"/>
          <w:sz w:val="22"/>
        </w:rPr>
        <w:t>: manual. Brasília: STF, Secretaria Geral da Presidência, 2025.</w:t>
      </w:r>
    </w:p>
    <w:p w14:paraId="132F94BA" w14:textId="56A614ED" w:rsidR="00DB4980" w:rsidRPr="00E500BF" w:rsidRDefault="00143082" w:rsidP="00375555">
      <w:pPr>
        <w:spacing w:after="240" w:line="240" w:lineRule="auto"/>
        <w:rPr>
          <w:rFonts w:eastAsiaTheme="minorHAnsi" w:cs="Times New Roman"/>
          <w:spacing w:val="-2"/>
          <w:sz w:val="22"/>
        </w:rPr>
      </w:pPr>
      <w:r>
        <w:rPr>
          <w:rFonts w:eastAsiaTheme="minorHAnsi" w:cs="Times New Roman"/>
          <w:spacing w:val="-2"/>
          <w:sz w:val="22"/>
        </w:rPr>
        <w:t>STF</w:t>
      </w:r>
      <w:r w:rsidR="00DB4980" w:rsidRPr="00E500BF">
        <w:rPr>
          <w:rFonts w:eastAsiaTheme="minorHAnsi" w:cs="Times New Roman"/>
          <w:spacing w:val="-2"/>
          <w:sz w:val="22"/>
        </w:rPr>
        <w:t xml:space="preserve">. </w:t>
      </w:r>
      <w:r w:rsidR="00DB4980" w:rsidRPr="00E500BF">
        <w:rPr>
          <w:rFonts w:eastAsiaTheme="minorHAnsi" w:cs="Times New Roman"/>
          <w:b/>
          <w:bCs/>
          <w:spacing w:val="-2"/>
          <w:sz w:val="22"/>
        </w:rPr>
        <w:t>Planejamento Estratégico 2021-2025</w:t>
      </w:r>
      <w:r w:rsidR="00DB4980" w:rsidRPr="00E500BF">
        <w:rPr>
          <w:rFonts w:eastAsiaTheme="minorHAnsi" w:cs="Times New Roman"/>
          <w:spacing w:val="-2"/>
          <w:sz w:val="22"/>
        </w:rPr>
        <w:t>: um plano de todos. Brasília: STF, 2021.</w:t>
      </w:r>
    </w:p>
    <w:p w14:paraId="23696B21" w14:textId="7DB72F00" w:rsidR="00DB4980" w:rsidRPr="001F7C75" w:rsidRDefault="00143082" w:rsidP="00375555">
      <w:pPr>
        <w:spacing w:after="240" w:line="240" w:lineRule="auto"/>
        <w:rPr>
          <w:rFonts w:eastAsiaTheme="minorHAnsi" w:cs="Times New Roman"/>
          <w:spacing w:val="-2"/>
          <w:sz w:val="22"/>
        </w:rPr>
      </w:pPr>
      <w:r>
        <w:rPr>
          <w:rFonts w:eastAsiaTheme="minorHAnsi" w:cs="Times New Roman"/>
          <w:spacing w:val="-2"/>
          <w:sz w:val="22"/>
        </w:rPr>
        <w:t>STF</w:t>
      </w:r>
      <w:r w:rsidR="00DB4980" w:rsidRPr="00E500BF">
        <w:rPr>
          <w:rFonts w:eastAsiaTheme="minorHAnsi" w:cs="Times New Roman"/>
          <w:spacing w:val="-2"/>
          <w:sz w:val="22"/>
        </w:rPr>
        <w:t xml:space="preserve">. </w:t>
      </w:r>
      <w:r w:rsidR="00DB4980" w:rsidRPr="00E500BF">
        <w:rPr>
          <w:rFonts w:eastAsiaTheme="minorHAnsi" w:cs="Times New Roman"/>
          <w:b/>
          <w:bCs/>
          <w:spacing w:val="-2"/>
          <w:sz w:val="22"/>
        </w:rPr>
        <w:t>Resolução nº 697, de 6 de agosto de 2020</w:t>
      </w:r>
      <w:r w:rsidR="00DB4980" w:rsidRPr="00E500BF">
        <w:rPr>
          <w:rFonts w:eastAsiaTheme="minorHAnsi" w:cs="Times New Roman"/>
          <w:spacing w:val="-2"/>
          <w:sz w:val="22"/>
        </w:rPr>
        <w:t>. Diário da Justiça Eletrônico, Brasília, n. 198, p. 1, 7 ago. 2020. Disponível em: &lt;https://stf.jus.br/arquivo/norma/resolucao697-2020.pdf&gt;. Acesso em: 19 dez. 2025</w:t>
      </w:r>
    </w:p>
    <w:p w14:paraId="08789BFF" w14:textId="77777777" w:rsidR="00DB4980" w:rsidRPr="00340BAC" w:rsidRDefault="00DB4980" w:rsidP="00375555">
      <w:pPr>
        <w:spacing w:after="240" w:line="240" w:lineRule="auto"/>
        <w:rPr>
          <w:rFonts w:eastAsiaTheme="minorHAnsi" w:cs="Times New Roman"/>
          <w:spacing w:val="-2"/>
          <w:sz w:val="22"/>
        </w:rPr>
      </w:pPr>
      <w:r w:rsidRPr="00340BAC">
        <w:rPr>
          <w:rFonts w:eastAsiaTheme="minorHAnsi" w:cs="Times New Roman"/>
          <w:spacing w:val="-2"/>
          <w:sz w:val="22"/>
        </w:rPr>
        <w:t xml:space="preserve">TAVARES, Maria Hermínia. O Supremo conciliador. </w:t>
      </w:r>
      <w:r w:rsidRPr="00340BAC">
        <w:rPr>
          <w:rFonts w:eastAsiaTheme="minorHAnsi" w:cs="Times New Roman"/>
          <w:b/>
          <w:bCs/>
          <w:spacing w:val="-2"/>
          <w:sz w:val="22"/>
        </w:rPr>
        <w:t>Folha de S. Paulo</w:t>
      </w:r>
      <w:r w:rsidRPr="00340BAC">
        <w:rPr>
          <w:rFonts w:eastAsiaTheme="minorHAnsi" w:cs="Times New Roman"/>
          <w:spacing w:val="-2"/>
          <w:sz w:val="22"/>
        </w:rPr>
        <w:t>, São Paulo, 10 jul. 2025. Coluna “Democracia Política e novo Reformismo”. Disponível em: &lt;https://www1.folha.uol.com.br/colunas/maria-herminia-tavares/2025/07/o-supremo-conciliador.shtml&gt;. Acesso em: 19 dez. 2025</w:t>
      </w:r>
    </w:p>
    <w:p w14:paraId="633BAA62" w14:textId="0BCA124A" w:rsidR="00DB4980" w:rsidRPr="00E500BF" w:rsidRDefault="00DB4980" w:rsidP="00375555">
      <w:pPr>
        <w:spacing w:after="240" w:line="240" w:lineRule="auto"/>
        <w:rPr>
          <w:rFonts w:eastAsiaTheme="minorHAnsi" w:cs="Times New Roman"/>
          <w:spacing w:val="-2"/>
          <w:sz w:val="22"/>
        </w:rPr>
      </w:pPr>
      <w:r w:rsidRPr="00E500BF">
        <w:rPr>
          <w:rFonts w:eastAsiaTheme="minorHAnsi" w:cs="Times New Roman"/>
          <w:spacing w:val="-2"/>
          <w:sz w:val="22"/>
        </w:rPr>
        <w:t>TOJAL, Sebastião B. B e TAMASAUSKAS, Igor S. Justiça negocial. In: SADEK, Maria Tereza; BOTTINI, Pierpaolo; KHICHY, Raquel; RENAULT, Sérgio (organizadores). </w:t>
      </w:r>
      <w:r w:rsidRPr="00E500BF">
        <w:rPr>
          <w:rFonts w:eastAsiaTheme="minorHAnsi" w:cs="Times New Roman"/>
          <w:b/>
          <w:bCs/>
          <w:spacing w:val="-2"/>
          <w:sz w:val="22"/>
        </w:rPr>
        <w:t>O judiciário do nosso tempo</w:t>
      </w:r>
      <w:r w:rsidR="00915051" w:rsidRPr="00E500BF">
        <w:rPr>
          <w:rFonts w:eastAsiaTheme="minorHAnsi" w:cs="Times New Roman"/>
          <w:spacing w:val="-2"/>
          <w:sz w:val="22"/>
        </w:rPr>
        <w:t xml:space="preserve">: </w:t>
      </w:r>
      <w:r w:rsidRPr="00E500BF">
        <w:rPr>
          <w:rFonts w:eastAsiaTheme="minorHAnsi" w:cs="Times New Roman"/>
          <w:spacing w:val="-2"/>
          <w:sz w:val="22"/>
        </w:rPr>
        <w:t>grandes nomes escrevem sobre o desafio de fazer justiça no Brasil. Globo livros, Rio de Janeiro, 2021, p. 139-146.</w:t>
      </w:r>
    </w:p>
    <w:p w14:paraId="0304660B" w14:textId="77777777" w:rsidR="00DB4980" w:rsidRPr="00E500BF" w:rsidRDefault="00DB4980" w:rsidP="00375555">
      <w:pPr>
        <w:spacing w:after="240" w:line="240" w:lineRule="auto"/>
        <w:rPr>
          <w:rFonts w:eastAsiaTheme="minorHAnsi" w:cs="Times New Roman"/>
          <w:spacing w:val="-2"/>
          <w:sz w:val="22"/>
        </w:rPr>
      </w:pPr>
      <w:r w:rsidRPr="00E500BF">
        <w:rPr>
          <w:rFonts w:eastAsiaTheme="minorHAnsi" w:cs="Times New Roman"/>
          <w:spacing w:val="-2"/>
          <w:sz w:val="22"/>
        </w:rPr>
        <w:t>VALLE, Vanice Regina Lírio do; et al. (</w:t>
      </w:r>
      <w:proofErr w:type="spellStart"/>
      <w:r w:rsidRPr="00E500BF">
        <w:rPr>
          <w:rFonts w:eastAsiaTheme="minorHAnsi" w:cs="Times New Roman"/>
          <w:spacing w:val="-2"/>
          <w:sz w:val="22"/>
        </w:rPr>
        <w:t>Coord</w:t>
      </w:r>
      <w:proofErr w:type="spellEnd"/>
      <w:r w:rsidRPr="00E500BF">
        <w:rPr>
          <w:rFonts w:eastAsiaTheme="minorHAnsi" w:cs="Times New Roman"/>
          <w:spacing w:val="-2"/>
          <w:sz w:val="22"/>
        </w:rPr>
        <w:t xml:space="preserve">). </w:t>
      </w:r>
      <w:r w:rsidRPr="00E500BF">
        <w:rPr>
          <w:rFonts w:eastAsiaTheme="minorHAnsi" w:cs="Times New Roman"/>
          <w:b/>
          <w:bCs/>
          <w:spacing w:val="-2"/>
          <w:sz w:val="22"/>
        </w:rPr>
        <w:t>Audiências públicas e ativismo</w:t>
      </w:r>
      <w:r w:rsidRPr="00E500BF">
        <w:rPr>
          <w:rFonts w:eastAsiaTheme="minorHAnsi" w:cs="Times New Roman"/>
          <w:spacing w:val="-2"/>
          <w:sz w:val="22"/>
        </w:rPr>
        <w:t>: diálogo social no STF. Belo Horizonte: Fórum, 2012</w:t>
      </w:r>
    </w:p>
    <w:p w14:paraId="5ACB71D0" w14:textId="77777777" w:rsidR="00DB4980" w:rsidRPr="00E500BF" w:rsidRDefault="00DB4980" w:rsidP="00375555">
      <w:pPr>
        <w:spacing w:after="240" w:line="240" w:lineRule="auto"/>
        <w:rPr>
          <w:rFonts w:eastAsiaTheme="minorHAnsi" w:cs="Times New Roman"/>
          <w:spacing w:val="-2"/>
          <w:sz w:val="22"/>
        </w:rPr>
      </w:pPr>
      <w:r w:rsidRPr="00E500BF">
        <w:rPr>
          <w:rFonts w:eastAsiaTheme="minorHAnsi" w:cs="Times New Roman"/>
          <w:spacing w:val="-2"/>
          <w:sz w:val="22"/>
        </w:rPr>
        <w:lastRenderedPageBreak/>
        <w:t xml:space="preserve">VIEIRA, Oscar Vilhena. O grande bazar de direitos. </w:t>
      </w:r>
      <w:r w:rsidRPr="00E500BF">
        <w:rPr>
          <w:rFonts w:eastAsiaTheme="minorHAnsi" w:cs="Times New Roman"/>
          <w:b/>
          <w:bCs/>
          <w:spacing w:val="-2"/>
          <w:sz w:val="22"/>
        </w:rPr>
        <w:t>Folha de S. Paulo</w:t>
      </w:r>
      <w:r w:rsidRPr="00E500BF">
        <w:rPr>
          <w:rFonts w:eastAsiaTheme="minorHAnsi" w:cs="Times New Roman"/>
          <w:spacing w:val="-2"/>
          <w:sz w:val="22"/>
        </w:rPr>
        <w:t>, São Paulo, 18 jul. 2024. Coluna Opinião. Disponível em: &lt;https://www1.folha.uol.com.br/colunas/oscarvilhenavieira/2024/07/o-grande-bazar-de-direitos.shtml&gt;. Acesso em: 19 dez. 2025</w:t>
      </w:r>
    </w:p>
    <w:p w14:paraId="49DA0CC9" w14:textId="77777777" w:rsidR="00DB4980" w:rsidRPr="00E500BF" w:rsidRDefault="00DB4980" w:rsidP="00375555">
      <w:pPr>
        <w:spacing w:after="240" w:line="240" w:lineRule="auto"/>
        <w:rPr>
          <w:rFonts w:eastAsiaTheme="minorHAnsi" w:cs="Times New Roman"/>
          <w:spacing w:val="-2"/>
          <w:sz w:val="22"/>
        </w:rPr>
      </w:pPr>
      <w:r w:rsidRPr="00E500BF">
        <w:rPr>
          <w:rFonts w:eastAsiaTheme="minorHAnsi" w:cs="Times New Roman"/>
          <w:spacing w:val="-2"/>
          <w:sz w:val="22"/>
        </w:rPr>
        <w:t>VIEIRA, Oscar Vilhena. </w:t>
      </w:r>
      <w:r w:rsidRPr="00E500BF">
        <w:rPr>
          <w:rFonts w:eastAsiaTheme="minorHAnsi" w:cs="Times New Roman"/>
          <w:b/>
          <w:bCs/>
          <w:spacing w:val="-2"/>
          <w:sz w:val="22"/>
        </w:rPr>
        <w:t>A batalha dos poderes</w:t>
      </w:r>
      <w:r w:rsidRPr="00E500BF">
        <w:rPr>
          <w:rFonts w:eastAsiaTheme="minorHAnsi" w:cs="Times New Roman"/>
          <w:spacing w:val="-2"/>
          <w:sz w:val="22"/>
        </w:rPr>
        <w:t>. São Paulo, Companhia das Letras, 2018</w:t>
      </w:r>
    </w:p>
    <w:p w14:paraId="444D7D3E" w14:textId="77777777" w:rsidR="00DB4980" w:rsidRPr="00E500BF" w:rsidRDefault="00DB4980" w:rsidP="00375555">
      <w:pPr>
        <w:spacing w:after="240" w:line="240" w:lineRule="auto"/>
        <w:rPr>
          <w:rFonts w:eastAsiaTheme="minorHAnsi" w:cs="Times New Roman"/>
          <w:spacing w:val="-2"/>
          <w:sz w:val="22"/>
        </w:rPr>
      </w:pPr>
      <w:r w:rsidRPr="00E500BF">
        <w:rPr>
          <w:rFonts w:eastAsiaTheme="minorHAnsi" w:cs="Times New Roman"/>
          <w:spacing w:val="-2"/>
          <w:sz w:val="22"/>
        </w:rPr>
        <w:t xml:space="preserve">VILLAS BÔAS FILHO, Orlando. </w:t>
      </w:r>
      <w:r w:rsidRPr="00E500BF">
        <w:rPr>
          <w:rFonts w:eastAsiaTheme="minorHAnsi" w:cs="Times New Roman"/>
          <w:b/>
          <w:bCs/>
          <w:spacing w:val="-2"/>
          <w:sz w:val="22"/>
        </w:rPr>
        <w:t>Teoria dos sistemas e o direito brasileiro</w:t>
      </w:r>
      <w:r w:rsidRPr="00E500BF">
        <w:rPr>
          <w:rFonts w:eastAsiaTheme="minorHAnsi" w:cs="Times New Roman"/>
          <w:spacing w:val="-2"/>
          <w:sz w:val="22"/>
        </w:rPr>
        <w:t>. São Paulo: Saraiva, 2009</w:t>
      </w:r>
    </w:p>
    <w:p w14:paraId="6BCA8CD6" w14:textId="77777777" w:rsidR="00DB4980" w:rsidRPr="00E500BF" w:rsidRDefault="00DB4980" w:rsidP="00375555">
      <w:pPr>
        <w:spacing w:after="240" w:line="240" w:lineRule="auto"/>
        <w:rPr>
          <w:rFonts w:eastAsiaTheme="minorHAnsi" w:cs="Times New Roman"/>
          <w:spacing w:val="-2"/>
          <w:sz w:val="22"/>
        </w:rPr>
      </w:pPr>
      <w:r w:rsidRPr="00E500BF">
        <w:rPr>
          <w:rFonts w:eastAsiaTheme="minorHAnsi" w:cs="Times New Roman"/>
          <w:spacing w:val="-2"/>
          <w:sz w:val="22"/>
        </w:rPr>
        <w:t xml:space="preserve">ZANETI JR., Hermes; CABRAL, </w:t>
      </w:r>
      <w:proofErr w:type="spellStart"/>
      <w:r w:rsidRPr="00E500BF">
        <w:rPr>
          <w:rFonts w:eastAsiaTheme="minorHAnsi" w:cs="Times New Roman"/>
          <w:spacing w:val="-2"/>
          <w:sz w:val="22"/>
        </w:rPr>
        <w:t>Trícia</w:t>
      </w:r>
      <w:proofErr w:type="spellEnd"/>
      <w:r w:rsidRPr="00E500BF">
        <w:rPr>
          <w:rFonts w:eastAsiaTheme="minorHAnsi" w:cs="Times New Roman"/>
          <w:spacing w:val="-2"/>
          <w:sz w:val="22"/>
        </w:rPr>
        <w:t xml:space="preserve"> Navarro Xavier (Coord.). </w:t>
      </w:r>
      <w:r w:rsidRPr="00E500BF">
        <w:rPr>
          <w:rFonts w:eastAsiaTheme="minorHAnsi" w:cs="Times New Roman"/>
          <w:b/>
          <w:bCs/>
          <w:spacing w:val="-2"/>
          <w:sz w:val="22"/>
        </w:rPr>
        <w:t>Justiça Multiportas</w:t>
      </w:r>
      <w:r w:rsidRPr="00E500BF">
        <w:rPr>
          <w:rFonts w:eastAsiaTheme="minorHAnsi" w:cs="Times New Roman"/>
          <w:spacing w:val="-2"/>
          <w:sz w:val="22"/>
        </w:rPr>
        <w:t xml:space="preserve">: mediação, conciliação, arbitragem e outros meios adequados de solução de conflitos. 3.ed. São Paulo: </w:t>
      </w:r>
      <w:proofErr w:type="spellStart"/>
      <w:r w:rsidRPr="00E500BF">
        <w:rPr>
          <w:rFonts w:eastAsiaTheme="minorHAnsi" w:cs="Times New Roman"/>
          <w:spacing w:val="-2"/>
          <w:sz w:val="22"/>
        </w:rPr>
        <w:t>Juspodivm</w:t>
      </w:r>
      <w:proofErr w:type="spellEnd"/>
      <w:r w:rsidRPr="00E500BF">
        <w:rPr>
          <w:rFonts w:eastAsiaTheme="minorHAnsi" w:cs="Times New Roman"/>
          <w:spacing w:val="-2"/>
          <w:sz w:val="22"/>
        </w:rPr>
        <w:t>, 2022</w:t>
      </w:r>
    </w:p>
    <w:sectPr w:rsidR="00DB4980" w:rsidRPr="00E500BF" w:rsidSect="00EF7407">
      <w:headerReference w:type="default" r:id="rId8"/>
      <w:footerReference w:type="default" r:id="rId9"/>
      <w:headerReference w:type="first" r:id="rId10"/>
      <w:footerReference w:type="first" r:id="rId11"/>
      <w:pgSz w:w="11906" w:h="16838" w:code="9"/>
      <w:pgMar w:top="1701" w:right="1134" w:bottom="1134" w:left="1701" w:header="850"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E86E2" w14:textId="77777777" w:rsidR="00DD77C2" w:rsidRDefault="00DD77C2">
      <w:r>
        <w:separator/>
      </w:r>
    </w:p>
  </w:endnote>
  <w:endnote w:type="continuationSeparator" w:id="0">
    <w:p w14:paraId="472D7C16" w14:textId="77777777" w:rsidR="00DD77C2" w:rsidRDefault="00DD7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C5E83" w14:textId="77777777" w:rsidR="00B62365" w:rsidRDefault="00B62365">
    <w:pPr>
      <w:pStyle w:val="Rodap"/>
      <w:spacing w:line="240" w:lineRule="auto"/>
      <w:rPr>
        <w:sz w:val="18"/>
      </w:rPr>
    </w:pPr>
  </w:p>
  <w:p w14:paraId="617281A8" w14:textId="77777777" w:rsidR="00B62365" w:rsidRDefault="006A0113">
    <w:pPr>
      <w:pStyle w:val="Rodap"/>
      <w:spacing w:line="240" w:lineRule="auto"/>
      <w:jc w:val="center"/>
      <w:rPr>
        <w:sz w:val="18"/>
      </w:rPr>
    </w:pPr>
    <w:r>
      <w:rPr>
        <w:sz w:val="18"/>
      </w:rPr>
      <w:t xml:space="preserve">- </w:t>
    </w:r>
    <w:r>
      <w:rPr>
        <w:sz w:val="18"/>
      </w:rPr>
      <w:fldChar w:fldCharType="begin"/>
    </w:r>
    <w:r>
      <w:rPr>
        <w:sz w:val="18"/>
      </w:rPr>
      <w:instrText xml:space="preserve"> PAGE  \* MERGEFORMAT </w:instrText>
    </w:r>
    <w:r>
      <w:rPr>
        <w:sz w:val="18"/>
      </w:rPr>
      <w:fldChar w:fldCharType="separate"/>
    </w:r>
    <w:r>
      <w:rPr>
        <w:noProof/>
        <w:sz w:val="18"/>
      </w:rPr>
      <w:t>2</w:t>
    </w:r>
    <w:r>
      <w:rPr>
        <w:sz w:val="18"/>
      </w:rPr>
      <w:fldChar w:fldCharType="end"/>
    </w:r>
    <w:r>
      <w:rPr>
        <w:sz w:val="18"/>
      </w:rPr>
      <w:t xml:space="preserve"> -</w:t>
    </w:r>
  </w:p>
  <w:p w14:paraId="00E50179" w14:textId="77777777" w:rsidR="00B62365" w:rsidRDefault="00B62365">
    <w:pPr>
      <w:pStyle w:val="Rodap"/>
      <w:spacing w:line="240" w:lineRule="auto"/>
      <w:jc w:val="cente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F7DE3" w14:textId="77777777" w:rsidR="00B62365" w:rsidRDefault="00B62365">
    <w:pPr>
      <w:pStyle w:val="Rodap"/>
      <w:widowControl w:val="0"/>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96E2B" w14:textId="77777777" w:rsidR="00DD77C2" w:rsidRDefault="00DD77C2">
      <w:r>
        <w:separator/>
      </w:r>
    </w:p>
  </w:footnote>
  <w:footnote w:type="continuationSeparator" w:id="0">
    <w:p w14:paraId="06B442CA" w14:textId="77777777" w:rsidR="00DD77C2" w:rsidRDefault="00DD77C2">
      <w:r>
        <w:continuationSeparator/>
      </w:r>
    </w:p>
  </w:footnote>
  <w:footnote w:id="1">
    <w:p w14:paraId="62FFDC97" w14:textId="7FB1EB4B" w:rsidR="0051325E" w:rsidRPr="00143082" w:rsidRDefault="0051325E" w:rsidP="0051325E">
      <w:pPr>
        <w:pStyle w:val="Textodenotaderodap"/>
        <w:spacing w:line="240" w:lineRule="auto"/>
        <w:ind w:left="0" w:hanging="227"/>
        <w:rPr>
          <w:spacing w:val="-2"/>
          <w:lang w:val="pt-BR"/>
        </w:rPr>
      </w:pPr>
      <w:r w:rsidRPr="00143082">
        <w:rPr>
          <w:rFonts w:eastAsiaTheme="minorHAnsi" w:cs="Times New Roman"/>
          <w:b w:val="0"/>
          <w:i w:val="0"/>
          <w:spacing w:val="-2"/>
          <w:sz w:val="20"/>
          <w:szCs w:val="20"/>
          <w:vertAlign w:val="superscript"/>
          <w:lang w:val="pt-BR"/>
        </w:rPr>
        <w:footnoteRef/>
      </w:r>
      <w:r w:rsidRPr="00143082">
        <w:rPr>
          <w:rFonts w:eastAsiaTheme="minorHAnsi" w:cs="Times New Roman"/>
          <w:b w:val="0"/>
          <w:i w:val="0"/>
          <w:spacing w:val="-2"/>
          <w:sz w:val="20"/>
          <w:szCs w:val="20"/>
          <w:lang w:val="pt-BR"/>
        </w:rPr>
        <w:t xml:space="preserve"> Destaca-se, como iniciativa mais recente nesse sentido: FUNDAÇÃO FHC, 2025.</w:t>
      </w:r>
    </w:p>
  </w:footnote>
  <w:footnote w:id="2">
    <w:p w14:paraId="78F6FD90" w14:textId="7564973D" w:rsidR="001C2C2F" w:rsidRPr="00A84ED5" w:rsidRDefault="001C2C2F" w:rsidP="001C2C2F">
      <w:pPr>
        <w:pStyle w:val="Textodenotaderodap"/>
        <w:spacing w:line="240" w:lineRule="auto"/>
        <w:ind w:left="0" w:hanging="227"/>
        <w:rPr>
          <w:spacing w:val="-4"/>
          <w:lang w:val="pt-BR"/>
        </w:rPr>
      </w:pPr>
      <w:r w:rsidRPr="00A84ED5">
        <w:rPr>
          <w:rFonts w:eastAsiaTheme="minorHAnsi" w:cs="Times New Roman"/>
          <w:b w:val="0"/>
          <w:i w:val="0"/>
          <w:spacing w:val="-4"/>
          <w:sz w:val="20"/>
          <w:szCs w:val="20"/>
          <w:vertAlign w:val="superscript"/>
          <w:lang w:val="pt-BR"/>
        </w:rPr>
        <w:footnoteRef/>
      </w:r>
      <w:r w:rsidRPr="00A84ED5">
        <w:rPr>
          <w:rFonts w:eastAsiaTheme="minorHAnsi" w:cs="Times New Roman"/>
          <w:b w:val="0"/>
          <w:i w:val="0"/>
          <w:spacing w:val="-4"/>
          <w:sz w:val="20"/>
          <w:szCs w:val="20"/>
          <w:lang w:val="pt-BR"/>
        </w:rPr>
        <w:t xml:space="preserve"> Trazendo uma ampla contextualização da Reforma do Judiciário (EC nº 45/2004) para, ao final, concluir que “a despeito de uma efetiva racionalidade na gestão e equacionamento mais razoável dos recursos, a reforma não resolveu as crises que a motivaram, e acabou por aguçar uma outra [a judicialização]”, destaca-se a obra de SEMER, 2024, p.</w:t>
      </w:r>
      <w:r w:rsidR="00324867" w:rsidRPr="00A84ED5">
        <w:rPr>
          <w:rFonts w:eastAsiaTheme="minorHAnsi" w:cs="Times New Roman"/>
          <w:b w:val="0"/>
          <w:i w:val="0"/>
          <w:spacing w:val="-4"/>
          <w:sz w:val="20"/>
          <w:szCs w:val="20"/>
          <w:lang w:val="pt-BR"/>
        </w:rPr>
        <w:t> </w:t>
      </w:r>
      <w:r w:rsidRPr="00A84ED5">
        <w:rPr>
          <w:rFonts w:eastAsiaTheme="minorHAnsi" w:cs="Times New Roman"/>
          <w:b w:val="0"/>
          <w:i w:val="0"/>
          <w:spacing w:val="-4"/>
          <w:sz w:val="20"/>
          <w:szCs w:val="20"/>
          <w:lang w:val="pt-BR"/>
        </w:rPr>
        <w:t>43-87.</w:t>
      </w:r>
    </w:p>
  </w:footnote>
  <w:footnote w:id="3">
    <w:p w14:paraId="30D2B58A" w14:textId="5750C284" w:rsidR="004A3087" w:rsidRPr="00143082" w:rsidRDefault="004A3087" w:rsidP="00D44420">
      <w:pPr>
        <w:pStyle w:val="Textodenotaderodap"/>
        <w:spacing w:line="240" w:lineRule="auto"/>
        <w:ind w:left="0" w:hanging="227"/>
        <w:rPr>
          <w:spacing w:val="-2"/>
          <w:lang w:val="pt-BR"/>
        </w:rPr>
      </w:pPr>
      <w:r w:rsidRPr="00143082">
        <w:rPr>
          <w:rFonts w:eastAsiaTheme="minorHAnsi" w:cs="Times New Roman"/>
          <w:b w:val="0"/>
          <w:i w:val="0"/>
          <w:spacing w:val="-2"/>
          <w:sz w:val="20"/>
          <w:szCs w:val="20"/>
          <w:vertAlign w:val="superscript"/>
          <w:lang w:val="pt-BR"/>
        </w:rPr>
        <w:footnoteRef/>
      </w:r>
      <w:r w:rsidRPr="00143082">
        <w:rPr>
          <w:rFonts w:eastAsiaTheme="minorHAnsi" w:cs="Times New Roman"/>
          <w:b w:val="0"/>
          <w:i w:val="0"/>
          <w:spacing w:val="-2"/>
          <w:sz w:val="20"/>
          <w:szCs w:val="20"/>
          <w:lang w:val="pt-BR"/>
        </w:rPr>
        <w:t xml:space="preserve"> </w:t>
      </w:r>
      <w:r w:rsidR="00F070BA" w:rsidRPr="00143082">
        <w:rPr>
          <w:rFonts w:eastAsiaTheme="minorHAnsi" w:cs="Times New Roman"/>
          <w:b w:val="0"/>
          <w:i w:val="0"/>
          <w:spacing w:val="-2"/>
          <w:sz w:val="20"/>
          <w:szCs w:val="20"/>
          <w:lang w:val="pt-BR"/>
        </w:rPr>
        <w:t xml:space="preserve">Sobre </w:t>
      </w:r>
      <w:r w:rsidR="001A5CC4" w:rsidRPr="00143082">
        <w:rPr>
          <w:rFonts w:eastAsiaTheme="minorHAnsi" w:cs="Times New Roman"/>
          <w:b w:val="0"/>
          <w:i w:val="0"/>
          <w:spacing w:val="-2"/>
          <w:sz w:val="20"/>
          <w:szCs w:val="20"/>
          <w:lang w:val="pt-BR"/>
        </w:rPr>
        <w:t>o controle de constitucionalidade, vide</w:t>
      </w:r>
      <w:r w:rsidR="00F070BA" w:rsidRPr="00143082">
        <w:rPr>
          <w:rFonts w:eastAsiaTheme="minorHAnsi" w:cs="Times New Roman"/>
          <w:b w:val="0"/>
          <w:i w:val="0"/>
          <w:spacing w:val="-2"/>
          <w:sz w:val="20"/>
          <w:szCs w:val="20"/>
          <w:lang w:val="pt-BR"/>
        </w:rPr>
        <w:t>, por todos</w:t>
      </w:r>
      <w:r w:rsidR="001A5CC4" w:rsidRPr="00143082">
        <w:rPr>
          <w:rFonts w:eastAsiaTheme="minorHAnsi" w:cs="Times New Roman"/>
          <w:b w:val="0"/>
          <w:i w:val="0"/>
          <w:spacing w:val="-2"/>
          <w:sz w:val="20"/>
          <w:szCs w:val="20"/>
          <w:lang w:val="pt-BR"/>
        </w:rPr>
        <w:t xml:space="preserve">: </w:t>
      </w:r>
      <w:r w:rsidR="00F070BA" w:rsidRPr="00143082">
        <w:rPr>
          <w:rFonts w:eastAsiaTheme="minorHAnsi" w:cs="Times New Roman"/>
          <w:b w:val="0"/>
          <w:i w:val="0"/>
          <w:spacing w:val="-2"/>
          <w:sz w:val="20"/>
          <w:szCs w:val="20"/>
          <w:lang w:val="pt-BR"/>
        </w:rPr>
        <w:t xml:space="preserve">MENDES e BRANCO, 2015, </w:t>
      </w:r>
      <w:r w:rsidR="001A5CC4" w:rsidRPr="00143082">
        <w:rPr>
          <w:rFonts w:eastAsiaTheme="minorHAnsi" w:cs="Times New Roman"/>
          <w:b w:val="0"/>
          <w:i w:val="0"/>
          <w:spacing w:val="-2"/>
          <w:sz w:val="20"/>
          <w:szCs w:val="20"/>
          <w:lang w:val="pt-BR"/>
        </w:rPr>
        <w:t>p. 1041-1076</w:t>
      </w:r>
      <w:r w:rsidR="00F070BA" w:rsidRPr="00143082">
        <w:rPr>
          <w:rFonts w:eastAsiaTheme="minorHAnsi" w:cs="Times New Roman"/>
          <w:b w:val="0"/>
          <w:i w:val="0"/>
          <w:spacing w:val="-2"/>
          <w:sz w:val="20"/>
          <w:szCs w:val="20"/>
          <w:lang w:val="pt-BR"/>
        </w:rPr>
        <w:t>.</w:t>
      </w:r>
    </w:p>
  </w:footnote>
  <w:footnote w:id="4">
    <w:p w14:paraId="0B0C003C" w14:textId="3C61A5EA" w:rsidR="007D0176" w:rsidRPr="00143082" w:rsidRDefault="007D0176" w:rsidP="00623422">
      <w:pPr>
        <w:pStyle w:val="Textodenotaderodap"/>
        <w:spacing w:line="240" w:lineRule="auto"/>
        <w:ind w:left="0" w:hanging="227"/>
        <w:rPr>
          <w:rFonts w:eastAsiaTheme="minorHAnsi" w:cs="Times New Roman"/>
          <w:b w:val="0"/>
          <w:i w:val="0"/>
          <w:spacing w:val="-2"/>
          <w:sz w:val="20"/>
          <w:szCs w:val="20"/>
          <w:highlight w:val="yellow"/>
          <w:lang w:val="pt-BR"/>
        </w:rPr>
      </w:pPr>
      <w:r w:rsidRPr="00143082">
        <w:rPr>
          <w:rFonts w:eastAsiaTheme="minorHAnsi" w:cs="Times New Roman"/>
          <w:b w:val="0"/>
          <w:i w:val="0"/>
          <w:spacing w:val="-2"/>
          <w:sz w:val="20"/>
          <w:szCs w:val="20"/>
          <w:vertAlign w:val="superscript"/>
          <w:lang w:val="pt-BR"/>
        </w:rPr>
        <w:footnoteRef/>
      </w:r>
      <w:r w:rsidRPr="00143082">
        <w:rPr>
          <w:rFonts w:eastAsiaTheme="minorHAnsi" w:cs="Times New Roman"/>
          <w:b w:val="0"/>
          <w:i w:val="0"/>
          <w:spacing w:val="-2"/>
          <w:sz w:val="20"/>
          <w:szCs w:val="20"/>
          <w:lang w:val="pt-BR"/>
        </w:rPr>
        <w:t xml:space="preserve"> Até o momento, o episódio mais polêmico envolvendo o uso da conciliação </w:t>
      </w:r>
      <w:r w:rsidR="00362BB1" w:rsidRPr="00143082">
        <w:rPr>
          <w:rFonts w:eastAsiaTheme="minorHAnsi" w:cs="Times New Roman"/>
          <w:b w:val="0"/>
          <w:i w:val="0"/>
          <w:spacing w:val="-2"/>
          <w:sz w:val="20"/>
          <w:szCs w:val="20"/>
          <w:lang w:val="pt-BR"/>
        </w:rPr>
        <w:t xml:space="preserve">em processos de controle concentrado de constitucionalidade consistiu na </w:t>
      </w:r>
      <w:r w:rsidR="00F22A1A" w:rsidRPr="00143082">
        <w:rPr>
          <w:rFonts w:eastAsiaTheme="minorHAnsi" w:cs="Times New Roman"/>
          <w:b w:val="0"/>
          <w:i w:val="0"/>
          <w:spacing w:val="-2"/>
          <w:sz w:val="20"/>
          <w:szCs w:val="20"/>
          <w:lang w:val="pt-BR"/>
        </w:rPr>
        <w:t xml:space="preserve">disputa em torno </w:t>
      </w:r>
      <w:r w:rsidR="00A03B14" w:rsidRPr="00143082">
        <w:rPr>
          <w:rFonts w:eastAsiaTheme="minorHAnsi" w:cs="Times New Roman"/>
          <w:b w:val="0"/>
          <w:i w:val="0"/>
          <w:spacing w:val="-2"/>
          <w:sz w:val="20"/>
          <w:szCs w:val="20"/>
          <w:lang w:val="pt-BR"/>
        </w:rPr>
        <w:t>do “marco temporal” de</w:t>
      </w:r>
      <w:r w:rsidR="00F22A1A" w:rsidRPr="00143082">
        <w:rPr>
          <w:rFonts w:eastAsiaTheme="minorHAnsi" w:cs="Times New Roman"/>
          <w:b w:val="0"/>
          <w:i w:val="0"/>
          <w:spacing w:val="-2"/>
          <w:sz w:val="20"/>
          <w:szCs w:val="20"/>
          <w:lang w:val="pt-BR"/>
        </w:rPr>
        <w:t xml:space="preserve"> terras indígenas:</w:t>
      </w:r>
      <w:r w:rsidR="00A03B14" w:rsidRPr="00143082">
        <w:rPr>
          <w:rFonts w:eastAsiaTheme="minorHAnsi" w:cs="Times New Roman"/>
          <w:b w:val="0"/>
          <w:i w:val="0"/>
          <w:spacing w:val="-2"/>
          <w:sz w:val="20"/>
          <w:szCs w:val="20"/>
          <w:lang w:val="pt-BR"/>
        </w:rPr>
        <w:t xml:space="preserve"> JOTA, 2024; e </w:t>
      </w:r>
      <w:r w:rsidR="00CF30CD" w:rsidRPr="00143082">
        <w:rPr>
          <w:rFonts w:eastAsiaTheme="minorHAnsi" w:cs="Times New Roman"/>
          <w:b w:val="0"/>
          <w:i w:val="0"/>
          <w:spacing w:val="-2"/>
          <w:sz w:val="20"/>
          <w:szCs w:val="20"/>
          <w:lang w:val="pt-BR"/>
        </w:rPr>
        <w:t>OUTRAS PALAVRAS, 2025.</w:t>
      </w:r>
    </w:p>
  </w:footnote>
  <w:footnote w:id="5">
    <w:p w14:paraId="706672AF" w14:textId="21EB6611" w:rsidR="00864B23" w:rsidRPr="00143082" w:rsidRDefault="00864B23" w:rsidP="00AF6DC5">
      <w:pPr>
        <w:pStyle w:val="Textodenotaderodap"/>
        <w:spacing w:line="240" w:lineRule="auto"/>
        <w:ind w:left="0" w:hanging="227"/>
        <w:rPr>
          <w:spacing w:val="-2"/>
          <w:lang w:val="pt-BR"/>
        </w:rPr>
      </w:pPr>
      <w:r w:rsidRPr="00143082">
        <w:rPr>
          <w:rFonts w:eastAsiaTheme="minorHAnsi" w:cs="Times New Roman"/>
          <w:b w:val="0"/>
          <w:i w:val="0"/>
          <w:spacing w:val="-2"/>
          <w:sz w:val="20"/>
          <w:szCs w:val="20"/>
          <w:vertAlign w:val="superscript"/>
          <w:lang w:val="pt-BR"/>
        </w:rPr>
        <w:footnoteRef/>
      </w:r>
      <w:r w:rsidRPr="00143082">
        <w:rPr>
          <w:rFonts w:eastAsiaTheme="minorHAnsi" w:cs="Times New Roman"/>
          <w:b w:val="0"/>
          <w:i w:val="0"/>
          <w:spacing w:val="-2"/>
          <w:sz w:val="20"/>
          <w:szCs w:val="20"/>
          <w:lang w:val="pt-BR"/>
        </w:rPr>
        <w:t xml:space="preserve"> </w:t>
      </w:r>
      <w:r w:rsidR="00AF6DC5" w:rsidRPr="00143082">
        <w:rPr>
          <w:rFonts w:eastAsiaTheme="minorHAnsi" w:cs="Times New Roman"/>
          <w:b w:val="0"/>
          <w:i w:val="0"/>
          <w:spacing w:val="-2"/>
          <w:sz w:val="20"/>
          <w:szCs w:val="20"/>
          <w:lang w:val="pt-BR"/>
        </w:rPr>
        <w:t xml:space="preserve">O método adotado neste artigo, portanto, consiste no “mapeamento de arranjos jurídico-institucionais”, identificado por </w:t>
      </w:r>
      <w:r w:rsidR="00933638" w:rsidRPr="00143082">
        <w:rPr>
          <w:rFonts w:eastAsiaTheme="minorHAnsi" w:cs="Times New Roman"/>
          <w:b w:val="0"/>
          <w:i w:val="0"/>
          <w:spacing w:val="-2"/>
          <w:sz w:val="20"/>
          <w:szCs w:val="20"/>
          <w:lang w:val="pt-BR"/>
        </w:rPr>
        <w:t xml:space="preserve">Maria Paula Dallari Bucci e Murilo </w:t>
      </w:r>
      <w:proofErr w:type="spellStart"/>
      <w:r w:rsidR="00933638" w:rsidRPr="00143082">
        <w:rPr>
          <w:rFonts w:eastAsiaTheme="minorHAnsi" w:cs="Times New Roman"/>
          <w:b w:val="0"/>
          <w:i w:val="0"/>
          <w:spacing w:val="-2"/>
          <w:sz w:val="20"/>
          <w:szCs w:val="20"/>
          <w:lang w:val="pt-BR"/>
        </w:rPr>
        <w:t>Gaspardo</w:t>
      </w:r>
      <w:proofErr w:type="spellEnd"/>
      <w:r w:rsidR="00933638" w:rsidRPr="00143082">
        <w:rPr>
          <w:rFonts w:eastAsiaTheme="minorHAnsi" w:cs="Times New Roman"/>
          <w:b w:val="0"/>
          <w:i w:val="0"/>
          <w:spacing w:val="-2"/>
          <w:sz w:val="20"/>
          <w:szCs w:val="20"/>
          <w:lang w:val="pt-BR"/>
        </w:rPr>
        <w:t xml:space="preserve"> </w:t>
      </w:r>
      <w:r w:rsidR="00AF6DC5" w:rsidRPr="00143082">
        <w:rPr>
          <w:rFonts w:eastAsiaTheme="minorHAnsi" w:cs="Times New Roman"/>
          <w:b w:val="0"/>
          <w:i w:val="0"/>
          <w:spacing w:val="-2"/>
          <w:sz w:val="20"/>
          <w:szCs w:val="20"/>
          <w:lang w:val="pt-BR"/>
        </w:rPr>
        <w:t>como “uma forma de observar as instituições que estão postas no mundo, sem a idealização do direito racionalmente construído”, que possibilita “a passagem de um tratamento generalizante das instituições para a apreensão de sua conformação concreta” (</w:t>
      </w:r>
      <w:r w:rsidR="00933638" w:rsidRPr="00143082">
        <w:rPr>
          <w:rFonts w:eastAsiaTheme="minorHAnsi" w:cs="Times New Roman"/>
          <w:b w:val="0"/>
          <w:i w:val="0"/>
          <w:spacing w:val="-2"/>
          <w:sz w:val="20"/>
          <w:szCs w:val="20"/>
          <w:lang w:val="pt-BR"/>
        </w:rPr>
        <w:t xml:space="preserve">BUCCI </w:t>
      </w:r>
      <w:r w:rsidR="00AF6DC5" w:rsidRPr="00143082">
        <w:rPr>
          <w:rFonts w:eastAsiaTheme="minorHAnsi" w:cs="Times New Roman"/>
          <w:b w:val="0"/>
          <w:i w:val="0"/>
          <w:spacing w:val="-2"/>
          <w:sz w:val="20"/>
          <w:szCs w:val="20"/>
          <w:lang w:val="pt-BR"/>
        </w:rPr>
        <w:t>e GASPARDO, 2024, p. 19).</w:t>
      </w:r>
    </w:p>
  </w:footnote>
  <w:footnote w:id="6">
    <w:p w14:paraId="21264E27" w14:textId="26F70141" w:rsidR="00F764F3" w:rsidRPr="00143082" w:rsidRDefault="00F764F3" w:rsidP="00176017">
      <w:pPr>
        <w:pStyle w:val="Textodenotaderodap"/>
        <w:spacing w:line="240" w:lineRule="auto"/>
        <w:ind w:left="0" w:hanging="227"/>
        <w:rPr>
          <w:b w:val="0"/>
          <w:bCs/>
          <w:i w:val="0"/>
          <w:iCs/>
          <w:spacing w:val="-2"/>
          <w:sz w:val="20"/>
          <w:szCs w:val="20"/>
          <w:lang w:val="pt-BR"/>
        </w:rPr>
      </w:pPr>
      <w:r w:rsidRPr="00143082">
        <w:rPr>
          <w:rFonts w:eastAsiaTheme="minorHAnsi" w:cs="Times New Roman"/>
          <w:b w:val="0"/>
          <w:i w:val="0"/>
          <w:spacing w:val="-2"/>
          <w:sz w:val="20"/>
          <w:szCs w:val="20"/>
          <w:vertAlign w:val="superscript"/>
          <w:lang w:val="pt-BR"/>
        </w:rPr>
        <w:footnoteRef/>
      </w:r>
      <w:r w:rsidRPr="00143082">
        <w:rPr>
          <w:rFonts w:eastAsiaTheme="minorHAnsi" w:cs="Times New Roman"/>
          <w:b w:val="0"/>
          <w:i w:val="0"/>
          <w:spacing w:val="-2"/>
          <w:sz w:val="20"/>
          <w:szCs w:val="20"/>
          <w:vertAlign w:val="superscript"/>
          <w:lang w:val="pt-BR"/>
        </w:rPr>
        <w:t xml:space="preserve"> </w:t>
      </w:r>
      <w:r w:rsidR="0051284A" w:rsidRPr="00143082">
        <w:rPr>
          <w:rFonts w:eastAsiaTheme="minorHAnsi" w:cs="Times New Roman"/>
          <w:b w:val="0"/>
          <w:i w:val="0"/>
          <w:spacing w:val="-2"/>
          <w:sz w:val="20"/>
          <w:szCs w:val="20"/>
          <w:lang w:val="pt-BR"/>
        </w:rPr>
        <w:t>A Constituição do Império</w:t>
      </w:r>
      <w:r w:rsidR="00176017" w:rsidRPr="00143082">
        <w:rPr>
          <w:rFonts w:eastAsiaTheme="minorHAnsi" w:cs="Times New Roman"/>
          <w:b w:val="0"/>
          <w:i w:val="0"/>
          <w:spacing w:val="-2"/>
          <w:sz w:val="20"/>
          <w:szCs w:val="20"/>
          <w:lang w:val="pt-BR"/>
        </w:rPr>
        <w:t xml:space="preserve"> (1824)</w:t>
      </w:r>
      <w:r w:rsidR="0051284A" w:rsidRPr="00143082">
        <w:rPr>
          <w:rFonts w:eastAsiaTheme="minorHAnsi" w:cs="Times New Roman"/>
          <w:b w:val="0"/>
          <w:i w:val="0"/>
          <w:spacing w:val="-2"/>
          <w:sz w:val="20"/>
          <w:szCs w:val="20"/>
          <w:lang w:val="pt-BR"/>
        </w:rPr>
        <w:t>, por exemplo, já previa que “sem se fazer constar, que se tem intentado o meio de reconciliação, não se começará Processo algum” (art. 161)</w:t>
      </w:r>
      <w:r w:rsidR="003D391F" w:rsidRPr="00143082">
        <w:rPr>
          <w:rFonts w:eastAsiaTheme="minorHAnsi" w:cs="Times New Roman"/>
          <w:b w:val="0"/>
          <w:i w:val="0"/>
          <w:spacing w:val="-2"/>
          <w:sz w:val="20"/>
          <w:szCs w:val="20"/>
          <w:lang w:val="pt-BR"/>
        </w:rPr>
        <w:t xml:space="preserve">. </w:t>
      </w:r>
      <w:r w:rsidR="00FD4C7F" w:rsidRPr="00143082">
        <w:rPr>
          <w:rFonts w:eastAsiaTheme="minorHAnsi" w:cs="Times New Roman"/>
          <w:b w:val="0"/>
          <w:i w:val="0"/>
          <w:spacing w:val="-2"/>
          <w:sz w:val="20"/>
          <w:szCs w:val="20"/>
          <w:lang w:val="pt-BR"/>
        </w:rPr>
        <w:t>Referenciando esse exemplo histórico, CINTRA, GRINOVER e DINAMARCO</w:t>
      </w:r>
      <w:r w:rsidR="00183DAA" w:rsidRPr="00143082">
        <w:rPr>
          <w:rFonts w:eastAsiaTheme="minorHAnsi" w:cs="Times New Roman"/>
          <w:b w:val="0"/>
          <w:i w:val="0"/>
          <w:spacing w:val="-2"/>
          <w:sz w:val="20"/>
          <w:szCs w:val="20"/>
          <w:lang w:val="pt-BR"/>
        </w:rPr>
        <w:t xml:space="preserve"> explicam que a “conciliação” visa a “induzir as próprias </w:t>
      </w:r>
      <w:r w:rsidR="00A27A22" w:rsidRPr="00143082">
        <w:rPr>
          <w:rFonts w:eastAsiaTheme="minorHAnsi" w:cs="Times New Roman"/>
          <w:b w:val="0"/>
          <w:i w:val="0"/>
          <w:spacing w:val="-2"/>
          <w:sz w:val="20"/>
          <w:szCs w:val="20"/>
          <w:lang w:val="pt-BR"/>
        </w:rPr>
        <w:t>pessoas em conflito a ditar a solução para a sua pendência” (CINTRA, GRINOVER e DINAMARCO, 1994, p. 27-28).</w:t>
      </w:r>
    </w:p>
  </w:footnote>
  <w:footnote w:id="7">
    <w:p w14:paraId="06465392" w14:textId="62134D45" w:rsidR="0065161A" w:rsidRPr="00143082" w:rsidRDefault="0065161A" w:rsidP="00F84712">
      <w:pPr>
        <w:pStyle w:val="Textodenotaderodap"/>
        <w:spacing w:line="240" w:lineRule="auto"/>
        <w:ind w:left="0" w:hanging="227"/>
        <w:rPr>
          <w:spacing w:val="-2"/>
          <w:lang w:val="pt-BR"/>
        </w:rPr>
      </w:pPr>
      <w:r w:rsidRPr="00143082">
        <w:rPr>
          <w:rFonts w:eastAsiaTheme="minorHAnsi" w:cs="Times New Roman"/>
          <w:b w:val="0"/>
          <w:i w:val="0"/>
          <w:spacing w:val="-2"/>
          <w:sz w:val="20"/>
          <w:szCs w:val="20"/>
          <w:vertAlign w:val="superscript"/>
          <w:lang w:val="pt-BR"/>
        </w:rPr>
        <w:footnoteRef/>
      </w:r>
      <w:r w:rsidRPr="00143082">
        <w:rPr>
          <w:rFonts w:eastAsiaTheme="minorHAnsi" w:cs="Times New Roman"/>
          <w:b w:val="0"/>
          <w:i w:val="0"/>
          <w:spacing w:val="-2"/>
          <w:sz w:val="20"/>
          <w:szCs w:val="20"/>
          <w:lang w:val="pt-BR"/>
        </w:rPr>
        <w:t xml:space="preserve"> </w:t>
      </w:r>
      <w:r w:rsidR="00D647B6" w:rsidRPr="00143082">
        <w:rPr>
          <w:rFonts w:eastAsiaTheme="minorHAnsi" w:cs="Times New Roman"/>
          <w:b w:val="0"/>
          <w:i w:val="0"/>
          <w:spacing w:val="-2"/>
          <w:sz w:val="20"/>
          <w:szCs w:val="20"/>
          <w:lang w:val="pt-BR"/>
        </w:rPr>
        <w:t xml:space="preserve">Nas palavras de </w:t>
      </w:r>
      <w:r w:rsidR="00292946" w:rsidRPr="00143082">
        <w:rPr>
          <w:rFonts w:eastAsiaTheme="minorHAnsi" w:cs="Times New Roman"/>
          <w:b w:val="0"/>
          <w:i w:val="0"/>
          <w:spacing w:val="-2"/>
          <w:sz w:val="20"/>
          <w:szCs w:val="20"/>
          <w:lang w:val="pt-BR"/>
        </w:rPr>
        <w:t>Didier e Fernandez</w:t>
      </w:r>
      <w:r w:rsidR="00D647B6" w:rsidRPr="00143082">
        <w:rPr>
          <w:rFonts w:eastAsiaTheme="minorHAnsi" w:cs="Times New Roman"/>
          <w:b w:val="0"/>
          <w:i w:val="0"/>
          <w:spacing w:val="-2"/>
          <w:sz w:val="20"/>
          <w:szCs w:val="20"/>
          <w:lang w:val="pt-BR"/>
        </w:rPr>
        <w:t>, “</w:t>
      </w:r>
      <w:r w:rsidR="00EE7287" w:rsidRPr="00143082">
        <w:rPr>
          <w:rFonts w:eastAsiaTheme="minorHAnsi" w:cs="Times New Roman"/>
          <w:b w:val="0"/>
          <w:i w:val="0"/>
          <w:spacing w:val="-2"/>
          <w:sz w:val="20"/>
          <w:szCs w:val="20"/>
          <w:lang w:val="pt-BR"/>
        </w:rPr>
        <w:t>a autocomposiçã</w:t>
      </w:r>
      <w:r w:rsidR="00AB16BC" w:rsidRPr="00143082">
        <w:rPr>
          <w:rFonts w:eastAsiaTheme="minorHAnsi" w:cs="Times New Roman"/>
          <w:b w:val="0"/>
          <w:i w:val="0"/>
          <w:spacing w:val="-2"/>
          <w:sz w:val="20"/>
          <w:szCs w:val="20"/>
          <w:lang w:val="pt-BR"/>
        </w:rPr>
        <w:t xml:space="preserve">o pressupõe a existência de </w:t>
      </w:r>
      <w:r w:rsidR="00D213A5" w:rsidRPr="00143082">
        <w:rPr>
          <w:rFonts w:eastAsiaTheme="minorHAnsi" w:cs="Times New Roman"/>
          <w:b w:val="0"/>
          <w:i w:val="0"/>
          <w:spacing w:val="-2"/>
          <w:sz w:val="20"/>
          <w:szCs w:val="20"/>
          <w:lang w:val="pt-BR"/>
        </w:rPr>
        <w:t xml:space="preserve">consenso entre os envolvidos no problema jurídico. As partes, em conjunto, constroem a solução que consideram mais adequada para o </w:t>
      </w:r>
      <w:r w:rsidR="005F7FE4" w:rsidRPr="00143082">
        <w:rPr>
          <w:rFonts w:eastAsiaTheme="minorHAnsi" w:cs="Times New Roman"/>
          <w:b w:val="0"/>
          <w:i w:val="0"/>
          <w:spacing w:val="-2"/>
          <w:sz w:val="20"/>
          <w:szCs w:val="20"/>
          <w:lang w:val="pt-BR"/>
        </w:rPr>
        <w:t xml:space="preserve">caso”, e, mais adiante, </w:t>
      </w:r>
      <w:r w:rsidR="00E27451" w:rsidRPr="00143082">
        <w:rPr>
          <w:rFonts w:eastAsiaTheme="minorHAnsi" w:cs="Times New Roman"/>
          <w:b w:val="0"/>
          <w:i w:val="0"/>
          <w:spacing w:val="-2"/>
          <w:sz w:val="20"/>
          <w:szCs w:val="20"/>
          <w:lang w:val="pt-BR"/>
        </w:rPr>
        <w:t>explicam que “a autocomposição é a forma de solução do problema jurídico pelo consentimento espontâneo de um dos contendores em sacrificar o interesse próprio, no todo ou em parte, em favor do interesse alheio. É a solução altruísta do litígio. É considerada</w:t>
      </w:r>
      <w:r w:rsidR="008B2DC0" w:rsidRPr="00143082">
        <w:rPr>
          <w:rFonts w:eastAsiaTheme="minorHAnsi" w:cs="Times New Roman"/>
          <w:b w:val="0"/>
          <w:i w:val="0"/>
          <w:spacing w:val="-2"/>
          <w:sz w:val="20"/>
          <w:szCs w:val="20"/>
          <w:lang w:val="pt-BR"/>
        </w:rPr>
        <w:t xml:space="preserve">, atualmente, como prioritária forma de pacificação social (art. 3º, </w:t>
      </w:r>
      <w:r w:rsidR="008B2DC0" w:rsidRPr="00143082">
        <w:rPr>
          <w:rFonts w:eastAsiaTheme="minorHAnsi" w:cs="Times New Roman"/>
          <w:b w:val="0"/>
          <w:i w:val="0"/>
          <w:spacing w:val="-2"/>
          <w:sz w:val="20"/>
          <w:szCs w:val="20"/>
          <w:lang w:val="pt-BR"/>
        </w:rPr>
        <w:softHyphen/>
        <w:t>§2º, CPC)”</w:t>
      </w:r>
      <w:r w:rsidR="00106AAB" w:rsidRPr="00143082">
        <w:rPr>
          <w:rFonts w:eastAsiaTheme="minorHAnsi" w:cs="Times New Roman"/>
          <w:b w:val="0"/>
          <w:i w:val="0"/>
          <w:spacing w:val="-2"/>
          <w:sz w:val="20"/>
          <w:szCs w:val="20"/>
          <w:lang w:val="pt-BR"/>
        </w:rPr>
        <w:t xml:space="preserve">. Enquanto gênero, a autocomposição subdivide-se em duas espécies: “transação”, pela qual “os conflitantes fazem concessões mútuas e solucionam o problema jurídico”, e “submissão”, pela qual “um dos conflitantes </w:t>
      </w:r>
      <w:r w:rsidR="002914E4" w:rsidRPr="00143082">
        <w:rPr>
          <w:rFonts w:eastAsiaTheme="minorHAnsi" w:cs="Times New Roman"/>
          <w:b w:val="0"/>
          <w:i w:val="0"/>
          <w:spacing w:val="-2"/>
          <w:sz w:val="20"/>
          <w:szCs w:val="20"/>
          <w:lang w:val="pt-BR"/>
        </w:rPr>
        <w:t>se submete à pretensão do outro voluntariamente, abdicando dos seus interesses”</w:t>
      </w:r>
      <w:r w:rsidR="00D153A1" w:rsidRPr="00143082">
        <w:rPr>
          <w:rFonts w:eastAsiaTheme="minorHAnsi" w:cs="Times New Roman"/>
          <w:b w:val="0"/>
          <w:i w:val="0"/>
          <w:spacing w:val="-2"/>
          <w:sz w:val="20"/>
          <w:szCs w:val="20"/>
          <w:lang w:val="pt-BR"/>
        </w:rPr>
        <w:t xml:space="preserve"> (DIDIER e FERNANDEZ, </w:t>
      </w:r>
      <w:r w:rsidR="00292946" w:rsidRPr="00143082">
        <w:rPr>
          <w:rFonts w:eastAsiaTheme="minorHAnsi" w:cs="Times New Roman"/>
          <w:b w:val="0"/>
          <w:i w:val="0"/>
          <w:spacing w:val="-2"/>
          <w:sz w:val="20"/>
          <w:szCs w:val="20"/>
          <w:lang w:val="pt-BR"/>
        </w:rPr>
        <w:t xml:space="preserve">2023, </w:t>
      </w:r>
      <w:r w:rsidR="00D153A1" w:rsidRPr="00143082">
        <w:rPr>
          <w:rFonts w:eastAsiaTheme="minorHAnsi" w:cs="Times New Roman"/>
          <w:b w:val="0"/>
          <w:i w:val="0"/>
          <w:spacing w:val="-2"/>
          <w:sz w:val="20"/>
          <w:szCs w:val="20"/>
          <w:lang w:val="pt-BR"/>
        </w:rPr>
        <w:t>p.</w:t>
      </w:r>
      <w:r w:rsidR="00F84712" w:rsidRPr="00143082">
        <w:rPr>
          <w:rFonts w:eastAsiaTheme="minorHAnsi" w:cs="Times New Roman"/>
          <w:b w:val="0"/>
          <w:i w:val="0"/>
          <w:spacing w:val="-2"/>
          <w:sz w:val="20"/>
          <w:szCs w:val="20"/>
          <w:lang w:val="pt-BR"/>
        </w:rPr>
        <w:t xml:space="preserve"> 132 e p.</w:t>
      </w:r>
      <w:r w:rsidR="00D153A1" w:rsidRPr="00143082">
        <w:rPr>
          <w:rFonts w:eastAsiaTheme="minorHAnsi" w:cs="Times New Roman"/>
          <w:b w:val="0"/>
          <w:i w:val="0"/>
          <w:spacing w:val="-2"/>
          <w:sz w:val="20"/>
          <w:szCs w:val="20"/>
          <w:lang w:val="pt-BR"/>
        </w:rPr>
        <w:t xml:space="preserve"> 177</w:t>
      </w:r>
      <w:r w:rsidR="00F84712" w:rsidRPr="00143082">
        <w:rPr>
          <w:rFonts w:eastAsiaTheme="minorHAnsi" w:cs="Times New Roman"/>
          <w:b w:val="0"/>
          <w:i w:val="0"/>
          <w:spacing w:val="-2"/>
          <w:sz w:val="20"/>
          <w:szCs w:val="20"/>
          <w:lang w:val="pt-BR"/>
        </w:rPr>
        <w:t>).</w:t>
      </w:r>
    </w:p>
  </w:footnote>
  <w:footnote w:id="8">
    <w:p w14:paraId="3AD04787" w14:textId="09885EA4" w:rsidR="007036F8" w:rsidRPr="00143082" w:rsidRDefault="007036F8" w:rsidP="00B05984">
      <w:pPr>
        <w:pStyle w:val="Textodenotaderodap"/>
        <w:spacing w:line="240" w:lineRule="auto"/>
        <w:ind w:left="0" w:hanging="227"/>
        <w:rPr>
          <w:spacing w:val="-2"/>
          <w:lang w:val="pt-BR"/>
        </w:rPr>
      </w:pPr>
      <w:r w:rsidRPr="00143082">
        <w:rPr>
          <w:rFonts w:eastAsiaTheme="minorHAnsi" w:cs="Times New Roman"/>
          <w:b w:val="0"/>
          <w:i w:val="0"/>
          <w:spacing w:val="-2"/>
          <w:sz w:val="20"/>
          <w:szCs w:val="20"/>
          <w:vertAlign w:val="superscript"/>
          <w:lang w:val="pt-BR"/>
        </w:rPr>
        <w:footnoteRef/>
      </w:r>
      <w:r w:rsidRPr="00143082">
        <w:rPr>
          <w:rFonts w:eastAsiaTheme="minorHAnsi" w:cs="Times New Roman"/>
          <w:b w:val="0"/>
          <w:i w:val="0"/>
          <w:spacing w:val="-2"/>
          <w:sz w:val="20"/>
          <w:szCs w:val="20"/>
          <w:lang w:val="pt-BR"/>
        </w:rPr>
        <w:t xml:space="preserve"> </w:t>
      </w:r>
      <w:r w:rsidR="00102781" w:rsidRPr="00143082">
        <w:rPr>
          <w:rFonts w:eastAsiaTheme="minorHAnsi" w:cs="Times New Roman"/>
          <w:b w:val="0"/>
          <w:i w:val="0"/>
          <w:spacing w:val="-2"/>
          <w:sz w:val="20"/>
          <w:szCs w:val="20"/>
          <w:lang w:val="pt-BR"/>
        </w:rPr>
        <w:t>O conceito de “justiça multiportas”</w:t>
      </w:r>
      <w:r w:rsidR="00B05984" w:rsidRPr="00143082">
        <w:rPr>
          <w:rFonts w:eastAsiaTheme="minorHAnsi" w:cs="Times New Roman"/>
          <w:b w:val="0"/>
          <w:i w:val="0"/>
          <w:spacing w:val="-2"/>
          <w:sz w:val="20"/>
          <w:szCs w:val="20"/>
          <w:lang w:val="pt-BR"/>
        </w:rPr>
        <w:t xml:space="preserve"> vem sendo utilizado </w:t>
      </w:r>
      <w:r w:rsidR="007E1973" w:rsidRPr="00143082">
        <w:rPr>
          <w:rFonts w:eastAsiaTheme="minorHAnsi" w:cs="Times New Roman"/>
          <w:b w:val="0"/>
          <w:i w:val="0"/>
          <w:spacing w:val="-2"/>
          <w:sz w:val="20"/>
          <w:szCs w:val="20"/>
          <w:lang w:val="pt-BR"/>
        </w:rPr>
        <w:t xml:space="preserve">da doutrina processualista </w:t>
      </w:r>
      <w:r w:rsidR="00B05984" w:rsidRPr="00143082">
        <w:rPr>
          <w:rFonts w:eastAsiaTheme="minorHAnsi" w:cs="Times New Roman"/>
          <w:b w:val="0"/>
          <w:i w:val="0"/>
          <w:spacing w:val="-2"/>
          <w:sz w:val="20"/>
          <w:szCs w:val="20"/>
          <w:lang w:val="pt-BR"/>
        </w:rPr>
        <w:t xml:space="preserve">para designar </w:t>
      </w:r>
      <w:r w:rsidR="00F76C2C" w:rsidRPr="00143082">
        <w:rPr>
          <w:rFonts w:eastAsiaTheme="minorHAnsi" w:cs="Times New Roman"/>
          <w:b w:val="0"/>
          <w:i w:val="0"/>
          <w:spacing w:val="-2"/>
          <w:sz w:val="20"/>
          <w:szCs w:val="20"/>
          <w:lang w:val="pt-BR"/>
        </w:rPr>
        <w:t>o conjunto</w:t>
      </w:r>
      <w:r w:rsidR="00CF576A" w:rsidRPr="00143082">
        <w:rPr>
          <w:rFonts w:eastAsiaTheme="minorHAnsi" w:cs="Times New Roman"/>
          <w:b w:val="0"/>
          <w:i w:val="0"/>
          <w:spacing w:val="-2"/>
          <w:sz w:val="20"/>
          <w:szCs w:val="20"/>
          <w:lang w:val="pt-BR"/>
        </w:rPr>
        <w:t xml:space="preserve"> de mecanismos de solução de controvérsias jurídicas </w:t>
      </w:r>
      <w:r w:rsidR="00F76C2C" w:rsidRPr="00143082">
        <w:rPr>
          <w:rFonts w:eastAsiaTheme="minorHAnsi" w:cs="Times New Roman"/>
          <w:b w:val="0"/>
          <w:i w:val="0"/>
          <w:spacing w:val="-2"/>
          <w:sz w:val="20"/>
          <w:szCs w:val="20"/>
          <w:lang w:val="pt-BR"/>
        </w:rPr>
        <w:t xml:space="preserve">que abrange o tradicional método </w:t>
      </w:r>
      <w:proofErr w:type="spellStart"/>
      <w:r w:rsidR="00F76C2C" w:rsidRPr="00143082">
        <w:rPr>
          <w:rFonts w:eastAsiaTheme="minorHAnsi" w:cs="Times New Roman"/>
          <w:b w:val="0"/>
          <w:i w:val="0"/>
          <w:spacing w:val="-2"/>
          <w:sz w:val="20"/>
          <w:szCs w:val="20"/>
          <w:lang w:val="pt-BR"/>
        </w:rPr>
        <w:t>heterocompositivo</w:t>
      </w:r>
      <w:proofErr w:type="spellEnd"/>
      <w:r w:rsidR="00F76C2C" w:rsidRPr="00143082">
        <w:rPr>
          <w:rFonts w:eastAsiaTheme="minorHAnsi" w:cs="Times New Roman"/>
          <w:b w:val="0"/>
          <w:i w:val="0"/>
          <w:spacing w:val="-2"/>
          <w:sz w:val="20"/>
          <w:szCs w:val="20"/>
          <w:lang w:val="pt-BR"/>
        </w:rPr>
        <w:t xml:space="preserve"> (adjudicação) </w:t>
      </w:r>
      <w:r w:rsidR="00055A74" w:rsidRPr="00143082">
        <w:rPr>
          <w:rFonts w:eastAsiaTheme="minorHAnsi" w:cs="Times New Roman"/>
          <w:b w:val="0"/>
          <w:i w:val="0"/>
          <w:spacing w:val="-2"/>
          <w:sz w:val="20"/>
          <w:szCs w:val="20"/>
          <w:lang w:val="pt-BR"/>
        </w:rPr>
        <w:t xml:space="preserve">e outras formas de solução de problemas jurídicos, como a autocomposição, a autotutela e a execução extrajudicial. </w:t>
      </w:r>
      <w:r w:rsidR="00C82693" w:rsidRPr="00143082">
        <w:rPr>
          <w:rFonts w:eastAsiaTheme="minorHAnsi" w:cs="Times New Roman"/>
          <w:b w:val="0"/>
          <w:i w:val="0"/>
          <w:spacing w:val="-2"/>
          <w:sz w:val="20"/>
          <w:szCs w:val="20"/>
          <w:lang w:val="pt-BR"/>
        </w:rPr>
        <w:t xml:space="preserve">Essa visão sobre o sistema de justiça parte da premissa de que a “justiça”, entendida como “solução adequada de um problema jurídico”, </w:t>
      </w:r>
      <w:r w:rsidR="007E1973" w:rsidRPr="00143082">
        <w:rPr>
          <w:rFonts w:eastAsiaTheme="minorHAnsi" w:cs="Times New Roman"/>
          <w:b w:val="0"/>
          <w:i w:val="0"/>
          <w:spacing w:val="-2"/>
          <w:sz w:val="20"/>
          <w:szCs w:val="20"/>
          <w:lang w:val="pt-BR"/>
        </w:rPr>
        <w:t>“pode ser alcançada por diversas portas e não apenas pela porta da ‘jurisdição estatal’, os outros meios de solução dos problemas jurídicos (e, consequentemente, de tutela dos direitos) passam a fazer parte do sistema de justiça e incorporam-se definitivamente ao âmbito de preocupação dos processualistas” (DIDIER</w:t>
      </w:r>
      <w:r w:rsidR="00292946" w:rsidRPr="00143082">
        <w:rPr>
          <w:rFonts w:eastAsiaTheme="minorHAnsi" w:cs="Times New Roman"/>
          <w:b w:val="0"/>
          <w:i w:val="0"/>
          <w:spacing w:val="-2"/>
          <w:sz w:val="20"/>
          <w:szCs w:val="20"/>
          <w:lang w:val="pt-BR"/>
        </w:rPr>
        <w:t xml:space="preserve"> e </w:t>
      </w:r>
      <w:r w:rsidR="00B32CE1" w:rsidRPr="00143082">
        <w:rPr>
          <w:rFonts w:eastAsiaTheme="minorHAnsi" w:cs="Times New Roman"/>
          <w:b w:val="0"/>
          <w:i w:val="0"/>
          <w:spacing w:val="-2"/>
          <w:sz w:val="20"/>
          <w:szCs w:val="20"/>
          <w:lang w:val="pt-BR"/>
        </w:rPr>
        <w:t>FERNANDEZ</w:t>
      </w:r>
      <w:r w:rsidR="00292946" w:rsidRPr="00143082">
        <w:rPr>
          <w:rFonts w:eastAsiaTheme="minorHAnsi" w:cs="Times New Roman"/>
          <w:b w:val="0"/>
          <w:i w:val="0"/>
          <w:spacing w:val="-2"/>
          <w:sz w:val="20"/>
          <w:szCs w:val="20"/>
          <w:lang w:val="pt-BR"/>
        </w:rPr>
        <w:t>, 2023</w:t>
      </w:r>
      <w:r w:rsidR="00FE250E" w:rsidRPr="00143082">
        <w:rPr>
          <w:rFonts w:eastAsiaTheme="minorHAnsi" w:cs="Times New Roman"/>
          <w:b w:val="0"/>
          <w:i w:val="0"/>
          <w:spacing w:val="-2"/>
          <w:sz w:val="20"/>
          <w:szCs w:val="20"/>
          <w:lang w:val="pt-BR"/>
        </w:rPr>
        <w:t xml:space="preserve">, p. </w:t>
      </w:r>
      <w:r w:rsidR="00DB09FD" w:rsidRPr="00143082">
        <w:rPr>
          <w:rFonts w:eastAsiaTheme="minorHAnsi" w:cs="Times New Roman"/>
          <w:b w:val="0"/>
          <w:i w:val="0"/>
          <w:spacing w:val="-2"/>
          <w:sz w:val="20"/>
          <w:szCs w:val="20"/>
          <w:lang w:val="pt-BR"/>
        </w:rPr>
        <w:t xml:space="preserve">169). Sobre o tema, destacam-se as seguintes obras: </w:t>
      </w:r>
      <w:r w:rsidR="00292946" w:rsidRPr="00143082">
        <w:rPr>
          <w:rFonts w:eastAsiaTheme="minorHAnsi" w:cs="Times New Roman"/>
          <w:b w:val="0"/>
          <w:i w:val="0"/>
          <w:spacing w:val="-2"/>
          <w:sz w:val="20"/>
          <w:szCs w:val="20"/>
          <w:lang w:val="pt-BR"/>
        </w:rPr>
        <w:t>ZANETI JR e CABRAL, 2022;</w:t>
      </w:r>
      <w:r w:rsidR="00FB1238" w:rsidRPr="00143082">
        <w:rPr>
          <w:rFonts w:eastAsiaTheme="minorHAnsi" w:cs="Times New Roman"/>
          <w:b w:val="0"/>
          <w:i w:val="0"/>
          <w:spacing w:val="-2"/>
          <w:sz w:val="20"/>
          <w:szCs w:val="20"/>
          <w:lang w:val="pt-BR"/>
        </w:rPr>
        <w:t xml:space="preserve"> e DIDIER</w:t>
      </w:r>
      <w:r w:rsidR="00292946" w:rsidRPr="00143082">
        <w:rPr>
          <w:rFonts w:eastAsiaTheme="minorHAnsi" w:cs="Times New Roman"/>
          <w:b w:val="0"/>
          <w:i w:val="0"/>
          <w:spacing w:val="-2"/>
          <w:sz w:val="20"/>
          <w:szCs w:val="20"/>
          <w:lang w:val="pt-BR"/>
        </w:rPr>
        <w:t xml:space="preserve"> e </w:t>
      </w:r>
      <w:r w:rsidR="00FB1238" w:rsidRPr="00143082">
        <w:rPr>
          <w:rFonts w:eastAsiaTheme="minorHAnsi" w:cs="Times New Roman"/>
          <w:b w:val="0"/>
          <w:i w:val="0"/>
          <w:spacing w:val="-2"/>
          <w:sz w:val="20"/>
          <w:szCs w:val="20"/>
          <w:lang w:val="pt-BR"/>
        </w:rPr>
        <w:t>FERNANDEZ</w:t>
      </w:r>
      <w:r w:rsidR="00292946" w:rsidRPr="00143082">
        <w:rPr>
          <w:rFonts w:eastAsiaTheme="minorHAnsi" w:cs="Times New Roman"/>
          <w:b w:val="0"/>
          <w:i w:val="0"/>
          <w:spacing w:val="-2"/>
          <w:sz w:val="20"/>
          <w:szCs w:val="20"/>
          <w:lang w:val="pt-BR"/>
        </w:rPr>
        <w:t>, 2025</w:t>
      </w:r>
      <w:r w:rsidR="0065161A" w:rsidRPr="00143082">
        <w:rPr>
          <w:rFonts w:eastAsiaTheme="minorHAnsi" w:cs="Times New Roman"/>
          <w:b w:val="0"/>
          <w:i w:val="0"/>
          <w:spacing w:val="-2"/>
          <w:sz w:val="20"/>
          <w:szCs w:val="20"/>
          <w:lang w:val="pt-BR"/>
        </w:rPr>
        <w:t>.</w:t>
      </w:r>
    </w:p>
  </w:footnote>
  <w:footnote w:id="9">
    <w:p w14:paraId="0AE25590" w14:textId="292A0A76" w:rsidR="00663852" w:rsidRPr="00143082" w:rsidRDefault="00663852" w:rsidP="00356E68">
      <w:pPr>
        <w:pStyle w:val="Textodenotaderodap"/>
        <w:spacing w:line="240" w:lineRule="auto"/>
        <w:ind w:left="0" w:hanging="227"/>
        <w:rPr>
          <w:spacing w:val="-2"/>
          <w:lang w:val="pt-BR"/>
        </w:rPr>
      </w:pPr>
      <w:r w:rsidRPr="00143082">
        <w:rPr>
          <w:b w:val="0"/>
          <w:bCs/>
          <w:i w:val="0"/>
          <w:iCs/>
          <w:spacing w:val="-2"/>
          <w:sz w:val="20"/>
          <w:szCs w:val="20"/>
          <w:vertAlign w:val="superscript"/>
          <w:lang w:val="pt-BR"/>
        </w:rPr>
        <w:footnoteRef/>
      </w:r>
      <w:r w:rsidRPr="00143082">
        <w:rPr>
          <w:b w:val="0"/>
          <w:bCs/>
          <w:i w:val="0"/>
          <w:iCs/>
          <w:spacing w:val="-2"/>
          <w:sz w:val="20"/>
          <w:szCs w:val="20"/>
          <w:lang w:val="pt-BR"/>
        </w:rPr>
        <w:t xml:space="preserve"> Nas palavras de Georges Abboud, </w:t>
      </w:r>
      <w:r w:rsidR="00E875B5" w:rsidRPr="00143082">
        <w:rPr>
          <w:b w:val="0"/>
          <w:bCs/>
          <w:i w:val="0"/>
          <w:iCs/>
          <w:spacing w:val="-2"/>
          <w:sz w:val="20"/>
          <w:szCs w:val="20"/>
          <w:lang w:val="pt-BR"/>
        </w:rPr>
        <w:t xml:space="preserve">a tarefa primordial da jurisdição constitucional consiste em “decidir, com autoridade, os casos de violação </w:t>
      </w:r>
      <w:r w:rsidR="006E5F62" w:rsidRPr="00143082">
        <w:rPr>
          <w:b w:val="0"/>
          <w:bCs/>
          <w:i w:val="0"/>
          <w:iCs/>
          <w:spacing w:val="-2"/>
          <w:sz w:val="20"/>
          <w:szCs w:val="20"/>
          <w:lang w:val="pt-BR"/>
        </w:rPr>
        <w:t>ao texto constitucional”, servindo, primordialmente, à “preservação da Constituição”. Ainda de acordo com o autor, a</w:t>
      </w:r>
      <w:r w:rsidR="000866BB" w:rsidRPr="00143082">
        <w:rPr>
          <w:b w:val="0"/>
          <w:bCs/>
          <w:i w:val="0"/>
          <w:iCs/>
          <w:spacing w:val="-2"/>
          <w:sz w:val="20"/>
          <w:szCs w:val="20"/>
          <w:lang w:val="pt-BR"/>
        </w:rPr>
        <w:t xml:space="preserve">s funções essenciais da jurisdição constitucional consistem em “1) limitar o Poder Público”, “2) </w:t>
      </w:r>
      <w:r w:rsidR="00D571FA" w:rsidRPr="00143082">
        <w:rPr>
          <w:b w:val="0"/>
          <w:bCs/>
          <w:i w:val="0"/>
          <w:iCs/>
          <w:spacing w:val="-2"/>
          <w:sz w:val="20"/>
          <w:szCs w:val="20"/>
          <w:lang w:val="pt-BR"/>
        </w:rPr>
        <w:t>garantir a existência das minorias e assegurar a proteção dos direitos fundamentais”, “3) corrigir os equívocos e omissões do Poder Legislativo”</w:t>
      </w:r>
      <w:r w:rsidR="004977FF" w:rsidRPr="00143082">
        <w:rPr>
          <w:b w:val="0"/>
          <w:bCs/>
          <w:i w:val="0"/>
          <w:iCs/>
          <w:spacing w:val="-2"/>
          <w:sz w:val="20"/>
          <w:szCs w:val="20"/>
          <w:lang w:val="pt-BR"/>
        </w:rPr>
        <w:t xml:space="preserve">, e “4) conferir, em termos dogmáticos, coerência e garantir a preservação da própria </w:t>
      </w:r>
      <w:r w:rsidR="00194D87" w:rsidRPr="00143082">
        <w:rPr>
          <w:b w:val="0"/>
          <w:bCs/>
          <w:i w:val="0"/>
          <w:iCs/>
          <w:spacing w:val="-2"/>
          <w:sz w:val="20"/>
          <w:szCs w:val="20"/>
          <w:lang w:val="pt-BR"/>
        </w:rPr>
        <w:t xml:space="preserve">autonomia do Direito, mais precisamente, da própria Constituição Federal” (ABBOUD, </w:t>
      </w:r>
      <w:r w:rsidR="004B2D5F" w:rsidRPr="00143082">
        <w:rPr>
          <w:b w:val="0"/>
          <w:bCs/>
          <w:i w:val="0"/>
          <w:iCs/>
          <w:spacing w:val="-2"/>
          <w:sz w:val="20"/>
          <w:szCs w:val="20"/>
          <w:lang w:val="pt-BR"/>
        </w:rPr>
        <w:t>2021</w:t>
      </w:r>
      <w:r w:rsidR="00194D87" w:rsidRPr="00143082">
        <w:rPr>
          <w:b w:val="0"/>
          <w:bCs/>
          <w:i w:val="0"/>
          <w:iCs/>
          <w:spacing w:val="-2"/>
          <w:sz w:val="20"/>
          <w:szCs w:val="20"/>
          <w:lang w:val="pt-BR"/>
        </w:rPr>
        <w:t xml:space="preserve">, p. </w:t>
      </w:r>
      <w:r w:rsidR="00356E68" w:rsidRPr="00143082">
        <w:rPr>
          <w:b w:val="0"/>
          <w:bCs/>
          <w:i w:val="0"/>
          <w:iCs/>
          <w:spacing w:val="-2"/>
          <w:sz w:val="20"/>
          <w:szCs w:val="20"/>
          <w:lang w:val="pt-BR"/>
        </w:rPr>
        <w:t>468-469).</w:t>
      </w:r>
    </w:p>
  </w:footnote>
  <w:footnote w:id="10">
    <w:p w14:paraId="0AABA322" w14:textId="790DE3C0" w:rsidR="00C85261" w:rsidRPr="00143082" w:rsidRDefault="00C85261" w:rsidP="00C00F12">
      <w:pPr>
        <w:pStyle w:val="Textodenotaderodap"/>
        <w:spacing w:line="240" w:lineRule="auto"/>
        <w:ind w:left="0" w:hanging="227"/>
        <w:rPr>
          <w:b w:val="0"/>
          <w:bCs/>
          <w:i w:val="0"/>
          <w:iCs/>
          <w:spacing w:val="-2"/>
          <w:lang w:val="pt-BR"/>
        </w:rPr>
      </w:pPr>
      <w:r w:rsidRPr="00143082">
        <w:rPr>
          <w:rStyle w:val="Refdenotaderodap"/>
          <w:b w:val="0"/>
          <w:bCs/>
          <w:i w:val="0"/>
          <w:iCs/>
          <w:spacing w:val="-2"/>
          <w:sz w:val="20"/>
          <w:szCs w:val="20"/>
        </w:rPr>
        <w:footnoteRef/>
      </w:r>
      <w:r w:rsidRPr="00143082">
        <w:rPr>
          <w:b w:val="0"/>
          <w:bCs/>
          <w:i w:val="0"/>
          <w:iCs/>
          <w:spacing w:val="-2"/>
          <w:sz w:val="20"/>
          <w:szCs w:val="20"/>
          <w:lang w:val="pt-BR"/>
        </w:rPr>
        <w:t xml:space="preserve"> </w:t>
      </w:r>
      <w:r w:rsidR="005D6238" w:rsidRPr="00143082">
        <w:rPr>
          <w:b w:val="0"/>
          <w:bCs/>
          <w:i w:val="0"/>
          <w:iCs/>
          <w:spacing w:val="-2"/>
          <w:sz w:val="20"/>
          <w:szCs w:val="20"/>
          <w:lang w:val="pt-BR"/>
        </w:rPr>
        <w:t>A “efi</w:t>
      </w:r>
      <w:r w:rsidR="00DD366D" w:rsidRPr="00143082">
        <w:rPr>
          <w:b w:val="0"/>
          <w:bCs/>
          <w:i w:val="0"/>
          <w:iCs/>
          <w:spacing w:val="-2"/>
          <w:sz w:val="20"/>
          <w:szCs w:val="20"/>
          <w:lang w:val="pt-BR"/>
        </w:rPr>
        <w:t xml:space="preserve">ciência operacional” já havia sido eleita, ao lado do “acesso ao sistema de Justiça” </w:t>
      </w:r>
      <w:r w:rsidR="004833C4" w:rsidRPr="00143082">
        <w:rPr>
          <w:b w:val="0"/>
          <w:bCs/>
          <w:i w:val="0"/>
          <w:iCs/>
          <w:spacing w:val="-2"/>
          <w:sz w:val="20"/>
          <w:szCs w:val="20"/>
          <w:lang w:val="pt-BR"/>
        </w:rPr>
        <w:t>e da “responsabilidade social”</w:t>
      </w:r>
      <w:r w:rsidR="003F69F4" w:rsidRPr="00143082">
        <w:rPr>
          <w:b w:val="0"/>
          <w:bCs/>
          <w:i w:val="0"/>
          <w:iCs/>
          <w:spacing w:val="-2"/>
          <w:sz w:val="20"/>
          <w:szCs w:val="20"/>
          <w:lang w:val="pt-BR"/>
        </w:rPr>
        <w:t>, como um dos “objetivos estratégicos do Poder Judiciário”, nos termos da Resolução/CNJ nº 70, de 18 de março de 2009 (</w:t>
      </w:r>
      <w:r w:rsidR="003E2917" w:rsidRPr="00143082">
        <w:rPr>
          <w:b w:val="0"/>
          <w:bCs/>
          <w:i w:val="0"/>
          <w:iCs/>
          <w:spacing w:val="-2"/>
          <w:sz w:val="20"/>
          <w:szCs w:val="20"/>
          <w:lang w:val="pt-BR"/>
        </w:rPr>
        <w:t>CNJ, 2009).</w:t>
      </w:r>
    </w:p>
  </w:footnote>
  <w:footnote w:id="11">
    <w:p w14:paraId="78BD0A9D" w14:textId="2EBA698E" w:rsidR="00411CB7" w:rsidRPr="00143082" w:rsidRDefault="00411CB7" w:rsidP="00541D51">
      <w:pPr>
        <w:pStyle w:val="Textodenotaderodap"/>
        <w:spacing w:line="240" w:lineRule="auto"/>
        <w:ind w:left="0" w:hanging="227"/>
        <w:rPr>
          <w:spacing w:val="-2"/>
          <w:lang w:val="pt-BR"/>
        </w:rPr>
      </w:pPr>
      <w:r w:rsidRPr="00143082">
        <w:rPr>
          <w:b w:val="0"/>
          <w:bCs/>
          <w:i w:val="0"/>
          <w:iCs/>
          <w:spacing w:val="-2"/>
          <w:sz w:val="20"/>
          <w:szCs w:val="20"/>
          <w:vertAlign w:val="superscript"/>
          <w:lang w:val="pt-BR"/>
        </w:rPr>
        <w:footnoteRef/>
      </w:r>
      <w:r w:rsidRPr="00143082">
        <w:rPr>
          <w:b w:val="0"/>
          <w:bCs/>
          <w:i w:val="0"/>
          <w:iCs/>
          <w:spacing w:val="-2"/>
          <w:sz w:val="20"/>
          <w:szCs w:val="20"/>
          <w:lang w:val="pt-BR"/>
        </w:rPr>
        <w:t xml:space="preserve"> Relatando de maneira mais detalhada esse episódio</w:t>
      </w:r>
      <w:r w:rsidR="00541D51" w:rsidRPr="00143082">
        <w:rPr>
          <w:b w:val="0"/>
          <w:bCs/>
          <w:i w:val="0"/>
          <w:iCs/>
          <w:spacing w:val="-2"/>
          <w:sz w:val="20"/>
          <w:szCs w:val="20"/>
          <w:lang w:val="pt-BR"/>
        </w:rPr>
        <w:t xml:space="preserve">, registrado como uma “significativa novidade” no âmbito do controle concentrado de constitucionalidade, </w:t>
      </w:r>
      <w:r w:rsidR="00EA14C7" w:rsidRPr="00143082">
        <w:rPr>
          <w:b w:val="0"/>
          <w:bCs/>
          <w:i w:val="0"/>
          <w:iCs/>
          <w:spacing w:val="-2"/>
          <w:sz w:val="20"/>
          <w:szCs w:val="20"/>
          <w:lang w:val="pt-BR"/>
        </w:rPr>
        <w:t xml:space="preserve">que “coloca o Tribunal em situações inéditas”, </w:t>
      </w:r>
      <w:r w:rsidR="00541D51" w:rsidRPr="00143082">
        <w:rPr>
          <w:b w:val="0"/>
          <w:bCs/>
          <w:i w:val="0"/>
          <w:iCs/>
          <w:spacing w:val="-2"/>
          <w:sz w:val="20"/>
          <w:szCs w:val="20"/>
          <w:lang w:val="pt-BR"/>
        </w:rPr>
        <w:t>veja-se</w:t>
      </w:r>
      <w:r w:rsidR="001F7C75" w:rsidRPr="00143082">
        <w:rPr>
          <w:b w:val="0"/>
          <w:bCs/>
          <w:i w:val="0"/>
          <w:iCs/>
          <w:spacing w:val="-2"/>
          <w:sz w:val="20"/>
          <w:szCs w:val="20"/>
          <w:lang w:val="pt-BR"/>
        </w:rPr>
        <w:t>:</w:t>
      </w:r>
      <w:r w:rsidR="00541D51" w:rsidRPr="00143082">
        <w:rPr>
          <w:b w:val="0"/>
          <w:bCs/>
          <w:i w:val="0"/>
          <w:iCs/>
          <w:spacing w:val="-2"/>
          <w:sz w:val="20"/>
          <w:szCs w:val="20"/>
          <w:lang w:val="pt-BR"/>
        </w:rPr>
        <w:t xml:space="preserve"> GODOY, 2021, p. 1047-1049.</w:t>
      </w:r>
    </w:p>
  </w:footnote>
  <w:footnote w:id="12">
    <w:p w14:paraId="732CE74E" w14:textId="6DE1DC36" w:rsidR="00766D18" w:rsidRPr="00143082" w:rsidRDefault="00766D18" w:rsidP="00F374EA">
      <w:pPr>
        <w:pStyle w:val="Textodenotaderodap"/>
        <w:spacing w:line="240" w:lineRule="auto"/>
        <w:ind w:left="0" w:hanging="227"/>
        <w:rPr>
          <w:spacing w:val="-2"/>
          <w:lang w:val="pt-BR"/>
        </w:rPr>
      </w:pPr>
      <w:r w:rsidRPr="00143082">
        <w:rPr>
          <w:b w:val="0"/>
          <w:bCs/>
          <w:i w:val="0"/>
          <w:iCs/>
          <w:spacing w:val="-2"/>
          <w:sz w:val="20"/>
          <w:szCs w:val="20"/>
          <w:vertAlign w:val="superscript"/>
          <w:lang w:val="pt-BR"/>
        </w:rPr>
        <w:footnoteRef/>
      </w:r>
      <w:r w:rsidRPr="00143082">
        <w:rPr>
          <w:b w:val="0"/>
          <w:bCs/>
          <w:i w:val="0"/>
          <w:iCs/>
          <w:spacing w:val="-2"/>
          <w:sz w:val="20"/>
          <w:szCs w:val="20"/>
          <w:lang w:val="pt-BR"/>
        </w:rPr>
        <w:t xml:space="preserve"> Trata-se </w:t>
      </w:r>
      <w:r w:rsidR="00F96311" w:rsidRPr="00143082">
        <w:rPr>
          <w:b w:val="0"/>
          <w:bCs/>
          <w:i w:val="0"/>
          <w:iCs/>
          <w:spacing w:val="-2"/>
          <w:sz w:val="20"/>
          <w:szCs w:val="20"/>
          <w:lang w:val="pt-BR"/>
        </w:rPr>
        <w:t xml:space="preserve">da mesma conclusão a que chegam </w:t>
      </w:r>
      <w:r w:rsidR="006516FC" w:rsidRPr="00143082">
        <w:rPr>
          <w:b w:val="0"/>
          <w:bCs/>
          <w:i w:val="0"/>
          <w:iCs/>
          <w:spacing w:val="-2"/>
          <w:sz w:val="20"/>
          <w:szCs w:val="20"/>
          <w:lang w:val="pt-BR"/>
        </w:rPr>
        <w:t>Didier e Fernandez</w:t>
      </w:r>
      <w:r w:rsidR="00F96311" w:rsidRPr="00143082">
        <w:rPr>
          <w:b w:val="0"/>
          <w:bCs/>
          <w:i w:val="0"/>
          <w:iCs/>
          <w:spacing w:val="-2"/>
          <w:sz w:val="20"/>
          <w:szCs w:val="20"/>
          <w:lang w:val="pt-BR"/>
        </w:rPr>
        <w:t xml:space="preserve">, ao explicarem que, embora a doutrina já falasse sobre a possibilidade de acordos em processo de controle concentrado de constitucionalidade de atos normativos </w:t>
      </w:r>
      <w:r w:rsidR="00774A12" w:rsidRPr="00143082">
        <w:rPr>
          <w:b w:val="0"/>
          <w:bCs/>
          <w:i w:val="0"/>
          <w:iCs/>
          <w:spacing w:val="-2"/>
          <w:sz w:val="20"/>
          <w:szCs w:val="20"/>
          <w:lang w:val="pt-BR"/>
        </w:rPr>
        <w:t xml:space="preserve">desde 2013, “apenas recentemente foi possível visualizar o movimento de estruturação institucional no Supremo Tribunal Federal para o oferecimento </w:t>
      </w:r>
      <w:r w:rsidR="00885E49" w:rsidRPr="00143082">
        <w:rPr>
          <w:b w:val="0"/>
          <w:bCs/>
          <w:i w:val="0"/>
          <w:iCs/>
          <w:spacing w:val="-2"/>
          <w:sz w:val="20"/>
          <w:szCs w:val="20"/>
          <w:lang w:val="pt-BR"/>
        </w:rPr>
        <w:t xml:space="preserve">de tratamento de problemas jurídicos pela via da autocomposição, com a criação, pela Resolução n. 697/2020, do Centro de Mediação e Conciliação </w:t>
      </w:r>
      <w:r w:rsidR="00F374EA" w:rsidRPr="00143082">
        <w:rPr>
          <w:b w:val="0"/>
          <w:bCs/>
          <w:i w:val="0"/>
          <w:iCs/>
          <w:spacing w:val="-2"/>
          <w:sz w:val="20"/>
          <w:szCs w:val="20"/>
          <w:lang w:val="pt-BR"/>
        </w:rPr>
        <w:t>(posteriormente renomeado como Núcleo de Solução Consensual de Conflitos)” (DIDIER e FERNANDEZ,</w:t>
      </w:r>
      <w:r w:rsidR="006516FC" w:rsidRPr="00143082">
        <w:rPr>
          <w:b w:val="0"/>
          <w:bCs/>
          <w:i w:val="0"/>
          <w:iCs/>
          <w:spacing w:val="-2"/>
          <w:sz w:val="20"/>
          <w:szCs w:val="20"/>
          <w:lang w:val="pt-BR"/>
        </w:rPr>
        <w:t xml:space="preserve"> 2025,</w:t>
      </w:r>
      <w:r w:rsidR="00F374EA" w:rsidRPr="00143082">
        <w:rPr>
          <w:b w:val="0"/>
          <w:bCs/>
          <w:i w:val="0"/>
          <w:iCs/>
          <w:spacing w:val="-2"/>
          <w:sz w:val="20"/>
          <w:szCs w:val="20"/>
          <w:lang w:val="pt-BR"/>
        </w:rPr>
        <w:t xml:space="preserve"> p. 693-694).</w:t>
      </w:r>
    </w:p>
  </w:footnote>
  <w:footnote w:id="13">
    <w:p w14:paraId="21796CC5" w14:textId="5F3C4026" w:rsidR="00D55996" w:rsidRPr="00143082" w:rsidRDefault="00D55996" w:rsidP="004765A9">
      <w:pPr>
        <w:pStyle w:val="Textodenotaderodap"/>
        <w:spacing w:line="240" w:lineRule="auto"/>
        <w:ind w:left="0" w:hanging="227"/>
        <w:rPr>
          <w:b w:val="0"/>
          <w:bCs/>
          <w:i w:val="0"/>
          <w:iCs/>
          <w:spacing w:val="-2"/>
          <w:sz w:val="20"/>
          <w:szCs w:val="20"/>
          <w:lang w:val="pt-BR"/>
        </w:rPr>
      </w:pPr>
      <w:r w:rsidRPr="00143082">
        <w:rPr>
          <w:b w:val="0"/>
          <w:bCs/>
          <w:i w:val="0"/>
          <w:iCs/>
          <w:spacing w:val="-2"/>
          <w:sz w:val="20"/>
          <w:szCs w:val="20"/>
          <w:vertAlign w:val="superscript"/>
          <w:lang w:val="pt-BR"/>
        </w:rPr>
        <w:footnoteRef/>
      </w:r>
      <w:r w:rsidRPr="00143082">
        <w:rPr>
          <w:b w:val="0"/>
          <w:bCs/>
          <w:i w:val="0"/>
          <w:iCs/>
          <w:spacing w:val="-2"/>
          <w:sz w:val="20"/>
          <w:szCs w:val="20"/>
          <w:lang w:val="pt-BR"/>
        </w:rPr>
        <w:t xml:space="preserve"> Na análise crítica de CHUEIRI, GODOY e FONÇATTI</w:t>
      </w:r>
      <w:r w:rsidR="004765A9" w:rsidRPr="00143082">
        <w:rPr>
          <w:b w:val="0"/>
          <w:bCs/>
          <w:i w:val="0"/>
          <w:iCs/>
          <w:spacing w:val="-2"/>
          <w:sz w:val="20"/>
          <w:szCs w:val="20"/>
          <w:lang w:val="pt-BR"/>
        </w:rPr>
        <w:t xml:space="preserve">, “Essa nova configuração interna permitiu aos Ministros do STF um uso estratégico do órgão. Isto é, os Ministros, ao remeterem os processos de sua relatoria ao CESAL, não buscavam apenas lograr conciliação em casos difíceis (hipótese em que poderiam, para além de julgar, participar do deslinde da negociação), mas também manejar tanto o tempo de tramitação (retirando os processos dos gabinetes sem incluí-los na pauta de julgamento, vez que encaminhados para tentativa de autocomposição) quanto os participantes da demanda (contornando os pedidos de audiência ou de participação de </w:t>
      </w:r>
      <w:proofErr w:type="spellStart"/>
      <w:r w:rsidR="004765A9" w:rsidRPr="00143082">
        <w:rPr>
          <w:b w:val="0"/>
          <w:bCs/>
          <w:i w:val="0"/>
          <w:iCs/>
          <w:spacing w:val="-2"/>
          <w:sz w:val="20"/>
          <w:szCs w:val="20"/>
          <w:lang w:val="pt-BR"/>
        </w:rPr>
        <w:t>amici</w:t>
      </w:r>
      <w:proofErr w:type="spellEnd"/>
      <w:r w:rsidR="004765A9" w:rsidRPr="00143082">
        <w:rPr>
          <w:b w:val="0"/>
          <w:bCs/>
          <w:i w:val="0"/>
          <w:iCs/>
          <w:spacing w:val="-2"/>
          <w:sz w:val="20"/>
          <w:szCs w:val="20"/>
          <w:lang w:val="pt-BR"/>
        </w:rPr>
        <w:t xml:space="preserve"> </w:t>
      </w:r>
      <w:proofErr w:type="spellStart"/>
      <w:r w:rsidR="004765A9" w:rsidRPr="00143082">
        <w:rPr>
          <w:b w:val="0"/>
          <w:bCs/>
          <w:i w:val="0"/>
          <w:iCs/>
          <w:spacing w:val="-2"/>
          <w:sz w:val="20"/>
          <w:szCs w:val="20"/>
          <w:lang w:val="pt-BR"/>
        </w:rPr>
        <w:t>curiae</w:t>
      </w:r>
      <w:proofErr w:type="spellEnd"/>
      <w:r w:rsidR="004765A9" w:rsidRPr="00143082">
        <w:rPr>
          <w:b w:val="0"/>
          <w:bCs/>
          <w:i w:val="0"/>
          <w:iCs/>
          <w:spacing w:val="-2"/>
          <w:sz w:val="20"/>
          <w:szCs w:val="20"/>
          <w:lang w:val="pt-BR"/>
        </w:rPr>
        <w:t>)” (</w:t>
      </w:r>
      <w:r w:rsidR="00F764F5" w:rsidRPr="00143082">
        <w:rPr>
          <w:b w:val="0"/>
          <w:bCs/>
          <w:i w:val="0"/>
          <w:iCs/>
          <w:spacing w:val="-2"/>
          <w:sz w:val="20"/>
          <w:szCs w:val="20"/>
          <w:lang w:val="pt-BR"/>
        </w:rPr>
        <w:t xml:space="preserve">KARAM DE CHUEIRI, GODOY e FONÇATTI, 2025, </w:t>
      </w:r>
      <w:r w:rsidR="004765A9" w:rsidRPr="00143082">
        <w:rPr>
          <w:b w:val="0"/>
          <w:bCs/>
          <w:i w:val="0"/>
          <w:iCs/>
          <w:spacing w:val="-2"/>
          <w:sz w:val="20"/>
          <w:szCs w:val="20"/>
          <w:lang w:val="pt-BR"/>
        </w:rPr>
        <w:t>p. 4).</w:t>
      </w:r>
    </w:p>
  </w:footnote>
  <w:footnote w:id="14">
    <w:p w14:paraId="30780DF8" w14:textId="44581830" w:rsidR="002469A3" w:rsidRPr="00143082" w:rsidRDefault="002469A3" w:rsidP="00302753">
      <w:pPr>
        <w:pStyle w:val="Textodenotaderodap"/>
        <w:spacing w:line="240" w:lineRule="auto"/>
        <w:ind w:left="0" w:hanging="227"/>
        <w:rPr>
          <w:b w:val="0"/>
          <w:i w:val="0"/>
          <w:spacing w:val="-2"/>
          <w:sz w:val="20"/>
          <w:szCs w:val="20"/>
          <w:lang w:val="pt-BR"/>
        </w:rPr>
      </w:pPr>
      <w:r w:rsidRPr="00143082">
        <w:rPr>
          <w:b w:val="0"/>
          <w:i w:val="0"/>
          <w:spacing w:val="-2"/>
          <w:sz w:val="20"/>
          <w:szCs w:val="20"/>
          <w:vertAlign w:val="superscript"/>
          <w:lang w:val="pt-BR"/>
        </w:rPr>
        <w:footnoteRef/>
      </w:r>
      <w:r w:rsidRPr="00143082">
        <w:rPr>
          <w:b w:val="0"/>
          <w:i w:val="0"/>
          <w:spacing w:val="-2"/>
          <w:sz w:val="20"/>
          <w:szCs w:val="20"/>
          <w:lang w:val="pt-BR"/>
        </w:rPr>
        <w:t xml:space="preserve"> </w:t>
      </w:r>
      <w:r w:rsidR="003112BC" w:rsidRPr="00143082">
        <w:rPr>
          <w:b w:val="0"/>
          <w:i w:val="0"/>
          <w:spacing w:val="-2"/>
          <w:sz w:val="20"/>
          <w:szCs w:val="20"/>
          <w:lang w:val="pt-BR"/>
        </w:rPr>
        <w:t>Nas</w:t>
      </w:r>
      <w:r w:rsidR="00451102" w:rsidRPr="00143082">
        <w:rPr>
          <w:b w:val="0"/>
          <w:i w:val="0"/>
          <w:spacing w:val="-2"/>
          <w:sz w:val="20"/>
          <w:szCs w:val="20"/>
          <w:lang w:val="pt-BR"/>
        </w:rPr>
        <w:t xml:space="preserve"> </w:t>
      </w:r>
      <w:r w:rsidR="00451102" w:rsidRPr="00143082">
        <w:rPr>
          <w:rFonts w:eastAsiaTheme="minorHAnsi" w:cs="Times New Roman"/>
          <w:b w:val="0"/>
          <w:i w:val="0"/>
          <w:spacing w:val="-2"/>
          <w:sz w:val="20"/>
          <w:szCs w:val="20"/>
          <w:lang w:val="pt-BR"/>
        </w:rPr>
        <w:t>palavras</w:t>
      </w:r>
      <w:r w:rsidR="00451102" w:rsidRPr="00143082">
        <w:rPr>
          <w:b w:val="0"/>
          <w:i w:val="0"/>
          <w:spacing w:val="-2"/>
          <w:sz w:val="20"/>
          <w:szCs w:val="20"/>
          <w:lang w:val="pt-BR"/>
        </w:rPr>
        <w:t xml:space="preserve"> de Barroso, a “judicialização” consistiria no fato de que “questões relevantes do ponto de vista político, social ou moral estão sendo decididas, em caráter final, pelo Poder Judiciário” (</w:t>
      </w:r>
      <w:r w:rsidR="00155C1A" w:rsidRPr="00143082">
        <w:rPr>
          <w:b w:val="0"/>
          <w:i w:val="0"/>
          <w:spacing w:val="-2"/>
          <w:sz w:val="20"/>
          <w:szCs w:val="20"/>
          <w:lang w:val="pt-BR"/>
        </w:rPr>
        <w:t>BARROSO, 2018</w:t>
      </w:r>
      <w:r w:rsidRPr="00143082">
        <w:rPr>
          <w:b w:val="0"/>
          <w:i w:val="0"/>
          <w:spacing w:val="-2"/>
          <w:sz w:val="20"/>
          <w:szCs w:val="20"/>
          <w:lang w:val="pt-BR"/>
        </w:rPr>
        <w:t>, p. 44</w:t>
      </w:r>
      <w:r w:rsidR="00451102" w:rsidRPr="00143082">
        <w:rPr>
          <w:b w:val="0"/>
          <w:i w:val="0"/>
          <w:spacing w:val="-2"/>
          <w:sz w:val="20"/>
          <w:szCs w:val="20"/>
          <w:lang w:val="pt-B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2CA69" w14:textId="77777777" w:rsidR="00B62365" w:rsidRDefault="00B62365">
    <w:pPr>
      <w:pStyle w:val="Cabealho"/>
      <w:spacing w:line="40" w:lineRule="exact"/>
      <w:jc w:val="both"/>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D28C2" w14:textId="77777777" w:rsidR="00B62365" w:rsidRDefault="00B62365">
    <w:pPr>
      <w:pStyle w:val="Cabealho"/>
      <w:widowControl w:val="0"/>
      <w:spacing w:line="300" w:lineRule="exac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3335D"/>
    <w:multiLevelType w:val="multilevel"/>
    <w:tmpl w:val="4C1AF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1732B7"/>
    <w:multiLevelType w:val="hybridMultilevel"/>
    <w:tmpl w:val="CDBC47F2"/>
    <w:lvl w:ilvl="0" w:tplc="10A0472C">
      <w:start w:val="1"/>
      <w:numFmt w:val="upperRoman"/>
      <w:lvlText w:val="%1."/>
      <w:lvlJc w:val="left"/>
      <w:pPr>
        <w:ind w:left="1080" w:hanging="72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CC92F78"/>
    <w:multiLevelType w:val="hybridMultilevel"/>
    <w:tmpl w:val="78E6AC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D1E37F3"/>
    <w:multiLevelType w:val="hybridMultilevel"/>
    <w:tmpl w:val="B2423D0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60A7310F"/>
    <w:multiLevelType w:val="hybridMultilevel"/>
    <w:tmpl w:val="AC083F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691953824">
    <w:abstractNumId w:val="0"/>
  </w:num>
  <w:num w:numId="2" w16cid:durableId="438067016">
    <w:abstractNumId w:val="1"/>
  </w:num>
  <w:num w:numId="3" w16cid:durableId="814881855">
    <w:abstractNumId w:val="3"/>
  </w:num>
  <w:num w:numId="4" w16cid:durableId="227571775">
    <w:abstractNumId w:val="4"/>
  </w:num>
  <w:num w:numId="5" w16cid:durableId="2812343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26"/>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33"/>
    <w:rsid w:val="00001F9F"/>
    <w:rsid w:val="00003738"/>
    <w:rsid w:val="00003AB4"/>
    <w:rsid w:val="0000417C"/>
    <w:rsid w:val="0000576F"/>
    <w:rsid w:val="000105AD"/>
    <w:rsid w:val="00011ABB"/>
    <w:rsid w:val="00012348"/>
    <w:rsid w:val="0001350D"/>
    <w:rsid w:val="000135CE"/>
    <w:rsid w:val="000156C7"/>
    <w:rsid w:val="000271F9"/>
    <w:rsid w:val="0002756B"/>
    <w:rsid w:val="000308FC"/>
    <w:rsid w:val="00041653"/>
    <w:rsid w:val="00046679"/>
    <w:rsid w:val="00050A74"/>
    <w:rsid w:val="00051081"/>
    <w:rsid w:val="00053E61"/>
    <w:rsid w:val="00055A74"/>
    <w:rsid w:val="00055B56"/>
    <w:rsid w:val="0006266E"/>
    <w:rsid w:val="000664D3"/>
    <w:rsid w:val="00067BB3"/>
    <w:rsid w:val="00070C53"/>
    <w:rsid w:val="00071C9A"/>
    <w:rsid w:val="000721BF"/>
    <w:rsid w:val="000741BD"/>
    <w:rsid w:val="00075852"/>
    <w:rsid w:val="00076323"/>
    <w:rsid w:val="000777AB"/>
    <w:rsid w:val="0008173E"/>
    <w:rsid w:val="00081B08"/>
    <w:rsid w:val="000866BB"/>
    <w:rsid w:val="000905CC"/>
    <w:rsid w:val="00095A99"/>
    <w:rsid w:val="00096ECC"/>
    <w:rsid w:val="00097245"/>
    <w:rsid w:val="000A29D5"/>
    <w:rsid w:val="000A3E57"/>
    <w:rsid w:val="000A6C9D"/>
    <w:rsid w:val="000B4403"/>
    <w:rsid w:val="000B67EC"/>
    <w:rsid w:val="000C1357"/>
    <w:rsid w:val="000D08D8"/>
    <w:rsid w:val="000D100E"/>
    <w:rsid w:val="000D3D04"/>
    <w:rsid w:val="000E00A5"/>
    <w:rsid w:val="000F0354"/>
    <w:rsid w:val="000F03C8"/>
    <w:rsid w:val="000F5E0D"/>
    <w:rsid w:val="000F762E"/>
    <w:rsid w:val="001017A6"/>
    <w:rsid w:val="00102781"/>
    <w:rsid w:val="0010285F"/>
    <w:rsid w:val="00103AF5"/>
    <w:rsid w:val="0010563C"/>
    <w:rsid w:val="001069F2"/>
    <w:rsid w:val="00106AAB"/>
    <w:rsid w:val="0011377A"/>
    <w:rsid w:val="00113CD9"/>
    <w:rsid w:val="00120AA2"/>
    <w:rsid w:val="00123FED"/>
    <w:rsid w:val="001263FE"/>
    <w:rsid w:val="00133B1F"/>
    <w:rsid w:val="00133EE2"/>
    <w:rsid w:val="00134BC3"/>
    <w:rsid w:val="00135955"/>
    <w:rsid w:val="001375CA"/>
    <w:rsid w:val="00137EA2"/>
    <w:rsid w:val="0014252B"/>
    <w:rsid w:val="001429B7"/>
    <w:rsid w:val="00142F05"/>
    <w:rsid w:val="00143082"/>
    <w:rsid w:val="001454BA"/>
    <w:rsid w:val="0015315F"/>
    <w:rsid w:val="00155224"/>
    <w:rsid w:val="00155C1A"/>
    <w:rsid w:val="00155F95"/>
    <w:rsid w:val="00157464"/>
    <w:rsid w:val="00163F8D"/>
    <w:rsid w:val="00167D2D"/>
    <w:rsid w:val="00167DAE"/>
    <w:rsid w:val="0017084B"/>
    <w:rsid w:val="00172A19"/>
    <w:rsid w:val="00176017"/>
    <w:rsid w:val="00181267"/>
    <w:rsid w:val="001831AE"/>
    <w:rsid w:val="00183C41"/>
    <w:rsid w:val="00183DAA"/>
    <w:rsid w:val="00185937"/>
    <w:rsid w:val="001920C5"/>
    <w:rsid w:val="001925BE"/>
    <w:rsid w:val="00194D87"/>
    <w:rsid w:val="001961D3"/>
    <w:rsid w:val="001976E3"/>
    <w:rsid w:val="001A08AF"/>
    <w:rsid w:val="001A22B9"/>
    <w:rsid w:val="001A5CC4"/>
    <w:rsid w:val="001A6EAF"/>
    <w:rsid w:val="001A7D7C"/>
    <w:rsid w:val="001B0AFA"/>
    <w:rsid w:val="001B240D"/>
    <w:rsid w:val="001B2439"/>
    <w:rsid w:val="001B2D47"/>
    <w:rsid w:val="001B4ACF"/>
    <w:rsid w:val="001B534B"/>
    <w:rsid w:val="001C02C8"/>
    <w:rsid w:val="001C0326"/>
    <w:rsid w:val="001C10A6"/>
    <w:rsid w:val="001C1DBE"/>
    <w:rsid w:val="001C2352"/>
    <w:rsid w:val="001C2B78"/>
    <w:rsid w:val="001C2C2F"/>
    <w:rsid w:val="001C5C93"/>
    <w:rsid w:val="001D1128"/>
    <w:rsid w:val="001D1C76"/>
    <w:rsid w:val="001D2F33"/>
    <w:rsid w:val="001D64C5"/>
    <w:rsid w:val="001D6BFD"/>
    <w:rsid w:val="001E0BE3"/>
    <w:rsid w:val="001E1BDC"/>
    <w:rsid w:val="001E2A2C"/>
    <w:rsid w:val="001F197E"/>
    <w:rsid w:val="001F4382"/>
    <w:rsid w:val="001F5479"/>
    <w:rsid w:val="001F6668"/>
    <w:rsid w:val="001F7C75"/>
    <w:rsid w:val="00200AE1"/>
    <w:rsid w:val="00206B6E"/>
    <w:rsid w:val="00212A10"/>
    <w:rsid w:val="0021453E"/>
    <w:rsid w:val="00215F3A"/>
    <w:rsid w:val="0021685A"/>
    <w:rsid w:val="00217C8B"/>
    <w:rsid w:val="00221B49"/>
    <w:rsid w:val="002222D8"/>
    <w:rsid w:val="00222E8C"/>
    <w:rsid w:val="00223882"/>
    <w:rsid w:val="00224851"/>
    <w:rsid w:val="00224D19"/>
    <w:rsid w:val="002253CC"/>
    <w:rsid w:val="00226430"/>
    <w:rsid w:val="002267F4"/>
    <w:rsid w:val="00226B91"/>
    <w:rsid w:val="00230622"/>
    <w:rsid w:val="00232446"/>
    <w:rsid w:val="002336A4"/>
    <w:rsid w:val="002337C6"/>
    <w:rsid w:val="00235345"/>
    <w:rsid w:val="00237745"/>
    <w:rsid w:val="00240A43"/>
    <w:rsid w:val="002423E9"/>
    <w:rsid w:val="002436A6"/>
    <w:rsid w:val="00244E04"/>
    <w:rsid w:val="002469A3"/>
    <w:rsid w:val="00246FDD"/>
    <w:rsid w:val="0024773C"/>
    <w:rsid w:val="0025388C"/>
    <w:rsid w:val="00257B2D"/>
    <w:rsid w:val="00257F3B"/>
    <w:rsid w:val="00263165"/>
    <w:rsid w:val="00266750"/>
    <w:rsid w:val="00270B34"/>
    <w:rsid w:val="00271CAB"/>
    <w:rsid w:val="002728EC"/>
    <w:rsid w:val="00274636"/>
    <w:rsid w:val="00274CF7"/>
    <w:rsid w:val="002768E6"/>
    <w:rsid w:val="002773CE"/>
    <w:rsid w:val="0027797B"/>
    <w:rsid w:val="0028173C"/>
    <w:rsid w:val="002840DD"/>
    <w:rsid w:val="0028479D"/>
    <w:rsid w:val="00284E2F"/>
    <w:rsid w:val="002852BD"/>
    <w:rsid w:val="002914E4"/>
    <w:rsid w:val="00291A6B"/>
    <w:rsid w:val="00292946"/>
    <w:rsid w:val="00296AA5"/>
    <w:rsid w:val="002970A0"/>
    <w:rsid w:val="002A0A88"/>
    <w:rsid w:val="002A2420"/>
    <w:rsid w:val="002A3B03"/>
    <w:rsid w:val="002A54C3"/>
    <w:rsid w:val="002A638F"/>
    <w:rsid w:val="002A69AB"/>
    <w:rsid w:val="002B4D8D"/>
    <w:rsid w:val="002B5F8F"/>
    <w:rsid w:val="002B70D7"/>
    <w:rsid w:val="002B7901"/>
    <w:rsid w:val="002C0A3D"/>
    <w:rsid w:val="002C2113"/>
    <w:rsid w:val="002C3301"/>
    <w:rsid w:val="002C3E00"/>
    <w:rsid w:val="002C4248"/>
    <w:rsid w:val="002C4EFF"/>
    <w:rsid w:val="002C79AE"/>
    <w:rsid w:val="002C7A08"/>
    <w:rsid w:val="002D00E8"/>
    <w:rsid w:val="002D16E0"/>
    <w:rsid w:val="002D3E70"/>
    <w:rsid w:val="002D4F04"/>
    <w:rsid w:val="002D53B7"/>
    <w:rsid w:val="002E1CFF"/>
    <w:rsid w:val="002E1D85"/>
    <w:rsid w:val="002E388A"/>
    <w:rsid w:val="002E3AAB"/>
    <w:rsid w:val="002E6DAF"/>
    <w:rsid w:val="002F11A4"/>
    <w:rsid w:val="002F13B6"/>
    <w:rsid w:val="002F34A4"/>
    <w:rsid w:val="002F3624"/>
    <w:rsid w:val="00300D60"/>
    <w:rsid w:val="00301126"/>
    <w:rsid w:val="00302712"/>
    <w:rsid w:val="00302753"/>
    <w:rsid w:val="0030624C"/>
    <w:rsid w:val="00307451"/>
    <w:rsid w:val="00310A0A"/>
    <w:rsid w:val="00310ED4"/>
    <w:rsid w:val="003112BC"/>
    <w:rsid w:val="003133E4"/>
    <w:rsid w:val="003169D3"/>
    <w:rsid w:val="00316DF0"/>
    <w:rsid w:val="00317A9D"/>
    <w:rsid w:val="00323893"/>
    <w:rsid w:val="00324149"/>
    <w:rsid w:val="00324867"/>
    <w:rsid w:val="0032531D"/>
    <w:rsid w:val="003256AF"/>
    <w:rsid w:val="003272DA"/>
    <w:rsid w:val="00327CD9"/>
    <w:rsid w:val="00330005"/>
    <w:rsid w:val="00331BDF"/>
    <w:rsid w:val="00333815"/>
    <w:rsid w:val="003346A2"/>
    <w:rsid w:val="00336B3B"/>
    <w:rsid w:val="00340BAC"/>
    <w:rsid w:val="00343808"/>
    <w:rsid w:val="003444AC"/>
    <w:rsid w:val="003446E0"/>
    <w:rsid w:val="0035034C"/>
    <w:rsid w:val="0035401A"/>
    <w:rsid w:val="0035567D"/>
    <w:rsid w:val="00356E68"/>
    <w:rsid w:val="00357469"/>
    <w:rsid w:val="00362BB1"/>
    <w:rsid w:val="00365A5B"/>
    <w:rsid w:val="0037269D"/>
    <w:rsid w:val="0037385A"/>
    <w:rsid w:val="00373EFF"/>
    <w:rsid w:val="00374420"/>
    <w:rsid w:val="00375555"/>
    <w:rsid w:val="0037685F"/>
    <w:rsid w:val="00376F26"/>
    <w:rsid w:val="00377170"/>
    <w:rsid w:val="00381593"/>
    <w:rsid w:val="0038186F"/>
    <w:rsid w:val="00382424"/>
    <w:rsid w:val="003824FD"/>
    <w:rsid w:val="00382A2A"/>
    <w:rsid w:val="00383EAB"/>
    <w:rsid w:val="00385581"/>
    <w:rsid w:val="00385CEB"/>
    <w:rsid w:val="00387F79"/>
    <w:rsid w:val="00387F7E"/>
    <w:rsid w:val="00390CB0"/>
    <w:rsid w:val="0039115C"/>
    <w:rsid w:val="003929FF"/>
    <w:rsid w:val="00393326"/>
    <w:rsid w:val="003947B9"/>
    <w:rsid w:val="00394AC8"/>
    <w:rsid w:val="00395057"/>
    <w:rsid w:val="00396111"/>
    <w:rsid w:val="003A3A4F"/>
    <w:rsid w:val="003A5688"/>
    <w:rsid w:val="003A5DA4"/>
    <w:rsid w:val="003B28C7"/>
    <w:rsid w:val="003C0F87"/>
    <w:rsid w:val="003C33D0"/>
    <w:rsid w:val="003C68D0"/>
    <w:rsid w:val="003C79BE"/>
    <w:rsid w:val="003D02ED"/>
    <w:rsid w:val="003D180B"/>
    <w:rsid w:val="003D1E60"/>
    <w:rsid w:val="003D391F"/>
    <w:rsid w:val="003D466C"/>
    <w:rsid w:val="003D4A2E"/>
    <w:rsid w:val="003D653C"/>
    <w:rsid w:val="003E08BB"/>
    <w:rsid w:val="003E2917"/>
    <w:rsid w:val="003E4E01"/>
    <w:rsid w:val="003E695E"/>
    <w:rsid w:val="003E6F37"/>
    <w:rsid w:val="003F0857"/>
    <w:rsid w:val="003F2D8E"/>
    <w:rsid w:val="003F69F4"/>
    <w:rsid w:val="003F7521"/>
    <w:rsid w:val="0040557A"/>
    <w:rsid w:val="00410433"/>
    <w:rsid w:val="00410F5E"/>
    <w:rsid w:val="00411CB7"/>
    <w:rsid w:val="00413D58"/>
    <w:rsid w:val="004208CB"/>
    <w:rsid w:val="00423B98"/>
    <w:rsid w:val="0042511C"/>
    <w:rsid w:val="004269E1"/>
    <w:rsid w:val="0042703E"/>
    <w:rsid w:val="004347ED"/>
    <w:rsid w:val="00434D7C"/>
    <w:rsid w:val="004412B7"/>
    <w:rsid w:val="004414BF"/>
    <w:rsid w:val="004425D9"/>
    <w:rsid w:val="00443F7E"/>
    <w:rsid w:val="00446608"/>
    <w:rsid w:val="00451102"/>
    <w:rsid w:val="0045301E"/>
    <w:rsid w:val="00457499"/>
    <w:rsid w:val="0046006F"/>
    <w:rsid w:val="00461139"/>
    <w:rsid w:val="00462DE5"/>
    <w:rsid w:val="00466FB4"/>
    <w:rsid w:val="004732F0"/>
    <w:rsid w:val="00475BFB"/>
    <w:rsid w:val="004765A9"/>
    <w:rsid w:val="004833C4"/>
    <w:rsid w:val="004865BB"/>
    <w:rsid w:val="004931BB"/>
    <w:rsid w:val="004977FF"/>
    <w:rsid w:val="004A2014"/>
    <w:rsid w:val="004A3087"/>
    <w:rsid w:val="004A3373"/>
    <w:rsid w:val="004A3FB6"/>
    <w:rsid w:val="004A51BE"/>
    <w:rsid w:val="004A566B"/>
    <w:rsid w:val="004A599B"/>
    <w:rsid w:val="004A5E62"/>
    <w:rsid w:val="004B0831"/>
    <w:rsid w:val="004B2244"/>
    <w:rsid w:val="004B2917"/>
    <w:rsid w:val="004B2D5F"/>
    <w:rsid w:val="004B5F41"/>
    <w:rsid w:val="004B6932"/>
    <w:rsid w:val="004B6998"/>
    <w:rsid w:val="004C0F25"/>
    <w:rsid w:val="004C6263"/>
    <w:rsid w:val="004C667B"/>
    <w:rsid w:val="004C779E"/>
    <w:rsid w:val="004D2D96"/>
    <w:rsid w:val="004D34D1"/>
    <w:rsid w:val="004D4743"/>
    <w:rsid w:val="004E0768"/>
    <w:rsid w:val="004E3819"/>
    <w:rsid w:val="004F0664"/>
    <w:rsid w:val="004F09E5"/>
    <w:rsid w:val="004F3B85"/>
    <w:rsid w:val="00501D74"/>
    <w:rsid w:val="00504FA6"/>
    <w:rsid w:val="0051284A"/>
    <w:rsid w:val="0051325E"/>
    <w:rsid w:val="005136C4"/>
    <w:rsid w:val="0051494E"/>
    <w:rsid w:val="00515759"/>
    <w:rsid w:val="00516655"/>
    <w:rsid w:val="005168FE"/>
    <w:rsid w:val="0051712A"/>
    <w:rsid w:val="00517451"/>
    <w:rsid w:val="0052067E"/>
    <w:rsid w:val="00520719"/>
    <w:rsid w:val="005235F5"/>
    <w:rsid w:val="00523CB2"/>
    <w:rsid w:val="00523F4E"/>
    <w:rsid w:val="00524304"/>
    <w:rsid w:val="00527393"/>
    <w:rsid w:val="005276FF"/>
    <w:rsid w:val="00527985"/>
    <w:rsid w:val="00531C47"/>
    <w:rsid w:val="00533AAE"/>
    <w:rsid w:val="00533B8F"/>
    <w:rsid w:val="00535A6E"/>
    <w:rsid w:val="00541D51"/>
    <w:rsid w:val="0054254D"/>
    <w:rsid w:val="005436ED"/>
    <w:rsid w:val="00545CB5"/>
    <w:rsid w:val="0054681C"/>
    <w:rsid w:val="0055163F"/>
    <w:rsid w:val="005546C8"/>
    <w:rsid w:val="005547D8"/>
    <w:rsid w:val="005626A7"/>
    <w:rsid w:val="005629A6"/>
    <w:rsid w:val="00572F44"/>
    <w:rsid w:val="0057786B"/>
    <w:rsid w:val="00580098"/>
    <w:rsid w:val="005807E7"/>
    <w:rsid w:val="00581A42"/>
    <w:rsid w:val="00582707"/>
    <w:rsid w:val="0058398B"/>
    <w:rsid w:val="00584B3F"/>
    <w:rsid w:val="00584FF3"/>
    <w:rsid w:val="00585909"/>
    <w:rsid w:val="00586BB0"/>
    <w:rsid w:val="005904DA"/>
    <w:rsid w:val="005A0031"/>
    <w:rsid w:val="005A3170"/>
    <w:rsid w:val="005A50E2"/>
    <w:rsid w:val="005A70B8"/>
    <w:rsid w:val="005B195E"/>
    <w:rsid w:val="005B5596"/>
    <w:rsid w:val="005C0144"/>
    <w:rsid w:val="005C35B3"/>
    <w:rsid w:val="005C4041"/>
    <w:rsid w:val="005C72EF"/>
    <w:rsid w:val="005D5CFD"/>
    <w:rsid w:val="005D6238"/>
    <w:rsid w:val="005E3823"/>
    <w:rsid w:val="005E4AF2"/>
    <w:rsid w:val="005E4E1C"/>
    <w:rsid w:val="005E56B2"/>
    <w:rsid w:val="005E57ED"/>
    <w:rsid w:val="005E61BD"/>
    <w:rsid w:val="005F22AA"/>
    <w:rsid w:val="005F48B0"/>
    <w:rsid w:val="005F7405"/>
    <w:rsid w:val="005F79DE"/>
    <w:rsid w:val="005F7FE4"/>
    <w:rsid w:val="00600668"/>
    <w:rsid w:val="00602A07"/>
    <w:rsid w:val="00602CDE"/>
    <w:rsid w:val="00604DD4"/>
    <w:rsid w:val="006104FD"/>
    <w:rsid w:val="006125B9"/>
    <w:rsid w:val="00612CEF"/>
    <w:rsid w:val="00613396"/>
    <w:rsid w:val="00614995"/>
    <w:rsid w:val="00620953"/>
    <w:rsid w:val="00621A80"/>
    <w:rsid w:val="006221C6"/>
    <w:rsid w:val="00623422"/>
    <w:rsid w:val="00630CCD"/>
    <w:rsid w:val="006313EC"/>
    <w:rsid w:val="00631896"/>
    <w:rsid w:val="00632CF8"/>
    <w:rsid w:val="00632F24"/>
    <w:rsid w:val="00636635"/>
    <w:rsid w:val="00640312"/>
    <w:rsid w:val="00640DE3"/>
    <w:rsid w:val="00643A98"/>
    <w:rsid w:val="0065161A"/>
    <w:rsid w:val="006516FC"/>
    <w:rsid w:val="0066295E"/>
    <w:rsid w:val="00663852"/>
    <w:rsid w:val="006648F6"/>
    <w:rsid w:val="006736CF"/>
    <w:rsid w:val="00674079"/>
    <w:rsid w:val="00675C84"/>
    <w:rsid w:val="00677C0F"/>
    <w:rsid w:val="00681618"/>
    <w:rsid w:val="00681707"/>
    <w:rsid w:val="00681AE7"/>
    <w:rsid w:val="00683B8E"/>
    <w:rsid w:val="00687F82"/>
    <w:rsid w:val="00691A39"/>
    <w:rsid w:val="00692F0E"/>
    <w:rsid w:val="00694452"/>
    <w:rsid w:val="006950F5"/>
    <w:rsid w:val="006978D2"/>
    <w:rsid w:val="006A0113"/>
    <w:rsid w:val="006A4725"/>
    <w:rsid w:val="006B1C13"/>
    <w:rsid w:val="006B571B"/>
    <w:rsid w:val="006B7CD9"/>
    <w:rsid w:val="006C65D5"/>
    <w:rsid w:val="006D7B43"/>
    <w:rsid w:val="006D7DBE"/>
    <w:rsid w:val="006E01FB"/>
    <w:rsid w:val="006E5F62"/>
    <w:rsid w:val="006F0B7F"/>
    <w:rsid w:val="006F6F34"/>
    <w:rsid w:val="0070033F"/>
    <w:rsid w:val="00701304"/>
    <w:rsid w:val="00701B26"/>
    <w:rsid w:val="007036F8"/>
    <w:rsid w:val="00705EE8"/>
    <w:rsid w:val="007077AE"/>
    <w:rsid w:val="007101ED"/>
    <w:rsid w:val="00711464"/>
    <w:rsid w:val="00715B40"/>
    <w:rsid w:val="00716619"/>
    <w:rsid w:val="007209D2"/>
    <w:rsid w:val="00720EC9"/>
    <w:rsid w:val="00721D08"/>
    <w:rsid w:val="007231F7"/>
    <w:rsid w:val="007242C7"/>
    <w:rsid w:val="00725D16"/>
    <w:rsid w:val="00725EB8"/>
    <w:rsid w:val="007301EE"/>
    <w:rsid w:val="0073126E"/>
    <w:rsid w:val="007314B7"/>
    <w:rsid w:val="00735165"/>
    <w:rsid w:val="007353BC"/>
    <w:rsid w:val="007353D3"/>
    <w:rsid w:val="00737865"/>
    <w:rsid w:val="0074148B"/>
    <w:rsid w:val="00742FEA"/>
    <w:rsid w:val="0076108F"/>
    <w:rsid w:val="007651DA"/>
    <w:rsid w:val="00766D18"/>
    <w:rsid w:val="0077201A"/>
    <w:rsid w:val="0077404C"/>
    <w:rsid w:val="00774A12"/>
    <w:rsid w:val="00775C85"/>
    <w:rsid w:val="007774B6"/>
    <w:rsid w:val="007810D1"/>
    <w:rsid w:val="00781BCC"/>
    <w:rsid w:val="007866BE"/>
    <w:rsid w:val="00790731"/>
    <w:rsid w:val="0079339D"/>
    <w:rsid w:val="00793C14"/>
    <w:rsid w:val="00794B4F"/>
    <w:rsid w:val="00796533"/>
    <w:rsid w:val="007966B6"/>
    <w:rsid w:val="007A01DB"/>
    <w:rsid w:val="007A3DE3"/>
    <w:rsid w:val="007A4D37"/>
    <w:rsid w:val="007A5653"/>
    <w:rsid w:val="007A67A8"/>
    <w:rsid w:val="007A7149"/>
    <w:rsid w:val="007B0075"/>
    <w:rsid w:val="007B3166"/>
    <w:rsid w:val="007B4036"/>
    <w:rsid w:val="007B5F7D"/>
    <w:rsid w:val="007B650D"/>
    <w:rsid w:val="007B71F6"/>
    <w:rsid w:val="007C07AA"/>
    <w:rsid w:val="007C08DF"/>
    <w:rsid w:val="007C1F71"/>
    <w:rsid w:val="007C52D4"/>
    <w:rsid w:val="007C739C"/>
    <w:rsid w:val="007D0176"/>
    <w:rsid w:val="007D1A65"/>
    <w:rsid w:val="007D31A8"/>
    <w:rsid w:val="007D33E7"/>
    <w:rsid w:val="007D3CC6"/>
    <w:rsid w:val="007E1973"/>
    <w:rsid w:val="007E508E"/>
    <w:rsid w:val="007E54B4"/>
    <w:rsid w:val="007E5593"/>
    <w:rsid w:val="007E7D99"/>
    <w:rsid w:val="00803531"/>
    <w:rsid w:val="008038BA"/>
    <w:rsid w:val="00803B2A"/>
    <w:rsid w:val="0080539B"/>
    <w:rsid w:val="00805CE1"/>
    <w:rsid w:val="008114B9"/>
    <w:rsid w:val="00812802"/>
    <w:rsid w:val="00814998"/>
    <w:rsid w:val="008158D8"/>
    <w:rsid w:val="00816F37"/>
    <w:rsid w:val="00823BF5"/>
    <w:rsid w:val="00826067"/>
    <w:rsid w:val="00826509"/>
    <w:rsid w:val="008266BD"/>
    <w:rsid w:val="00827479"/>
    <w:rsid w:val="008316AD"/>
    <w:rsid w:val="00831F40"/>
    <w:rsid w:val="008346A4"/>
    <w:rsid w:val="00835DA5"/>
    <w:rsid w:val="00836A0F"/>
    <w:rsid w:val="00836C8C"/>
    <w:rsid w:val="00840E48"/>
    <w:rsid w:val="008432AE"/>
    <w:rsid w:val="00850C72"/>
    <w:rsid w:val="008529E7"/>
    <w:rsid w:val="00856A64"/>
    <w:rsid w:val="00857672"/>
    <w:rsid w:val="00860061"/>
    <w:rsid w:val="00864B23"/>
    <w:rsid w:val="00865F59"/>
    <w:rsid w:val="00866A3A"/>
    <w:rsid w:val="00870D24"/>
    <w:rsid w:val="00871D55"/>
    <w:rsid w:val="00875BC3"/>
    <w:rsid w:val="0087605B"/>
    <w:rsid w:val="008764F0"/>
    <w:rsid w:val="008769C7"/>
    <w:rsid w:val="00876DD6"/>
    <w:rsid w:val="00877E95"/>
    <w:rsid w:val="0088229D"/>
    <w:rsid w:val="00884594"/>
    <w:rsid w:val="00884C4E"/>
    <w:rsid w:val="00885BE3"/>
    <w:rsid w:val="00885E49"/>
    <w:rsid w:val="00890DFC"/>
    <w:rsid w:val="00891D87"/>
    <w:rsid w:val="00891DC0"/>
    <w:rsid w:val="00894D3F"/>
    <w:rsid w:val="00894D4E"/>
    <w:rsid w:val="00897D78"/>
    <w:rsid w:val="008A218C"/>
    <w:rsid w:val="008A320C"/>
    <w:rsid w:val="008A48DA"/>
    <w:rsid w:val="008A4E6C"/>
    <w:rsid w:val="008A5F69"/>
    <w:rsid w:val="008A728E"/>
    <w:rsid w:val="008B0E45"/>
    <w:rsid w:val="008B1043"/>
    <w:rsid w:val="008B2DC0"/>
    <w:rsid w:val="008B73EF"/>
    <w:rsid w:val="008C01EA"/>
    <w:rsid w:val="008C176C"/>
    <w:rsid w:val="008D3EE5"/>
    <w:rsid w:val="008E0FAE"/>
    <w:rsid w:val="008E28EB"/>
    <w:rsid w:val="008E38C4"/>
    <w:rsid w:val="008E47CB"/>
    <w:rsid w:val="008E7836"/>
    <w:rsid w:val="008F08E4"/>
    <w:rsid w:val="008F13AD"/>
    <w:rsid w:val="008F26BE"/>
    <w:rsid w:val="008F49C1"/>
    <w:rsid w:val="009009D2"/>
    <w:rsid w:val="00901980"/>
    <w:rsid w:val="00902D73"/>
    <w:rsid w:val="00903A14"/>
    <w:rsid w:val="009060C8"/>
    <w:rsid w:val="00910CF9"/>
    <w:rsid w:val="009118B0"/>
    <w:rsid w:val="00915051"/>
    <w:rsid w:val="00915261"/>
    <w:rsid w:val="00915310"/>
    <w:rsid w:val="00916B34"/>
    <w:rsid w:val="00916E93"/>
    <w:rsid w:val="00925EAC"/>
    <w:rsid w:val="009273FC"/>
    <w:rsid w:val="00927C1D"/>
    <w:rsid w:val="0093082A"/>
    <w:rsid w:val="00932863"/>
    <w:rsid w:val="00933638"/>
    <w:rsid w:val="00933830"/>
    <w:rsid w:val="0094064A"/>
    <w:rsid w:val="00946030"/>
    <w:rsid w:val="00947CED"/>
    <w:rsid w:val="009504A9"/>
    <w:rsid w:val="0095159C"/>
    <w:rsid w:val="00954D3D"/>
    <w:rsid w:val="0096166D"/>
    <w:rsid w:val="00974352"/>
    <w:rsid w:val="0097541C"/>
    <w:rsid w:val="009759C1"/>
    <w:rsid w:val="00975A44"/>
    <w:rsid w:val="00982FBC"/>
    <w:rsid w:val="009875D7"/>
    <w:rsid w:val="00990F82"/>
    <w:rsid w:val="00994245"/>
    <w:rsid w:val="009943FA"/>
    <w:rsid w:val="009A2520"/>
    <w:rsid w:val="009B0D43"/>
    <w:rsid w:val="009B3B42"/>
    <w:rsid w:val="009B5041"/>
    <w:rsid w:val="009C28B3"/>
    <w:rsid w:val="009C3BD4"/>
    <w:rsid w:val="009C3F35"/>
    <w:rsid w:val="009C5990"/>
    <w:rsid w:val="009C5FBC"/>
    <w:rsid w:val="009C7C48"/>
    <w:rsid w:val="009E0D61"/>
    <w:rsid w:val="009E45F6"/>
    <w:rsid w:val="009E487E"/>
    <w:rsid w:val="009E673B"/>
    <w:rsid w:val="009F0261"/>
    <w:rsid w:val="009F0365"/>
    <w:rsid w:val="009F3328"/>
    <w:rsid w:val="009F33A1"/>
    <w:rsid w:val="00A01746"/>
    <w:rsid w:val="00A02712"/>
    <w:rsid w:val="00A03B14"/>
    <w:rsid w:val="00A04971"/>
    <w:rsid w:val="00A06B2C"/>
    <w:rsid w:val="00A117CC"/>
    <w:rsid w:val="00A133BA"/>
    <w:rsid w:val="00A15F7F"/>
    <w:rsid w:val="00A17AF9"/>
    <w:rsid w:val="00A20F86"/>
    <w:rsid w:val="00A22233"/>
    <w:rsid w:val="00A24792"/>
    <w:rsid w:val="00A27A22"/>
    <w:rsid w:val="00A31AA0"/>
    <w:rsid w:val="00A32F65"/>
    <w:rsid w:val="00A34095"/>
    <w:rsid w:val="00A34C2E"/>
    <w:rsid w:val="00A37717"/>
    <w:rsid w:val="00A45262"/>
    <w:rsid w:val="00A456EA"/>
    <w:rsid w:val="00A4783D"/>
    <w:rsid w:val="00A5204C"/>
    <w:rsid w:val="00A5316F"/>
    <w:rsid w:val="00A5648A"/>
    <w:rsid w:val="00A5650A"/>
    <w:rsid w:val="00A57A7F"/>
    <w:rsid w:val="00A61328"/>
    <w:rsid w:val="00A62867"/>
    <w:rsid w:val="00A668A8"/>
    <w:rsid w:val="00A703C8"/>
    <w:rsid w:val="00A7074E"/>
    <w:rsid w:val="00A742A2"/>
    <w:rsid w:val="00A756B7"/>
    <w:rsid w:val="00A83F4C"/>
    <w:rsid w:val="00A84657"/>
    <w:rsid w:val="00A84ED5"/>
    <w:rsid w:val="00A85654"/>
    <w:rsid w:val="00A9071D"/>
    <w:rsid w:val="00A9412E"/>
    <w:rsid w:val="00A96411"/>
    <w:rsid w:val="00AA4039"/>
    <w:rsid w:val="00AA7D84"/>
    <w:rsid w:val="00AB16BC"/>
    <w:rsid w:val="00AB4EF3"/>
    <w:rsid w:val="00AC0286"/>
    <w:rsid w:val="00AC0714"/>
    <w:rsid w:val="00AC09E8"/>
    <w:rsid w:val="00AC4ED4"/>
    <w:rsid w:val="00AC6856"/>
    <w:rsid w:val="00AC6DB2"/>
    <w:rsid w:val="00AD0F65"/>
    <w:rsid w:val="00AD12C8"/>
    <w:rsid w:val="00AD4E1F"/>
    <w:rsid w:val="00AE6B88"/>
    <w:rsid w:val="00AF07D7"/>
    <w:rsid w:val="00AF3F24"/>
    <w:rsid w:val="00AF4F5B"/>
    <w:rsid w:val="00AF6DC5"/>
    <w:rsid w:val="00B00F27"/>
    <w:rsid w:val="00B02031"/>
    <w:rsid w:val="00B045B3"/>
    <w:rsid w:val="00B05984"/>
    <w:rsid w:val="00B0790E"/>
    <w:rsid w:val="00B11DCA"/>
    <w:rsid w:val="00B13CF4"/>
    <w:rsid w:val="00B16B13"/>
    <w:rsid w:val="00B16C63"/>
    <w:rsid w:val="00B177C5"/>
    <w:rsid w:val="00B20333"/>
    <w:rsid w:val="00B2172D"/>
    <w:rsid w:val="00B32CE1"/>
    <w:rsid w:val="00B36CFA"/>
    <w:rsid w:val="00B43322"/>
    <w:rsid w:val="00B45C79"/>
    <w:rsid w:val="00B47BD3"/>
    <w:rsid w:val="00B47DFC"/>
    <w:rsid w:val="00B53CC0"/>
    <w:rsid w:val="00B563CE"/>
    <w:rsid w:val="00B568D0"/>
    <w:rsid w:val="00B57CE3"/>
    <w:rsid w:val="00B62365"/>
    <w:rsid w:val="00B633A8"/>
    <w:rsid w:val="00B65972"/>
    <w:rsid w:val="00B66E6F"/>
    <w:rsid w:val="00B67F2F"/>
    <w:rsid w:val="00B71556"/>
    <w:rsid w:val="00B72C82"/>
    <w:rsid w:val="00B731C8"/>
    <w:rsid w:val="00B7320F"/>
    <w:rsid w:val="00B7427C"/>
    <w:rsid w:val="00B75735"/>
    <w:rsid w:val="00B76205"/>
    <w:rsid w:val="00B80AD9"/>
    <w:rsid w:val="00B81DCA"/>
    <w:rsid w:val="00B827A7"/>
    <w:rsid w:val="00B83827"/>
    <w:rsid w:val="00B840E5"/>
    <w:rsid w:val="00B84E20"/>
    <w:rsid w:val="00B85D8F"/>
    <w:rsid w:val="00B87631"/>
    <w:rsid w:val="00B876BA"/>
    <w:rsid w:val="00B87A0B"/>
    <w:rsid w:val="00B90EC0"/>
    <w:rsid w:val="00B9133A"/>
    <w:rsid w:val="00B94AFD"/>
    <w:rsid w:val="00B94B06"/>
    <w:rsid w:val="00B97073"/>
    <w:rsid w:val="00BA4E26"/>
    <w:rsid w:val="00BA4E63"/>
    <w:rsid w:val="00BA5440"/>
    <w:rsid w:val="00BA7AC3"/>
    <w:rsid w:val="00BB2D6C"/>
    <w:rsid w:val="00BB372F"/>
    <w:rsid w:val="00BB3D15"/>
    <w:rsid w:val="00BB4644"/>
    <w:rsid w:val="00BB6D01"/>
    <w:rsid w:val="00BB7F62"/>
    <w:rsid w:val="00BC1077"/>
    <w:rsid w:val="00BC36D6"/>
    <w:rsid w:val="00BC36EC"/>
    <w:rsid w:val="00BC421E"/>
    <w:rsid w:val="00BC4431"/>
    <w:rsid w:val="00BC52D9"/>
    <w:rsid w:val="00BC55D6"/>
    <w:rsid w:val="00BC5857"/>
    <w:rsid w:val="00BC5EC3"/>
    <w:rsid w:val="00BC649F"/>
    <w:rsid w:val="00BD070F"/>
    <w:rsid w:val="00BD2913"/>
    <w:rsid w:val="00BD7335"/>
    <w:rsid w:val="00BE01B7"/>
    <w:rsid w:val="00BE06AA"/>
    <w:rsid w:val="00BE0785"/>
    <w:rsid w:val="00BE16BC"/>
    <w:rsid w:val="00BE1876"/>
    <w:rsid w:val="00BE3C6B"/>
    <w:rsid w:val="00BE74FF"/>
    <w:rsid w:val="00BF5A22"/>
    <w:rsid w:val="00BF670D"/>
    <w:rsid w:val="00BF7C93"/>
    <w:rsid w:val="00C00C04"/>
    <w:rsid w:val="00C00F12"/>
    <w:rsid w:val="00C052BE"/>
    <w:rsid w:val="00C0603A"/>
    <w:rsid w:val="00C06CEF"/>
    <w:rsid w:val="00C101B3"/>
    <w:rsid w:val="00C14387"/>
    <w:rsid w:val="00C1460F"/>
    <w:rsid w:val="00C15952"/>
    <w:rsid w:val="00C15CDF"/>
    <w:rsid w:val="00C16F8E"/>
    <w:rsid w:val="00C176AA"/>
    <w:rsid w:val="00C17C87"/>
    <w:rsid w:val="00C17D6F"/>
    <w:rsid w:val="00C20F51"/>
    <w:rsid w:val="00C216C3"/>
    <w:rsid w:val="00C22261"/>
    <w:rsid w:val="00C27DC7"/>
    <w:rsid w:val="00C3105F"/>
    <w:rsid w:val="00C31883"/>
    <w:rsid w:val="00C345CA"/>
    <w:rsid w:val="00C44442"/>
    <w:rsid w:val="00C510EC"/>
    <w:rsid w:val="00C5231E"/>
    <w:rsid w:val="00C52586"/>
    <w:rsid w:val="00C60B61"/>
    <w:rsid w:val="00C7136E"/>
    <w:rsid w:val="00C71BFE"/>
    <w:rsid w:val="00C753B3"/>
    <w:rsid w:val="00C76734"/>
    <w:rsid w:val="00C76EED"/>
    <w:rsid w:val="00C7743D"/>
    <w:rsid w:val="00C82693"/>
    <w:rsid w:val="00C82746"/>
    <w:rsid w:val="00C84A85"/>
    <w:rsid w:val="00C85261"/>
    <w:rsid w:val="00C935A5"/>
    <w:rsid w:val="00C93F93"/>
    <w:rsid w:val="00CA167D"/>
    <w:rsid w:val="00CB2A76"/>
    <w:rsid w:val="00CB380F"/>
    <w:rsid w:val="00CB4123"/>
    <w:rsid w:val="00CB4B7F"/>
    <w:rsid w:val="00CB6FD4"/>
    <w:rsid w:val="00CC02D4"/>
    <w:rsid w:val="00CC0608"/>
    <w:rsid w:val="00CC4EEE"/>
    <w:rsid w:val="00CD0480"/>
    <w:rsid w:val="00CD2FAF"/>
    <w:rsid w:val="00CE0155"/>
    <w:rsid w:val="00CE3080"/>
    <w:rsid w:val="00CE44CC"/>
    <w:rsid w:val="00CE5FFD"/>
    <w:rsid w:val="00CE6394"/>
    <w:rsid w:val="00CE72EF"/>
    <w:rsid w:val="00CF0497"/>
    <w:rsid w:val="00CF05DA"/>
    <w:rsid w:val="00CF30CD"/>
    <w:rsid w:val="00CF3DA5"/>
    <w:rsid w:val="00CF576A"/>
    <w:rsid w:val="00D01BEF"/>
    <w:rsid w:val="00D06BB2"/>
    <w:rsid w:val="00D11F41"/>
    <w:rsid w:val="00D153A1"/>
    <w:rsid w:val="00D1698F"/>
    <w:rsid w:val="00D17204"/>
    <w:rsid w:val="00D20001"/>
    <w:rsid w:val="00D20330"/>
    <w:rsid w:val="00D213A5"/>
    <w:rsid w:val="00D225B7"/>
    <w:rsid w:val="00D2452B"/>
    <w:rsid w:val="00D25732"/>
    <w:rsid w:val="00D3006B"/>
    <w:rsid w:val="00D34289"/>
    <w:rsid w:val="00D414F2"/>
    <w:rsid w:val="00D41907"/>
    <w:rsid w:val="00D4440B"/>
    <w:rsid w:val="00D44420"/>
    <w:rsid w:val="00D451CB"/>
    <w:rsid w:val="00D47F5F"/>
    <w:rsid w:val="00D503C8"/>
    <w:rsid w:val="00D50E13"/>
    <w:rsid w:val="00D50E33"/>
    <w:rsid w:val="00D51CAF"/>
    <w:rsid w:val="00D52AB5"/>
    <w:rsid w:val="00D53F9D"/>
    <w:rsid w:val="00D55200"/>
    <w:rsid w:val="00D55996"/>
    <w:rsid w:val="00D55EDC"/>
    <w:rsid w:val="00D571FA"/>
    <w:rsid w:val="00D61D3D"/>
    <w:rsid w:val="00D63D02"/>
    <w:rsid w:val="00D647B6"/>
    <w:rsid w:val="00D7120F"/>
    <w:rsid w:val="00D71FDF"/>
    <w:rsid w:val="00D7443E"/>
    <w:rsid w:val="00D82285"/>
    <w:rsid w:val="00D83C94"/>
    <w:rsid w:val="00D87E94"/>
    <w:rsid w:val="00D91401"/>
    <w:rsid w:val="00D93408"/>
    <w:rsid w:val="00D93D1D"/>
    <w:rsid w:val="00D93DA5"/>
    <w:rsid w:val="00D94342"/>
    <w:rsid w:val="00D95748"/>
    <w:rsid w:val="00DA1AAE"/>
    <w:rsid w:val="00DA4BBA"/>
    <w:rsid w:val="00DA5F5A"/>
    <w:rsid w:val="00DB0821"/>
    <w:rsid w:val="00DB09FD"/>
    <w:rsid w:val="00DB4658"/>
    <w:rsid w:val="00DB4980"/>
    <w:rsid w:val="00DB701C"/>
    <w:rsid w:val="00DC1630"/>
    <w:rsid w:val="00DC2789"/>
    <w:rsid w:val="00DC324D"/>
    <w:rsid w:val="00DC3EDE"/>
    <w:rsid w:val="00DC63AC"/>
    <w:rsid w:val="00DC6750"/>
    <w:rsid w:val="00DC6AF1"/>
    <w:rsid w:val="00DD366D"/>
    <w:rsid w:val="00DD5189"/>
    <w:rsid w:val="00DD6894"/>
    <w:rsid w:val="00DD77C2"/>
    <w:rsid w:val="00DE4239"/>
    <w:rsid w:val="00DE4EBA"/>
    <w:rsid w:val="00DE697C"/>
    <w:rsid w:val="00DF1930"/>
    <w:rsid w:val="00DF55FA"/>
    <w:rsid w:val="00DF67A6"/>
    <w:rsid w:val="00E0035B"/>
    <w:rsid w:val="00E006C8"/>
    <w:rsid w:val="00E04AC2"/>
    <w:rsid w:val="00E04D10"/>
    <w:rsid w:val="00E10A94"/>
    <w:rsid w:val="00E10D6A"/>
    <w:rsid w:val="00E14367"/>
    <w:rsid w:val="00E27451"/>
    <w:rsid w:val="00E27912"/>
    <w:rsid w:val="00E307DF"/>
    <w:rsid w:val="00E30A7D"/>
    <w:rsid w:val="00E319BC"/>
    <w:rsid w:val="00E320A7"/>
    <w:rsid w:val="00E33C90"/>
    <w:rsid w:val="00E37119"/>
    <w:rsid w:val="00E401BD"/>
    <w:rsid w:val="00E4284B"/>
    <w:rsid w:val="00E500BF"/>
    <w:rsid w:val="00E53D7F"/>
    <w:rsid w:val="00E53E76"/>
    <w:rsid w:val="00E55EB5"/>
    <w:rsid w:val="00E63243"/>
    <w:rsid w:val="00E63BC0"/>
    <w:rsid w:val="00E64E00"/>
    <w:rsid w:val="00E66A05"/>
    <w:rsid w:val="00E67A60"/>
    <w:rsid w:val="00E701DD"/>
    <w:rsid w:val="00E72D95"/>
    <w:rsid w:val="00E7771F"/>
    <w:rsid w:val="00E82006"/>
    <w:rsid w:val="00E835A1"/>
    <w:rsid w:val="00E85153"/>
    <w:rsid w:val="00E85527"/>
    <w:rsid w:val="00E855C9"/>
    <w:rsid w:val="00E875B5"/>
    <w:rsid w:val="00E87742"/>
    <w:rsid w:val="00E902F4"/>
    <w:rsid w:val="00E90321"/>
    <w:rsid w:val="00E91B9D"/>
    <w:rsid w:val="00E93DF7"/>
    <w:rsid w:val="00E945E0"/>
    <w:rsid w:val="00E95A68"/>
    <w:rsid w:val="00E9634C"/>
    <w:rsid w:val="00EA05A9"/>
    <w:rsid w:val="00EA1266"/>
    <w:rsid w:val="00EA14C7"/>
    <w:rsid w:val="00EA229A"/>
    <w:rsid w:val="00EA2F2D"/>
    <w:rsid w:val="00EA35B7"/>
    <w:rsid w:val="00EB0068"/>
    <w:rsid w:val="00EB0E40"/>
    <w:rsid w:val="00EB30FA"/>
    <w:rsid w:val="00EB417E"/>
    <w:rsid w:val="00EB743B"/>
    <w:rsid w:val="00EC24B1"/>
    <w:rsid w:val="00EC2EFC"/>
    <w:rsid w:val="00EC32C7"/>
    <w:rsid w:val="00EC370D"/>
    <w:rsid w:val="00EC6202"/>
    <w:rsid w:val="00ED7A80"/>
    <w:rsid w:val="00EE670B"/>
    <w:rsid w:val="00EE6868"/>
    <w:rsid w:val="00EE68E1"/>
    <w:rsid w:val="00EE7287"/>
    <w:rsid w:val="00EF0E67"/>
    <w:rsid w:val="00EF1C5B"/>
    <w:rsid w:val="00EF273C"/>
    <w:rsid w:val="00EF6597"/>
    <w:rsid w:val="00EF7407"/>
    <w:rsid w:val="00F00DF0"/>
    <w:rsid w:val="00F01776"/>
    <w:rsid w:val="00F01AF1"/>
    <w:rsid w:val="00F01F00"/>
    <w:rsid w:val="00F03E20"/>
    <w:rsid w:val="00F053D8"/>
    <w:rsid w:val="00F06140"/>
    <w:rsid w:val="00F070BA"/>
    <w:rsid w:val="00F1179D"/>
    <w:rsid w:val="00F12E53"/>
    <w:rsid w:val="00F16CDB"/>
    <w:rsid w:val="00F179D0"/>
    <w:rsid w:val="00F22A1A"/>
    <w:rsid w:val="00F22B08"/>
    <w:rsid w:val="00F30D79"/>
    <w:rsid w:val="00F337D5"/>
    <w:rsid w:val="00F374EA"/>
    <w:rsid w:val="00F37D04"/>
    <w:rsid w:val="00F419B4"/>
    <w:rsid w:val="00F41EAD"/>
    <w:rsid w:val="00F4346B"/>
    <w:rsid w:val="00F507C1"/>
    <w:rsid w:val="00F520C0"/>
    <w:rsid w:val="00F52FFB"/>
    <w:rsid w:val="00F64AC3"/>
    <w:rsid w:val="00F6519A"/>
    <w:rsid w:val="00F65BE6"/>
    <w:rsid w:val="00F65E07"/>
    <w:rsid w:val="00F7069E"/>
    <w:rsid w:val="00F708F1"/>
    <w:rsid w:val="00F72E04"/>
    <w:rsid w:val="00F758F7"/>
    <w:rsid w:val="00F75F2B"/>
    <w:rsid w:val="00F764F3"/>
    <w:rsid w:val="00F764F5"/>
    <w:rsid w:val="00F76C2C"/>
    <w:rsid w:val="00F81989"/>
    <w:rsid w:val="00F84712"/>
    <w:rsid w:val="00F865AB"/>
    <w:rsid w:val="00F9024A"/>
    <w:rsid w:val="00F92EC9"/>
    <w:rsid w:val="00F95538"/>
    <w:rsid w:val="00F96311"/>
    <w:rsid w:val="00F96513"/>
    <w:rsid w:val="00F9668D"/>
    <w:rsid w:val="00F969CD"/>
    <w:rsid w:val="00FA15C5"/>
    <w:rsid w:val="00FA180B"/>
    <w:rsid w:val="00FA3024"/>
    <w:rsid w:val="00FA33EA"/>
    <w:rsid w:val="00FA4AC4"/>
    <w:rsid w:val="00FA4B4E"/>
    <w:rsid w:val="00FA5B73"/>
    <w:rsid w:val="00FB0525"/>
    <w:rsid w:val="00FB1238"/>
    <w:rsid w:val="00FB25B0"/>
    <w:rsid w:val="00FC0583"/>
    <w:rsid w:val="00FC6511"/>
    <w:rsid w:val="00FC6A35"/>
    <w:rsid w:val="00FC7D52"/>
    <w:rsid w:val="00FD2CCC"/>
    <w:rsid w:val="00FD3A58"/>
    <w:rsid w:val="00FD4C7F"/>
    <w:rsid w:val="00FD4EC0"/>
    <w:rsid w:val="00FE1BBF"/>
    <w:rsid w:val="00FE250E"/>
    <w:rsid w:val="00FE2F86"/>
    <w:rsid w:val="00FE3093"/>
    <w:rsid w:val="00FE3D39"/>
    <w:rsid w:val="00FE3DBA"/>
    <w:rsid w:val="00FE4D4E"/>
    <w:rsid w:val="00FE514A"/>
    <w:rsid w:val="00FE542B"/>
    <w:rsid w:val="00FE68BA"/>
    <w:rsid w:val="00FF0811"/>
    <w:rsid w:val="00FF101C"/>
    <w:rsid w:val="00FF1E2A"/>
    <w:rsid w:val="00FF5265"/>
    <w:rsid w:val="00FF69BE"/>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5BD4BC"/>
  <w15:chartTrackingRefBased/>
  <w15:docId w15:val="{F000EB71-CC0D-482D-B558-83F724911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pt-BR" w:eastAsia="en-US" w:bidi="ar-SA"/>
      </w:rPr>
    </w:rPrDefault>
    <w:pPrDefault>
      <w:pPr>
        <w:spacing w:line="340" w:lineRule="exact"/>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eastAsia="Times New Roman" w:hAnsi="Times New Roman"/>
      <w:sz w:val="24"/>
    </w:rPr>
  </w:style>
  <w:style w:type="paragraph" w:styleId="Ttulo1">
    <w:name w:val="heading 1"/>
    <w:basedOn w:val="Normal"/>
    <w:next w:val="Normal"/>
    <w:link w:val="Ttulo1Char"/>
    <w:uiPriority w:val="9"/>
    <w:qFormat/>
    <w:pPr>
      <w:spacing w:line="360" w:lineRule="exact"/>
      <w:outlineLvl w:val="0"/>
    </w:pPr>
    <w:rPr>
      <w:b/>
      <w:caps/>
      <w:noProof/>
    </w:rPr>
  </w:style>
  <w:style w:type="paragraph" w:styleId="Ttulo2">
    <w:name w:val="heading 2"/>
    <w:basedOn w:val="Normal"/>
    <w:next w:val="Normal"/>
    <w:link w:val="Ttulo2Char"/>
    <w:qFormat/>
    <w:pPr>
      <w:spacing w:line="360" w:lineRule="exact"/>
      <w:outlineLvl w:val="1"/>
    </w:pPr>
    <w:rPr>
      <w:b/>
    </w:rPr>
  </w:style>
  <w:style w:type="paragraph" w:styleId="Ttulo3">
    <w:name w:val="heading 3"/>
    <w:basedOn w:val="Normal"/>
    <w:next w:val="Normal"/>
    <w:qFormat/>
    <w:pPr>
      <w:spacing w:line="360" w:lineRule="exact"/>
      <w:outlineLvl w:val="2"/>
    </w:pPr>
    <w:rPr>
      <w:b/>
    </w:rPr>
  </w:style>
  <w:style w:type="paragraph" w:styleId="Ttulo4">
    <w:name w:val="heading 4"/>
    <w:basedOn w:val="Normal"/>
    <w:next w:val="Normal"/>
    <w:link w:val="Ttulo4Char"/>
    <w:semiHidden/>
    <w:unhideWhenUsed/>
    <w:qFormat/>
    <w:rsid w:val="0041043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Ttulo5">
    <w:name w:val="heading 5"/>
    <w:basedOn w:val="Normal"/>
    <w:next w:val="Normal"/>
    <w:link w:val="Ttulo5Char"/>
    <w:semiHidden/>
    <w:unhideWhenUsed/>
    <w:qFormat/>
    <w:rsid w:val="00410433"/>
    <w:pPr>
      <w:keepNext/>
      <w:keepLines/>
      <w:spacing w:before="80" w:after="40"/>
      <w:outlineLvl w:val="4"/>
    </w:pPr>
    <w:rPr>
      <w:rFonts w:asciiTheme="minorHAnsi" w:eastAsiaTheme="majorEastAsia" w:hAnsiTheme="minorHAnsi" w:cstheme="majorBidi"/>
      <w:color w:val="2E74B5" w:themeColor="accent1" w:themeShade="BF"/>
    </w:rPr>
  </w:style>
  <w:style w:type="paragraph" w:styleId="Ttulo6">
    <w:name w:val="heading 6"/>
    <w:basedOn w:val="Normal"/>
    <w:next w:val="Normal"/>
    <w:link w:val="Ttulo6Char"/>
    <w:semiHidden/>
    <w:unhideWhenUsed/>
    <w:qFormat/>
    <w:rsid w:val="00410433"/>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har"/>
    <w:semiHidden/>
    <w:unhideWhenUsed/>
    <w:qFormat/>
    <w:rsid w:val="00410433"/>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har"/>
    <w:semiHidden/>
    <w:unhideWhenUsed/>
    <w:qFormat/>
    <w:rsid w:val="00410433"/>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har"/>
    <w:semiHidden/>
    <w:unhideWhenUsed/>
    <w:qFormat/>
    <w:rsid w:val="00410433"/>
    <w:pPr>
      <w:keepNext/>
      <w:keepLines/>
      <w:outlineLvl w:val="8"/>
    </w:pPr>
    <w:rPr>
      <w:rFonts w:asciiTheme="minorHAnsi" w:eastAsiaTheme="majorEastAsia" w:hAnsiTheme="minorHAnsi"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jc w:val="right"/>
    </w:pPr>
  </w:style>
  <w:style w:type="character" w:styleId="Nmerodepgina">
    <w:name w:val="page number"/>
    <w:basedOn w:val="Fontepargpadro"/>
  </w:style>
  <w:style w:type="paragraph" w:styleId="Rodap">
    <w:name w:val="footer"/>
    <w:basedOn w:val="Normal"/>
    <w:pPr>
      <w:spacing w:line="1440" w:lineRule="auto"/>
    </w:pPr>
    <w:rPr>
      <w:sz w:val="14"/>
      <w:lang w:val="en-US"/>
    </w:rPr>
  </w:style>
  <w:style w:type="paragraph" w:styleId="Textodenotaderodap">
    <w:name w:val="footnote text"/>
    <w:basedOn w:val="Normal"/>
    <w:link w:val="TextodenotaderodapChar"/>
    <w:pPr>
      <w:tabs>
        <w:tab w:val="left" w:pos="284"/>
      </w:tabs>
      <w:ind w:left="284" w:hanging="284"/>
    </w:pPr>
    <w:rPr>
      <w:b/>
      <w:i/>
      <w:sz w:val="16"/>
      <w:lang w:val="en-US"/>
    </w:rPr>
  </w:style>
  <w:style w:type="character" w:customStyle="1" w:styleId="Ttulo2Char">
    <w:name w:val="Título 2 Char"/>
    <w:basedOn w:val="Fontepargpadro"/>
    <w:link w:val="Ttulo2"/>
    <w:rPr>
      <w:b/>
    </w:rPr>
  </w:style>
  <w:style w:type="character" w:customStyle="1" w:styleId="Ttulo4Char">
    <w:name w:val="Título 4 Char"/>
    <w:basedOn w:val="Fontepargpadro"/>
    <w:link w:val="Ttulo4"/>
    <w:semiHidden/>
    <w:rsid w:val="00410433"/>
    <w:rPr>
      <w:rFonts w:asciiTheme="minorHAnsi" w:eastAsiaTheme="majorEastAsia" w:hAnsiTheme="minorHAnsi" w:cstheme="majorBidi"/>
      <w:i/>
      <w:iCs/>
      <w:color w:val="2E74B5" w:themeColor="accent1" w:themeShade="BF"/>
    </w:rPr>
  </w:style>
  <w:style w:type="character" w:customStyle="1" w:styleId="Ttulo5Char">
    <w:name w:val="Título 5 Char"/>
    <w:basedOn w:val="Fontepargpadro"/>
    <w:link w:val="Ttulo5"/>
    <w:semiHidden/>
    <w:rsid w:val="00410433"/>
    <w:rPr>
      <w:rFonts w:asciiTheme="minorHAnsi" w:eastAsiaTheme="majorEastAsia" w:hAnsiTheme="minorHAnsi" w:cstheme="majorBidi"/>
      <w:color w:val="2E74B5" w:themeColor="accent1" w:themeShade="BF"/>
    </w:rPr>
  </w:style>
  <w:style w:type="character" w:customStyle="1" w:styleId="Ttulo6Char">
    <w:name w:val="Título 6 Char"/>
    <w:basedOn w:val="Fontepargpadro"/>
    <w:link w:val="Ttulo6"/>
    <w:semiHidden/>
    <w:rsid w:val="00410433"/>
    <w:rPr>
      <w:rFonts w:asciiTheme="minorHAnsi" w:eastAsiaTheme="majorEastAsia" w:hAnsiTheme="minorHAnsi" w:cstheme="majorBidi"/>
      <w:i/>
      <w:iCs/>
      <w:color w:val="595959" w:themeColor="text1" w:themeTint="A6"/>
    </w:rPr>
  </w:style>
  <w:style w:type="character" w:customStyle="1" w:styleId="Ttulo7Char">
    <w:name w:val="Título 7 Char"/>
    <w:basedOn w:val="Fontepargpadro"/>
    <w:link w:val="Ttulo7"/>
    <w:semiHidden/>
    <w:rsid w:val="00410433"/>
    <w:rPr>
      <w:rFonts w:asciiTheme="minorHAnsi" w:eastAsiaTheme="majorEastAsia" w:hAnsiTheme="minorHAnsi" w:cstheme="majorBidi"/>
      <w:color w:val="595959" w:themeColor="text1" w:themeTint="A6"/>
    </w:rPr>
  </w:style>
  <w:style w:type="character" w:customStyle="1" w:styleId="Ttulo8Char">
    <w:name w:val="Título 8 Char"/>
    <w:basedOn w:val="Fontepargpadro"/>
    <w:link w:val="Ttulo8"/>
    <w:semiHidden/>
    <w:rsid w:val="00410433"/>
    <w:rPr>
      <w:rFonts w:asciiTheme="minorHAnsi" w:eastAsiaTheme="majorEastAsia" w:hAnsiTheme="minorHAnsi" w:cstheme="majorBidi"/>
      <w:i/>
      <w:iCs/>
      <w:color w:val="272727" w:themeColor="text1" w:themeTint="D8"/>
    </w:rPr>
  </w:style>
  <w:style w:type="character" w:customStyle="1" w:styleId="Ttulo9Char">
    <w:name w:val="Título 9 Char"/>
    <w:basedOn w:val="Fontepargpadro"/>
    <w:link w:val="Ttulo9"/>
    <w:semiHidden/>
    <w:rsid w:val="00410433"/>
    <w:rPr>
      <w:rFonts w:asciiTheme="minorHAnsi" w:eastAsiaTheme="majorEastAsia" w:hAnsiTheme="minorHAnsi" w:cstheme="majorBidi"/>
      <w:color w:val="272727" w:themeColor="text1" w:themeTint="D8"/>
    </w:rPr>
  </w:style>
  <w:style w:type="paragraph" w:styleId="Ttulo">
    <w:name w:val="Title"/>
    <w:basedOn w:val="Normal"/>
    <w:next w:val="Normal"/>
    <w:link w:val="TtuloChar"/>
    <w:qFormat/>
    <w:rsid w:val="004104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rsid w:val="0041043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qFormat/>
    <w:rsid w:val="0041043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har">
    <w:name w:val="Subtítulo Char"/>
    <w:basedOn w:val="Fontepargpadro"/>
    <w:link w:val="Subttulo"/>
    <w:rsid w:val="00410433"/>
    <w:rPr>
      <w:rFonts w:asciiTheme="minorHAnsi" w:eastAsiaTheme="majorEastAsia" w:hAnsiTheme="minorHAnsi" w:cstheme="majorBidi"/>
      <w:color w:val="595959" w:themeColor="text1" w:themeTint="A6"/>
      <w:spacing w:val="15"/>
      <w:sz w:val="28"/>
      <w:szCs w:val="28"/>
    </w:rPr>
  </w:style>
  <w:style w:type="paragraph" w:styleId="Citao">
    <w:name w:val="Quote"/>
    <w:basedOn w:val="Normal"/>
    <w:next w:val="Normal"/>
    <w:link w:val="CitaoChar"/>
    <w:uiPriority w:val="29"/>
    <w:qFormat/>
    <w:rsid w:val="00410433"/>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410433"/>
    <w:rPr>
      <w:i/>
      <w:iCs/>
      <w:color w:val="404040" w:themeColor="text1" w:themeTint="BF"/>
    </w:rPr>
  </w:style>
  <w:style w:type="paragraph" w:styleId="PargrafodaLista">
    <w:name w:val="List Paragraph"/>
    <w:basedOn w:val="Normal"/>
    <w:uiPriority w:val="34"/>
    <w:qFormat/>
    <w:rsid w:val="00410433"/>
    <w:pPr>
      <w:ind w:left="720"/>
      <w:contextualSpacing/>
    </w:pPr>
  </w:style>
  <w:style w:type="character" w:styleId="nfaseIntensa">
    <w:name w:val="Intense Emphasis"/>
    <w:basedOn w:val="Fontepargpadro"/>
    <w:uiPriority w:val="21"/>
    <w:qFormat/>
    <w:rsid w:val="00410433"/>
    <w:rPr>
      <w:i/>
      <w:iCs/>
      <w:color w:val="2E74B5" w:themeColor="accent1" w:themeShade="BF"/>
    </w:rPr>
  </w:style>
  <w:style w:type="paragraph" w:styleId="CitaoIntensa">
    <w:name w:val="Intense Quote"/>
    <w:basedOn w:val="Normal"/>
    <w:next w:val="Normal"/>
    <w:link w:val="CitaoIntensaChar"/>
    <w:uiPriority w:val="30"/>
    <w:qFormat/>
    <w:rsid w:val="0041043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oIntensaChar">
    <w:name w:val="Citação Intensa Char"/>
    <w:basedOn w:val="Fontepargpadro"/>
    <w:link w:val="CitaoIntensa"/>
    <w:uiPriority w:val="30"/>
    <w:rsid w:val="00410433"/>
    <w:rPr>
      <w:i/>
      <w:iCs/>
      <w:color w:val="2E74B5" w:themeColor="accent1" w:themeShade="BF"/>
    </w:rPr>
  </w:style>
  <w:style w:type="character" w:styleId="RefernciaIntensa">
    <w:name w:val="Intense Reference"/>
    <w:basedOn w:val="Fontepargpadro"/>
    <w:uiPriority w:val="32"/>
    <w:qFormat/>
    <w:rsid w:val="00410433"/>
    <w:rPr>
      <w:b/>
      <w:bCs/>
      <w:smallCaps/>
      <w:color w:val="2E74B5" w:themeColor="accent1" w:themeShade="BF"/>
      <w:spacing w:val="5"/>
    </w:rPr>
  </w:style>
  <w:style w:type="character" w:styleId="Hyperlink">
    <w:name w:val="Hyperlink"/>
    <w:basedOn w:val="Fontepargpadro"/>
    <w:rsid w:val="00F81989"/>
    <w:rPr>
      <w:color w:val="0563C1" w:themeColor="hyperlink"/>
      <w:u w:val="single"/>
    </w:rPr>
  </w:style>
  <w:style w:type="character" w:styleId="MenoPendente">
    <w:name w:val="Unresolved Mention"/>
    <w:basedOn w:val="Fontepargpadro"/>
    <w:uiPriority w:val="99"/>
    <w:semiHidden/>
    <w:unhideWhenUsed/>
    <w:rsid w:val="00F81989"/>
    <w:rPr>
      <w:color w:val="605E5C"/>
      <w:shd w:val="clear" w:color="auto" w:fill="E1DFDD"/>
    </w:rPr>
  </w:style>
  <w:style w:type="paragraph" w:styleId="NormalWeb">
    <w:name w:val="Normal (Web)"/>
    <w:basedOn w:val="Normal"/>
    <w:rsid w:val="005C72EF"/>
    <w:rPr>
      <w:rFonts w:cs="Times New Roman"/>
      <w:szCs w:val="24"/>
    </w:rPr>
  </w:style>
  <w:style w:type="character" w:customStyle="1" w:styleId="Ttulo1Char">
    <w:name w:val="Título 1 Char"/>
    <w:basedOn w:val="Fontepargpadro"/>
    <w:link w:val="Ttulo1"/>
    <w:uiPriority w:val="9"/>
    <w:rsid w:val="00D93DA5"/>
    <w:rPr>
      <w:rFonts w:ascii="Times New Roman" w:eastAsia="Times New Roman" w:hAnsi="Times New Roman"/>
      <w:b/>
      <w:caps/>
      <w:noProof/>
      <w:sz w:val="24"/>
    </w:rPr>
  </w:style>
  <w:style w:type="character" w:styleId="Refdenotaderodap">
    <w:name w:val="footnote reference"/>
    <w:basedOn w:val="Fontepargpadro"/>
    <w:rsid w:val="00E85527"/>
    <w:rPr>
      <w:vertAlign w:val="superscript"/>
    </w:rPr>
  </w:style>
  <w:style w:type="character" w:customStyle="1" w:styleId="TextodenotaderodapChar">
    <w:name w:val="Texto de nota de rodapé Char"/>
    <w:basedOn w:val="Fontepargpadro"/>
    <w:link w:val="Textodenotaderodap"/>
    <w:uiPriority w:val="99"/>
    <w:rsid w:val="00176017"/>
    <w:rPr>
      <w:rFonts w:ascii="Times New Roman" w:eastAsia="Times New Roman" w:hAnsi="Times New Roman"/>
      <w:b/>
      <w:i/>
      <w:sz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4E3E9-EFA0-4633-9175-792508FAF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1610</TotalTime>
  <Pages>24</Pages>
  <Words>8616</Words>
  <Characters>51528</Characters>
  <Application>Microsoft Office Word</Application>
  <DocSecurity>0</DocSecurity>
  <Lines>746</Lines>
  <Paragraphs>170</Paragraphs>
  <ScaleCrop>false</ScaleCrop>
  <HeadingPairs>
    <vt:vector size="2" baseType="variant">
      <vt:variant>
        <vt:lpstr>Título</vt:lpstr>
      </vt:variant>
      <vt:variant>
        <vt:i4>1</vt:i4>
      </vt:variant>
    </vt:vector>
  </HeadingPairs>
  <TitlesOfParts>
    <vt:vector size="1" baseType="lpstr">
      <vt:lpstr> </vt:lpstr>
    </vt:vector>
  </TitlesOfParts>
  <Company>Pinheiro Neto Advogados</Company>
  <LinksUpToDate>false</LinksUpToDate>
  <CharactersWithSpaces>59974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Pinheiro Neto Advogados</dc:creator>
  <cp:keywords/>
  <dc:description/>
  <cp:lastModifiedBy>Pinheiro Neto Advogados</cp:lastModifiedBy>
  <cp:revision>996</cp:revision>
  <cp:lastPrinted>2025-12-20T02:39:00Z</cp:lastPrinted>
  <dcterms:created xsi:type="dcterms:W3CDTF">2025-12-17T22:04:00Z</dcterms:created>
  <dcterms:modified xsi:type="dcterms:W3CDTF">2026-03-09T22:07:00Z</dcterms:modified>
</cp:coreProperties>
</file>