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DD457" w14:textId="5FCECA6E" w:rsidR="00650DE7" w:rsidRPr="0078038A" w:rsidRDefault="00000000" w:rsidP="0078038A">
      <w:pPr>
        <w:spacing w:before="160" w:afterLines="160" w:after="384"/>
        <w:ind w:firstLine="0"/>
        <w:jc w:val="center"/>
        <w:rPr>
          <w:rFonts w:cs="Times New Roman"/>
          <w:szCs w:val="24"/>
          <w:lang w:val="pt-BR"/>
        </w:rPr>
      </w:pPr>
      <w:r w:rsidRPr="0078038A">
        <w:rPr>
          <w:rFonts w:cs="Times New Roman"/>
          <w:b/>
          <w:szCs w:val="24"/>
          <w:lang w:val="pt-BR"/>
        </w:rPr>
        <w:t xml:space="preserve">INSTITUCIONALIZAÇÃO, DESCONTINUIDADE E RESILIÊNCIA DAS POLÍTICAS PÚBLICAS </w:t>
      </w:r>
      <w:r w:rsidR="006F4063" w:rsidRPr="0078038A">
        <w:rPr>
          <w:rFonts w:cs="Times New Roman"/>
          <w:b/>
          <w:szCs w:val="24"/>
          <w:lang w:val="pt-BR"/>
        </w:rPr>
        <w:t xml:space="preserve">LGBTI+ </w:t>
      </w:r>
      <w:r w:rsidRPr="0078038A">
        <w:rPr>
          <w:rFonts w:cs="Times New Roman"/>
          <w:b/>
          <w:szCs w:val="24"/>
          <w:lang w:val="pt-BR"/>
        </w:rPr>
        <w:t>NO GOVERNO FEDERAL BRASILEIRO</w:t>
      </w:r>
    </w:p>
    <w:p w14:paraId="0B87CFEC" w14:textId="345AB698" w:rsidR="00650DE7" w:rsidRPr="0078038A" w:rsidRDefault="006F4063" w:rsidP="0078038A">
      <w:pPr>
        <w:ind w:firstLine="0"/>
        <w:jc w:val="right"/>
        <w:rPr>
          <w:rFonts w:cs="Times New Roman"/>
          <w:szCs w:val="24"/>
          <w:lang w:val="pt-BR"/>
        </w:rPr>
      </w:pPr>
      <w:r w:rsidRPr="0078038A">
        <w:rPr>
          <w:rFonts w:cs="Times New Roman"/>
          <w:i/>
          <w:szCs w:val="24"/>
          <w:lang w:val="pt-BR"/>
        </w:rPr>
        <w:t>Rogerio Sganzerla</w:t>
      </w:r>
    </w:p>
    <w:p w14:paraId="3A794AD0" w14:textId="5F00092E" w:rsidR="00650DE7" w:rsidRPr="0078038A" w:rsidRDefault="006F4063" w:rsidP="0078038A">
      <w:pPr>
        <w:ind w:firstLine="0"/>
        <w:jc w:val="right"/>
        <w:rPr>
          <w:rFonts w:cs="Times New Roman"/>
          <w:szCs w:val="24"/>
          <w:lang w:val="pt-BR"/>
        </w:rPr>
      </w:pPr>
      <w:r w:rsidRPr="0078038A">
        <w:rPr>
          <w:rFonts w:cs="Times New Roman"/>
          <w:i/>
          <w:szCs w:val="24"/>
          <w:lang w:val="pt-BR"/>
        </w:rPr>
        <w:t>Aliança Nacional LGBT &amp; Grupo Arco-Íris</w:t>
      </w:r>
    </w:p>
    <w:p w14:paraId="5A37E228" w14:textId="35FB40B2" w:rsidR="00650DE7" w:rsidRPr="0078038A" w:rsidRDefault="00000000" w:rsidP="0078038A">
      <w:pPr>
        <w:ind w:firstLine="0"/>
        <w:rPr>
          <w:rFonts w:cs="Times New Roman"/>
          <w:szCs w:val="24"/>
          <w:lang w:val="pt-BR"/>
        </w:rPr>
      </w:pPr>
      <w:r w:rsidRPr="0078038A">
        <w:rPr>
          <w:rFonts w:cs="Times New Roman"/>
          <w:b/>
          <w:szCs w:val="24"/>
          <w:lang w:val="pt-BR"/>
        </w:rPr>
        <w:t>Resumo</w:t>
      </w:r>
    </w:p>
    <w:p w14:paraId="2CEBF525" w14:textId="5E2E372A" w:rsidR="00650DE7" w:rsidRPr="0078038A" w:rsidRDefault="006F4063" w:rsidP="0078038A">
      <w:pPr>
        <w:spacing w:before="160" w:afterLines="160" w:after="384"/>
        <w:ind w:firstLine="0"/>
        <w:rPr>
          <w:rFonts w:cs="Times New Roman"/>
          <w:szCs w:val="24"/>
          <w:lang w:val="pt-BR"/>
        </w:rPr>
      </w:pPr>
      <w:r w:rsidRPr="0078038A">
        <w:rPr>
          <w:rFonts w:cs="Times New Roman"/>
          <w:szCs w:val="24"/>
          <w:lang w:val="pt-BR"/>
        </w:rPr>
        <w:t xml:space="preserve">A </w:t>
      </w:r>
      <w:r w:rsidR="00000000" w:rsidRPr="0078038A">
        <w:rPr>
          <w:rFonts w:cs="Times New Roman"/>
          <w:szCs w:val="24"/>
          <w:lang w:val="pt-BR"/>
        </w:rPr>
        <w:t xml:space="preserve">fase 3 do Programa Atena representa a consolidação de um ciclo de pesquisa e advocacy iniciado em 2021, que, ao longo de cinco anos, percorreu diferentes esferas federativas para construir um panorama abrangente das políticas públicas voltadas para a </w:t>
      </w:r>
      <w:r w:rsidRPr="0078038A">
        <w:rPr>
          <w:rFonts w:cs="Times New Roman"/>
          <w:szCs w:val="24"/>
          <w:lang w:val="pt-BR"/>
        </w:rPr>
        <w:t xml:space="preserve">promoção da </w:t>
      </w:r>
      <w:r w:rsidR="00000000" w:rsidRPr="0078038A">
        <w:rPr>
          <w:rFonts w:cs="Times New Roman"/>
          <w:szCs w:val="24"/>
          <w:lang w:val="pt-BR"/>
        </w:rPr>
        <w:t xml:space="preserve">cidadania e o enfrentamento da violência contra pessoas LGBTI+ no Brasil. O presente relato de pesquisa </w:t>
      </w:r>
      <w:r w:rsidRPr="0078038A">
        <w:rPr>
          <w:rFonts w:cs="Times New Roman"/>
          <w:szCs w:val="24"/>
          <w:lang w:val="pt-BR"/>
        </w:rPr>
        <w:t xml:space="preserve">mapeou, avaliou e analisou </w:t>
      </w:r>
      <w:r w:rsidR="00000000" w:rsidRPr="0078038A">
        <w:rPr>
          <w:rFonts w:cs="Times New Roman"/>
          <w:szCs w:val="24"/>
          <w:lang w:val="pt-BR"/>
        </w:rPr>
        <w:t>a</w:t>
      </w:r>
      <w:r w:rsidRPr="0078038A">
        <w:rPr>
          <w:rFonts w:cs="Times New Roman"/>
          <w:szCs w:val="24"/>
          <w:lang w:val="pt-BR"/>
        </w:rPr>
        <w:t>s</w:t>
      </w:r>
      <w:r w:rsidR="00000000" w:rsidRPr="0078038A">
        <w:rPr>
          <w:rFonts w:cs="Times New Roman"/>
          <w:szCs w:val="24"/>
          <w:lang w:val="pt-BR"/>
        </w:rPr>
        <w:t xml:space="preserve"> políticas públicas LGBTI+ no governo federal brasileiro entre 1990 e 2025 e </w:t>
      </w:r>
      <w:r w:rsidRPr="0078038A">
        <w:rPr>
          <w:rFonts w:cs="Times New Roman"/>
          <w:szCs w:val="24"/>
          <w:lang w:val="pt-BR"/>
        </w:rPr>
        <w:t xml:space="preserve">teve como objetivo </w:t>
      </w:r>
      <w:r w:rsidR="00000000" w:rsidRPr="0078038A">
        <w:rPr>
          <w:rFonts w:cs="Times New Roman"/>
          <w:szCs w:val="24"/>
          <w:lang w:val="pt-BR"/>
        </w:rPr>
        <w:t xml:space="preserve">identificar </w:t>
      </w:r>
      <w:r w:rsidR="00EB54ED" w:rsidRPr="0078038A">
        <w:rPr>
          <w:rFonts w:cs="Times New Roman"/>
          <w:szCs w:val="24"/>
          <w:lang w:val="pt-BR"/>
        </w:rPr>
        <w:t xml:space="preserve">lacunas, potencialidades e desafios na institucionalização dessas políticas, bem como compreender de que forma </w:t>
      </w:r>
      <w:r w:rsidR="00000000" w:rsidRPr="0078038A">
        <w:rPr>
          <w:rFonts w:cs="Times New Roman"/>
          <w:szCs w:val="24"/>
          <w:lang w:val="pt-BR"/>
        </w:rPr>
        <w:t>essa agenda assumiu contornos de política de Estado</w:t>
      </w:r>
      <w:r w:rsidR="00EB54ED" w:rsidRPr="0078038A">
        <w:rPr>
          <w:rFonts w:cs="Times New Roman"/>
          <w:szCs w:val="24"/>
          <w:lang w:val="pt-BR"/>
        </w:rPr>
        <w:t xml:space="preserve">, se ainda permanece </w:t>
      </w:r>
      <w:r w:rsidR="00000000" w:rsidRPr="0078038A">
        <w:rPr>
          <w:rFonts w:cs="Times New Roman"/>
          <w:szCs w:val="24"/>
          <w:lang w:val="pt-BR"/>
        </w:rPr>
        <w:t>dependente de decisões de governo</w:t>
      </w:r>
      <w:r w:rsidR="00EB54ED" w:rsidRPr="0078038A">
        <w:rPr>
          <w:rFonts w:cs="Times New Roman"/>
          <w:szCs w:val="24"/>
          <w:lang w:val="pt-BR"/>
        </w:rPr>
        <w:t xml:space="preserve"> ou se ainda se constitui de projetos específicos e delimitados no seu desenvolvimento</w:t>
      </w:r>
      <w:r w:rsidR="00000000" w:rsidRPr="0078038A">
        <w:rPr>
          <w:rFonts w:cs="Times New Roman"/>
          <w:szCs w:val="24"/>
          <w:lang w:val="pt-BR"/>
        </w:rPr>
        <w:t xml:space="preserve">. Metodologicamente, a pesquisa </w:t>
      </w:r>
      <w:r w:rsidR="00EB54ED" w:rsidRPr="0078038A">
        <w:rPr>
          <w:rFonts w:cs="Times New Roman"/>
          <w:szCs w:val="24"/>
          <w:lang w:val="pt-BR"/>
        </w:rPr>
        <w:t xml:space="preserve">parte de uma busca minuciosa </w:t>
      </w:r>
      <w:r w:rsidR="00DE7A5E" w:rsidRPr="0078038A">
        <w:rPr>
          <w:rFonts w:cs="Times New Roman"/>
          <w:szCs w:val="24"/>
          <w:lang w:val="pt-BR"/>
        </w:rPr>
        <w:t xml:space="preserve">utilizando o </w:t>
      </w:r>
      <w:r w:rsidR="00000000" w:rsidRPr="0078038A">
        <w:rPr>
          <w:rFonts w:cs="Times New Roman"/>
          <w:szCs w:val="24"/>
          <w:lang w:val="pt-BR"/>
        </w:rPr>
        <w:t>Diário Oficial da União</w:t>
      </w:r>
      <w:r w:rsidR="00EB54ED" w:rsidRPr="0078038A">
        <w:rPr>
          <w:rFonts w:cs="Times New Roman"/>
          <w:szCs w:val="24"/>
          <w:lang w:val="pt-BR"/>
        </w:rPr>
        <w:t>, com</w:t>
      </w:r>
      <w:r w:rsidR="00000000" w:rsidRPr="0078038A">
        <w:rPr>
          <w:rFonts w:cs="Times New Roman"/>
          <w:szCs w:val="24"/>
          <w:lang w:val="pt-BR"/>
        </w:rPr>
        <w:t xml:space="preserve"> ampla </w:t>
      </w:r>
      <w:r w:rsidR="00384A87" w:rsidRPr="0078038A">
        <w:rPr>
          <w:rFonts w:cs="Times New Roman"/>
          <w:szCs w:val="24"/>
          <w:lang w:val="pt-BR"/>
        </w:rPr>
        <w:t>r</w:t>
      </w:r>
      <w:r w:rsidR="00000000" w:rsidRPr="0078038A">
        <w:rPr>
          <w:rFonts w:cs="Times New Roman"/>
          <w:szCs w:val="24"/>
          <w:lang w:val="pt-BR"/>
        </w:rPr>
        <w:t xml:space="preserve">odada de solicitações de informação via </w:t>
      </w:r>
      <w:r w:rsidR="00EB54ED" w:rsidRPr="0078038A">
        <w:rPr>
          <w:rFonts w:cs="Times New Roman"/>
          <w:szCs w:val="24"/>
          <w:lang w:val="pt-BR"/>
        </w:rPr>
        <w:t xml:space="preserve">Portal da Transparência. Após, os dados sistematizados e organizados </w:t>
      </w:r>
      <w:r w:rsidR="00384A87" w:rsidRPr="0078038A">
        <w:rPr>
          <w:rFonts w:cs="Times New Roman"/>
          <w:szCs w:val="24"/>
          <w:lang w:val="pt-BR"/>
        </w:rPr>
        <w:t xml:space="preserve">em eixos (tripé da cidadania) para, assim, avaliação e compreensão dos gargalos e potencialidades no desenvolvimento dessa política pública. </w:t>
      </w:r>
      <w:r w:rsidR="00000000" w:rsidRPr="0078038A">
        <w:rPr>
          <w:rFonts w:cs="Times New Roman"/>
          <w:szCs w:val="24"/>
          <w:lang w:val="pt-BR"/>
        </w:rPr>
        <w:t>Os resultados apontam que a trajetória federal foi marcada por ciclos de expansão, inflexão, desmonte e recomposição</w:t>
      </w:r>
      <w:r w:rsidR="00DE7A5E" w:rsidRPr="0078038A">
        <w:rPr>
          <w:rFonts w:cs="Times New Roman"/>
          <w:szCs w:val="24"/>
          <w:lang w:val="pt-BR"/>
        </w:rPr>
        <w:t>, os quais fazemos uma analogia com as estações do ano</w:t>
      </w:r>
      <w:r w:rsidR="00000000" w:rsidRPr="0078038A">
        <w:rPr>
          <w:rFonts w:cs="Times New Roman"/>
          <w:szCs w:val="24"/>
          <w:lang w:val="pt-BR"/>
        </w:rPr>
        <w:t xml:space="preserve">. Embora a partir de 2023 se observe uma “nova primavera” institucional, com reestruturação de órgão gestor, conselho e programas, persistem fragilidades normativas, orçamentárias, federativas e intersetoriais. Conclui-se que a agenda LGBTI+ avançou no plano do reconhecimento e da institucionalização, mas ainda não consolidou, de modo pleno, um sistema nacional robusto capaz de protegê-la das oscilações político-governamentais. Sua estabilização como política de Estado depende de maior </w:t>
      </w:r>
      <w:r w:rsidR="00DE7A5E" w:rsidRPr="0078038A">
        <w:rPr>
          <w:rFonts w:cs="Times New Roman"/>
          <w:szCs w:val="24"/>
          <w:lang w:val="pt-BR"/>
        </w:rPr>
        <w:t>resistência institucional</w:t>
      </w:r>
      <w:r w:rsidR="00000000" w:rsidRPr="0078038A">
        <w:rPr>
          <w:rFonts w:cs="Times New Roman"/>
          <w:szCs w:val="24"/>
          <w:lang w:val="pt-BR"/>
        </w:rPr>
        <w:t>, previsibilidade orçamentária, coordenação intersetorial</w:t>
      </w:r>
      <w:r w:rsidR="00DE7A5E" w:rsidRPr="0078038A">
        <w:rPr>
          <w:rFonts w:cs="Times New Roman"/>
          <w:szCs w:val="24"/>
          <w:lang w:val="pt-BR"/>
        </w:rPr>
        <w:t xml:space="preserve"> </w:t>
      </w:r>
      <w:r w:rsidR="00000000" w:rsidRPr="0078038A">
        <w:rPr>
          <w:rFonts w:cs="Times New Roman"/>
          <w:szCs w:val="24"/>
          <w:lang w:val="pt-BR"/>
        </w:rPr>
        <w:t>e fortalecimento do controle social.</w:t>
      </w:r>
    </w:p>
    <w:p w14:paraId="73285365" w14:textId="0E07B57B" w:rsidR="00650DE7" w:rsidRPr="0078038A" w:rsidRDefault="00000000" w:rsidP="0078038A">
      <w:pPr>
        <w:ind w:firstLine="0"/>
        <w:rPr>
          <w:rFonts w:cs="Times New Roman"/>
          <w:szCs w:val="24"/>
          <w:lang w:val="pt-BR"/>
        </w:rPr>
      </w:pPr>
      <w:r w:rsidRPr="0078038A">
        <w:rPr>
          <w:rFonts w:cs="Times New Roman"/>
          <w:b/>
          <w:szCs w:val="24"/>
          <w:lang w:val="pt-BR"/>
        </w:rPr>
        <w:t xml:space="preserve">Palavras-chave: </w:t>
      </w:r>
      <w:r w:rsidRPr="0078038A">
        <w:rPr>
          <w:rFonts w:cs="Times New Roman"/>
          <w:bCs/>
          <w:szCs w:val="24"/>
          <w:lang w:val="pt-BR"/>
        </w:rPr>
        <w:t>políticas públicas</w:t>
      </w:r>
      <w:r w:rsidR="00DE7A5E" w:rsidRPr="0078038A">
        <w:rPr>
          <w:rFonts w:cs="Times New Roman"/>
          <w:bCs/>
          <w:szCs w:val="24"/>
          <w:lang w:val="pt-BR"/>
        </w:rPr>
        <w:t>;</w:t>
      </w:r>
      <w:r w:rsidRPr="0078038A">
        <w:rPr>
          <w:rFonts w:cs="Times New Roman"/>
          <w:bCs/>
          <w:szCs w:val="24"/>
          <w:lang w:val="pt-BR"/>
        </w:rPr>
        <w:t xml:space="preserve"> LGBTI+; institucionalização; cidadania.</w:t>
      </w:r>
    </w:p>
    <w:p w14:paraId="6D144A6A" w14:textId="3903845B" w:rsidR="00650DE7" w:rsidRPr="0078038A" w:rsidRDefault="00000000" w:rsidP="0078038A">
      <w:pPr>
        <w:ind w:firstLine="0"/>
        <w:rPr>
          <w:rFonts w:cs="Times New Roman"/>
          <w:szCs w:val="24"/>
          <w:lang w:val="pt-BR"/>
        </w:rPr>
      </w:pPr>
      <w:r w:rsidRPr="0078038A">
        <w:rPr>
          <w:rFonts w:cs="Times New Roman"/>
          <w:b/>
          <w:szCs w:val="24"/>
          <w:lang w:val="pt-BR"/>
        </w:rPr>
        <w:t xml:space="preserve">Instituição </w:t>
      </w:r>
      <w:r w:rsidR="004F7E14" w:rsidRPr="0078038A">
        <w:rPr>
          <w:rFonts w:cs="Times New Roman"/>
          <w:b/>
          <w:szCs w:val="24"/>
          <w:lang w:val="pt-BR"/>
        </w:rPr>
        <w:t xml:space="preserve">de realização da </w:t>
      </w:r>
      <w:r w:rsidRPr="0078038A">
        <w:rPr>
          <w:rFonts w:cs="Times New Roman"/>
          <w:b/>
          <w:szCs w:val="24"/>
          <w:lang w:val="pt-BR"/>
        </w:rPr>
        <w:t xml:space="preserve">pesquisa: </w:t>
      </w:r>
      <w:r w:rsidRPr="0078038A">
        <w:rPr>
          <w:rFonts w:cs="Times New Roman"/>
          <w:bCs/>
          <w:szCs w:val="24"/>
          <w:lang w:val="pt-BR"/>
        </w:rPr>
        <w:t>Grupo Arco-Íris de Cidadania LGBT</w:t>
      </w:r>
      <w:r w:rsidRPr="0078038A">
        <w:rPr>
          <w:rFonts w:cs="Times New Roman"/>
          <w:b/>
          <w:szCs w:val="24"/>
          <w:lang w:val="pt-BR"/>
        </w:rPr>
        <w:t>.</w:t>
      </w:r>
    </w:p>
    <w:p w14:paraId="3E77C71C" w14:textId="3B221114" w:rsidR="00650DE7" w:rsidRPr="0078038A" w:rsidRDefault="00000000" w:rsidP="0078038A">
      <w:pPr>
        <w:ind w:firstLine="0"/>
        <w:rPr>
          <w:rFonts w:cs="Times New Roman"/>
          <w:bCs/>
          <w:szCs w:val="24"/>
          <w:lang w:val="pt-BR"/>
        </w:rPr>
      </w:pPr>
      <w:r w:rsidRPr="0078038A">
        <w:rPr>
          <w:rFonts w:cs="Times New Roman"/>
          <w:b/>
          <w:szCs w:val="24"/>
          <w:lang w:val="pt-BR"/>
        </w:rPr>
        <w:t xml:space="preserve">Eixo temático: </w:t>
      </w:r>
      <w:r w:rsidRPr="0078038A">
        <w:rPr>
          <w:rFonts w:cs="Times New Roman"/>
          <w:bCs/>
          <w:szCs w:val="24"/>
          <w:lang w:val="pt-BR"/>
        </w:rPr>
        <w:t>5 - Políticas de Estado e de Governo.</w:t>
      </w:r>
    </w:p>
    <w:p w14:paraId="63A36287" w14:textId="77777777" w:rsidR="00DE7A5E" w:rsidRPr="0078038A" w:rsidRDefault="00DE7A5E" w:rsidP="0078038A">
      <w:pPr>
        <w:spacing w:before="160" w:afterLines="160" w:after="384" w:line="276" w:lineRule="auto"/>
        <w:ind w:firstLine="0"/>
        <w:rPr>
          <w:rFonts w:cs="Times New Roman"/>
          <w:b/>
          <w:szCs w:val="24"/>
          <w:lang w:val="pt-BR"/>
        </w:rPr>
      </w:pPr>
      <w:r w:rsidRPr="0078038A">
        <w:rPr>
          <w:rFonts w:cs="Times New Roman"/>
          <w:b/>
          <w:szCs w:val="24"/>
          <w:lang w:val="pt-BR"/>
        </w:rPr>
        <w:br w:type="page"/>
      </w:r>
    </w:p>
    <w:p w14:paraId="141E47BB" w14:textId="52CC1CB2" w:rsidR="00650DE7" w:rsidRPr="0078038A" w:rsidRDefault="00000000" w:rsidP="0078038A">
      <w:pPr>
        <w:spacing w:before="160" w:afterLines="160" w:after="384"/>
        <w:ind w:firstLine="0"/>
        <w:rPr>
          <w:rFonts w:cs="Times New Roman"/>
          <w:szCs w:val="24"/>
          <w:lang w:val="pt-BR"/>
        </w:rPr>
      </w:pPr>
      <w:r w:rsidRPr="0078038A">
        <w:rPr>
          <w:rFonts w:cs="Times New Roman"/>
          <w:b/>
          <w:szCs w:val="24"/>
          <w:lang w:val="pt-BR"/>
        </w:rPr>
        <w:lastRenderedPageBreak/>
        <w:t>1</w:t>
      </w:r>
      <w:r w:rsidR="00DE7A5E" w:rsidRPr="0078038A">
        <w:rPr>
          <w:rFonts w:cs="Times New Roman"/>
          <w:b/>
          <w:szCs w:val="24"/>
          <w:lang w:val="pt-BR"/>
        </w:rPr>
        <w:t>.</w:t>
      </w:r>
      <w:r w:rsidRPr="0078038A">
        <w:rPr>
          <w:rFonts w:cs="Times New Roman"/>
          <w:b/>
          <w:szCs w:val="24"/>
          <w:lang w:val="pt-BR"/>
        </w:rPr>
        <w:t xml:space="preserve"> INTRODUÇÃO</w:t>
      </w:r>
    </w:p>
    <w:p w14:paraId="68B27A24" w14:textId="4D9F8FD5"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 Programa Atena nasceu em 2021 a partir da seleção pública promovida pelo Fundo Positivo LGBTQIA+, em parceria com a Aliança Nacional LGBTI+ e o Grupo Arco-Íris de Cidadania LGBT. Desde o início, sua finalidade foi</w:t>
      </w:r>
      <w:r w:rsidR="00070A07" w:rsidRPr="0078038A">
        <w:rPr>
          <w:rFonts w:cs="Times New Roman"/>
          <w:szCs w:val="24"/>
          <w:lang w:val="pt-BR"/>
        </w:rPr>
        <w:t xml:space="preserve"> de </w:t>
      </w:r>
      <w:r w:rsidRPr="0078038A">
        <w:rPr>
          <w:rFonts w:cs="Times New Roman"/>
          <w:szCs w:val="24"/>
          <w:lang w:val="pt-BR"/>
        </w:rPr>
        <w:t xml:space="preserve">mapear, avaliar, monitorar, formar e difundir o conhecimento sobre políticas públicas voltadas para a promoção da cidadania e para o enfrentamento da violência contra a população LGBTI+ no Brasil. Em um cenário marcado pela ausência de dados </w:t>
      </w:r>
      <w:r w:rsidR="00070A07" w:rsidRPr="0078038A">
        <w:rPr>
          <w:rFonts w:cs="Times New Roman"/>
          <w:szCs w:val="24"/>
          <w:lang w:val="pt-BR"/>
        </w:rPr>
        <w:t xml:space="preserve">públicos </w:t>
      </w:r>
      <w:r w:rsidRPr="0078038A">
        <w:rPr>
          <w:rFonts w:cs="Times New Roman"/>
          <w:szCs w:val="24"/>
          <w:lang w:val="pt-BR"/>
        </w:rPr>
        <w:t>sistematizados e pela dificuldade de acesso a informações sobre políticas públicas, o Programa Atena consolidou-se como uma iniciativa inédita, estratégica e transformadora.</w:t>
      </w:r>
    </w:p>
    <w:p w14:paraId="4924D9E1" w14:textId="77777777" w:rsidR="003D5BE3"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fase 3, dedicada ao governo federal, </w:t>
      </w:r>
      <w:r w:rsidR="00070A07" w:rsidRPr="0078038A">
        <w:rPr>
          <w:rFonts w:cs="Times New Roman"/>
          <w:szCs w:val="24"/>
          <w:lang w:val="pt-BR"/>
        </w:rPr>
        <w:t xml:space="preserve">iniciou-se em fevereiro de 2025, </w:t>
      </w:r>
      <w:r w:rsidRPr="0078038A">
        <w:rPr>
          <w:rFonts w:cs="Times New Roman"/>
          <w:szCs w:val="24"/>
          <w:lang w:val="pt-BR"/>
        </w:rPr>
        <w:t>representa</w:t>
      </w:r>
      <w:r w:rsidR="00070A07" w:rsidRPr="0078038A">
        <w:rPr>
          <w:rFonts w:cs="Times New Roman"/>
          <w:szCs w:val="24"/>
          <w:lang w:val="pt-BR"/>
        </w:rPr>
        <w:t>ndo</w:t>
      </w:r>
      <w:r w:rsidRPr="0078038A">
        <w:rPr>
          <w:rFonts w:cs="Times New Roman"/>
          <w:szCs w:val="24"/>
          <w:lang w:val="pt-BR"/>
        </w:rPr>
        <w:t xml:space="preserve"> a consolidação de um ciclo de pesquisa e advocacy, que </w:t>
      </w:r>
      <w:r w:rsidR="00070A07" w:rsidRPr="0078038A">
        <w:rPr>
          <w:rFonts w:cs="Times New Roman"/>
          <w:szCs w:val="24"/>
          <w:lang w:val="pt-BR"/>
        </w:rPr>
        <w:t>mapeou E</w:t>
      </w:r>
      <w:r w:rsidRPr="0078038A">
        <w:rPr>
          <w:rFonts w:cs="Times New Roman"/>
          <w:szCs w:val="24"/>
          <w:lang w:val="pt-BR"/>
        </w:rPr>
        <w:t>stados</w:t>
      </w:r>
      <w:r w:rsidR="00070A07" w:rsidRPr="0078038A">
        <w:rPr>
          <w:rFonts w:cs="Times New Roman"/>
          <w:szCs w:val="24"/>
          <w:lang w:val="pt-BR"/>
        </w:rPr>
        <w:t xml:space="preserve"> e Distrito Federal (fase 01, 2021/2022)</w:t>
      </w:r>
      <w:r w:rsidRPr="0078038A">
        <w:rPr>
          <w:rFonts w:cs="Times New Roman"/>
          <w:szCs w:val="24"/>
          <w:lang w:val="pt-BR"/>
        </w:rPr>
        <w:t xml:space="preserve">, capitais </w:t>
      </w:r>
      <w:r w:rsidR="00070A07" w:rsidRPr="0078038A">
        <w:rPr>
          <w:rFonts w:cs="Times New Roman"/>
          <w:szCs w:val="24"/>
          <w:lang w:val="pt-BR"/>
        </w:rPr>
        <w:t xml:space="preserve">(fase 02, 2023/2024) </w:t>
      </w:r>
      <w:r w:rsidRPr="0078038A">
        <w:rPr>
          <w:rFonts w:cs="Times New Roman"/>
          <w:szCs w:val="24"/>
          <w:lang w:val="pt-BR"/>
        </w:rPr>
        <w:t xml:space="preserve">e, por fim, a instância federal para construir um panorama abrangente das políticas públicas voltadas para a cidadania e para o enfrentamento da violência contra pessoas LGBTI+ no Brasil. O objeto </w:t>
      </w:r>
      <w:r w:rsidR="00070A07" w:rsidRPr="0078038A">
        <w:rPr>
          <w:rFonts w:cs="Times New Roman"/>
          <w:szCs w:val="24"/>
          <w:lang w:val="pt-BR"/>
        </w:rPr>
        <w:t xml:space="preserve">da </w:t>
      </w:r>
      <w:r w:rsidRPr="0078038A">
        <w:rPr>
          <w:rFonts w:cs="Times New Roman"/>
          <w:szCs w:val="24"/>
          <w:lang w:val="pt-BR"/>
        </w:rPr>
        <w:t>pesquisa são as políticas públicas voltadas para a população LGBTI+ em nível federal, aqui entendidas de forma ampla e abrangente como estruturas administrativas, normativas e programáticas do poder público federal na promoção da cidadania. Isso inclui órgãos gestores, conselhos, planos e programas, bem como o exame da legislação aplicável, das previsões orçamentárias e da efetividade da implementação dessas políticas.</w:t>
      </w:r>
    </w:p>
    <w:p w14:paraId="6B358991" w14:textId="1C6433EA" w:rsidR="00070A0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adaptação do </w:t>
      </w:r>
      <w:r w:rsidR="00070A07" w:rsidRPr="0078038A">
        <w:rPr>
          <w:rFonts w:cs="Times New Roman"/>
          <w:szCs w:val="24"/>
          <w:lang w:val="pt-BR"/>
        </w:rPr>
        <w:t>R</w:t>
      </w:r>
      <w:r w:rsidRPr="0078038A">
        <w:rPr>
          <w:rFonts w:cs="Times New Roman"/>
          <w:szCs w:val="24"/>
          <w:lang w:val="pt-BR"/>
        </w:rPr>
        <w:t xml:space="preserve">elatório </w:t>
      </w:r>
      <w:r w:rsidR="00070A07" w:rsidRPr="0078038A">
        <w:rPr>
          <w:rFonts w:cs="Times New Roman"/>
          <w:szCs w:val="24"/>
          <w:lang w:val="pt-BR"/>
        </w:rPr>
        <w:t xml:space="preserve">Final da pesquisa e do seu Resumo Executivo </w:t>
      </w:r>
      <w:r w:rsidRPr="0078038A">
        <w:rPr>
          <w:rFonts w:cs="Times New Roman"/>
          <w:szCs w:val="24"/>
          <w:lang w:val="pt-BR"/>
        </w:rPr>
        <w:t xml:space="preserve">ao eixo temático “Políticas de Estado e de Governo” decorre de uma constatação recorrente ao longo da pesquisa: </w:t>
      </w:r>
      <w:r w:rsidR="00070A07" w:rsidRPr="0078038A">
        <w:rPr>
          <w:rFonts w:cs="Times New Roman"/>
          <w:szCs w:val="24"/>
          <w:lang w:val="pt-BR"/>
        </w:rPr>
        <w:t>estamos vivendo numa “nova primavera” na qual as políticas públicas, após um período de desmanche institucional invernal (2019-2023), passam por valorização e reestruturação, ficando evidente a necessidade de</w:t>
      </w:r>
      <w:r w:rsidR="003D5BE3" w:rsidRPr="0078038A">
        <w:rPr>
          <w:rFonts w:cs="Times New Roman"/>
          <w:szCs w:val="24"/>
          <w:lang w:val="pt-BR"/>
        </w:rPr>
        <w:t xml:space="preserve"> i) </w:t>
      </w:r>
      <w:r w:rsidR="003D5BE3" w:rsidRPr="0078038A">
        <w:rPr>
          <w:rFonts w:cs="Times New Roman"/>
          <w:szCs w:val="24"/>
          <w:lang w:val="pt-BR"/>
        </w:rPr>
        <w:t>criação de uma Política Nacional de Desenvolvimento de</w:t>
      </w:r>
      <w:r w:rsidR="003D5BE3" w:rsidRPr="0078038A">
        <w:rPr>
          <w:rFonts w:cs="Times New Roman"/>
          <w:szCs w:val="24"/>
          <w:lang w:val="pt-BR"/>
        </w:rPr>
        <w:t xml:space="preserve"> </w:t>
      </w:r>
      <w:r w:rsidR="003D5BE3" w:rsidRPr="0078038A">
        <w:rPr>
          <w:rFonts w:cs="Times New Roman"/>
          <w:szCs w:val="24"/>
          <w:lang w:val="pt-BR"/>
        </w:rPr>
        <w:t>Políticas Públicas Matriciais LGBTI+</w:t>
      </w:r>
      <w:r w:rsidR="003D5BE3" w:rsidRPr="0078038A">
        <w:rPr>
          <w:rFonts w:cs="Times New Roman"/>
          <w:szCs w:val="24"/>
          <w:lang w:val="pt-BR"/>
        </w:rPr>
        <w:t xml:space="preserve"> </w:t>
      </w:r>
      <w:r w:rsidR="003D5BE3" w:rsidRPr="0078038A">
        <w:rPr>
          <w:rFonts w:cs="Times New Roman"/>
          <w:szCs w:val="24"/>
          <w:lang w:val="pt-BR"/>
        </w:rPr>
        <w:t>voltada especialmente</w:t>
      </w:r>
      <w:r w:rsidR="003D5BE3" w:rsidRPr="0078038A">
        <w:rPr>
          <w:rFonts w:cs="Times New Roman"/>
          <w:szCs w:val="24"/>
          <w:lang w:val="pt-BR"/>
        </w:rPr>
        <w:t xml:space="preserve"> </w:t>
      </w:r>
      <w:r w:rsidR="003D5BE3" w:rsidRPr="0078038A">
        <w:rPr>
          <w:rFonts w:cs="Times New Roman"/>
          <w:szCs w:val="24"/>
          <w:lang w:val="pt-BR"/>
        </w:rPr>
        <w:t>à criação e estruturação de órgão gestor e conselho</w:t>
      </w:r>
      <w:r w:rsidR="003D5BE3" w:rsidRPr="0078038A">
        <w:rPr>
          <w:rFonts w:cs="Times New Roman"/>
          <w:szCs w:val="24"/>
          <w:lang w:val="pt-BR"/>
        </w:rPr>
        <w:t xml:space="preserve"> </w:t>
      </w:r>
      <w:r w:rsidR="003D5BE3" w:rsidRPr="0078038A">
        <w:rPr>
          <w:rFonts w:cs="Times New Roman"/>
          <w:szCs w:val="24"/>
          <w:lang w:val="pt-BR"/>
        </w:rPr>
        <w:t>em todas as unidades da federação</w:t>
      </w:r>
      <w:r w:rsidR="003D5BE3" w:rsidRPr="0078038A">
        <w:rPr>
          <w:rFonts w:cs="Times New Roman"/>
          <w:szCs w:val="24"/>
          <w:lang w:val="pt-BR"/>
        </w:rPr>
        <w:t xml:space="preserve">, </w:t>
      </w:r>
      <w:proofErr w:type="spellStart"/>
      <w:r w:rsidR="003D5BE3" w:rsidRPr="0078038A">
        <w:rPr>
          <w:rFonts w:cs="Times New Roman"/>
          <w:szCs w:val="24"/>
          <w:lang w:val="pt-BR"/>
        </w:rPr>
        <w:t>ii</w:t>
      </w:r>
      <w:proofErr w:type="spellEnd"/>
      <w:r w:rsidR="003D5BE3" w:rsidRPr="0078038A">
        <w:rPr>
          <w:rFonts w:cs="Times New Roman"/>
          <w:szCs w:val="24"/>
          <w:lang w:val="pt-BR"/>
        </w:rPr>
        <w:t xml:space="preserve">) criação de um </w:t>
      </w:r>
      <w:r w:rsidR="003D5BE3" w:rsidRPr="0078038A">
        <w:rPr>
          <w:rFonts w:cs="Times New Roman"/>
          <w:szCs w:val="24"/>
          <w:lang w:val="pt-BR"/>
        </w:rPr>
        <w:t>Fundo Nacional</w:t>
      </w:r>
      <w:r w:rsidR="003D5BE3" w:rsidRPr="0078038A">
        <w:rPr>
          <w:rFonts w:cs="Times New Roman"/>
          <w:szCs w:val="24"/>
          <w:lang w:val="pt-BR"/>
        </w:rPr>
        <w:t xml:space="preserve"> </w:t>
      </w:r>
      <w:r w:rsidR="003D5BE3" w:rsidRPr="0078038A">
        <w:rPr>
          <w:rFonts w:cs="Times New Roman"/>
          <w:szCs w:val="24"/>
          <w:lang w:val="pt-BR"/>
        </w:rPr>
        <w:t>dedicado à pauta, com regras de acesso e prestação</w:t>
      </w:r>
      <w:r w:rsidR="003D5BE3" w:rsidRPr="0078038A">
        <w:rPr>
          <w:rFonts w:cs="Times New Roman"/>
          <w:szCs w:val="24"/>
          <w:lang w:val="pt-BR"/>
        </w:rPr>
        <w:t xml:space="preserve"> </w:t>
      </w:r>
      <w:r w:rsidR="003D5BE3" w:rsidRPr="0078038A">
        <w:rPr>
          <w:rFonts w:cs="Times New Roman"/>
          <w:szCs w:val="24"/>
          <w:lang w:val="pt-BR"/>
        </w:rPr>
        <w:t>de contas</w:t>
      </w:r>
      <w:r w:rsidR="003D5BE3" w:rsidRPr="0078038A">
        <w:rPr>
          <w:rFonts w:cs="Times New Roman"/>
          <w:szCs w:val="24"/>
          <w:lang w:val="pt-BR"/>
        </w:rPr>
        <w:t xml:space="preserve">, </w:t>
      </w:r>
      <w:proofErr w:type="spellStart"/>
      <w:r w:rsidR="003D5BE3" w:rsidRPr="0078038A">
        <w:rPr>
          <w:rFonts w:cs="Times New Roman"/>
          <w:szCs w:val="24"/>
          <w:lang w:val="pt-BR"/>
        </w:rPr>
        <w:t>iii</w:t>
      </w:r>
      <w:proofErr w:type="spellEnd"/>
      <w:r w:rsidR="003D5BE3" w:rsidRPr="0078038A">
        <w:rPr>
          <w:rFonts w:cs="Times New Roman"/>
          <w:szCs w:val="24"/>
          <w:lang w:val="pt-BR"/>
        </w:rPr>
        <w:t xml:space="preserve">) criação de um </w:t>
      </w:r>
      <w:r w:rsidR="003D5BE3" w:rsidRPr="0078038A">
        <w:rPr>
          <w:rFonts w:cs="Times New Roman"/>
          <w:szCs w:val="24"/>
          <w:lang w:val="pt-BR"/>
        </w:rPr>
        <w:t>Plano Nacional LGBTI+, com metas,</w:t>
      </w:r>
      <w:r w:rsidR="003D5BE3" w:rsidRPr="0078038A">
        <w:rPr>
          <w:rFonts w:cs="Times New Roman"/>
          <w:szCs w:val="24"/>
          <w:lang w:val="pt-BR"/>
        </w:rPr>
        <w:t xml:space="preserve"> </w:t>
      </w:r>
      <w:r w:rsidR="003D5BE3" w:rsidRPr="0078038A">
        <w:rPr>
          <w:rFonts w:cs="Times New Roman"/>
          <w:szCs w:val="24"/>
          <w:lang w:val="pt-BR"/>
        </w:rPr>
        <w:t>indicadores e governança no monitoramento</w:t>
      </w:r>
      <w:r w:rsidR="003D5BE3" w:rsidRPr="0078038A">
        <w:rPr>
          <w:rFonts w:cs="Times New Roman"/>
          <w:szCs w:val="24"/>
          <w:lang w:val="pt-BR"/>
        </w:rPr>
        <w:t xml:space="preserve">, </w:t>
      </w:r>
      <w:proofErr w:type="spellStart"/>
      <w:r w:rsidR="003D5BE3" w:rsidRPr="0078038A">
        <w:rPr>
          <w:rFonts w:cs="Times New Roman"/>
          <w:szCs w:val="24"/>
          <w:lang w:val="pt-BR"/>
        </w:rPr>
        <w:t>iv</w:t>
      </w:r>
      <w:proofErr w:type="spellEnd"/>
      <w:r w:rsidR="003D5BE3" w:rsidRPr="0078038A">
        <w:rPr>
          <w:rFonts w:cs="Times New Roman"/>
          <w:szCs w:val="24"/>
          <w:lang w:val="pt-BR"/>
        </w:rPr>
        <w:t>) estabelecimento de uma P</w:t>
      </w:r>
      <w:r w:rsidR="003D5BE3" w:rsidRPr="0078038A">
        <w:rPr>
          <w:rFonts w:cs="Times New Roman"/>
          <w:szCs w:val="24"/>
          <w:lang w:val="pt-BR"/>
        </w:rPr>
        <w:t>olítica</w:t>
      </w:r>
      <w:r w:rsidR="003D5BE3" w:rsidRPr="0078038A">
        <w:rPr>
          <w:rFonts w:cs="Times New Roman"/>
          <w:szCs w:val="24"/>
          <w:lang w:val="pt-BR"/>
        </w:rPr>
        <w:t xml:space="preserve"> </w:t>
      </w:r>
      <w:r w:rsidR="003D5BE3" w:rsidRPr="0078038A">
        <w:rPr>
          <w:rFonts w:cs="Times New Roman"/>
          <w:szCs w:val="24"/>
          <w:lang w:val="pt-BR"/>
        </w:rPr>
        <w:t xml:space="preserve">de </w:t>
      </w:r>
      <w:r w:rsidR="003D5BE3" w:rsidRPr="0078038A">
        <w:rPr>
          <w:rFonts w:cs="Times New Roman"/>
          <w:szCs w:val="24"/>
          <w:lang w:val="pt-BR"/>
        </w:rPr>
        <w:t>Coparticipação</w:t>
      </w:r>
      <w:r w:rsidR="003D5BE3" w:rsidRPr="0078038A">
        <w:rPr>
          <w:rFonts w:cs="Times New Roman"/>
          <w:szCs w:val="24"/>
          <w:lang w:val="pt-BR"/>
        </w:rPr>
        <w:t xml:space="preserve"> (cooperação técnica + participação</w:t>
      </w:r>
      <w:r w:rsidR="003D5BE3" w:rsidRPr="0078038A">
        <w:rPr>
          <w:rFonts w:cs="Times New Roman"/>
          <w:szCs w:val="24"/>
          <w:lang w:val="pt-BR"/>
        </w:rPr>
        <w:t xml:space="preserve"> </w:t>
      </w:r>
      <w:r w:rsidR="003D5BE3" w:rsidRPr="0078038A">
        <w:rPr>
          <w:rFonts w:cs="Times New Roman"/>
          <w:szCs w:val="24"/>
          <w:lang w:val="pt-BR"/>
        </w:rPr>
        <w:t>social), articulando união, estados, municípios e sociedade</w:t>
      </w:r>
      <w:r w:rsidR="003D5BE3" w:rsidRPr="0078038A">
        <w:rPr>
          <w:rFonts w:cs="Times New Roman"/>
          <w:szCs w:val="24"/>
          <w:lang w:val="pt-BR"/>
        </w:rPr>
        <w:t xml:space="preserve"> </w:t>
      </w:r>
      <w:r w:rsidR="003D5BE3" w:rsidRPr="0078038A">
        <w:rPr>
          <w:rFonts w:cs="Times New Roman"/>
          <w:szCs w:val="24"/>
          <w:lang w:val="pt-BR"/>
        </w:rPr>
        <w:t>civil</w:t>
      </w:r>
      <w:r w:rsidR="003D5BE3" w:rsidRPr="0078038A">
        <w:rPr>
          <w:rFonts w:cs="Times New Roman"/>
          <w:szCs w:val="24"/>
          <w:lang w:val="pt-BR"/>
        </w:rPr>
        <w:t xml:space="preserve">, </w:t>
      </w:r>
      <w:r w:rsidR="003D5BE3" w:rsidRPr="0078038A">
        <w:rPr>
          <w:rFonts w:cs="Times New Roman"/>
          <w:szCs w:val="24"/>
          <w:lang w:val="pt-BR"/>
        </w:rPr>
        <w:t>e v) Mecanismo</w:t>
      </w:r>
      <w:r w:rsidR="003D5BE3" w:rsidRPr="0078038A">
        <w:rPr>
          <w:rFonts w:cs="Times New Roman"/>
          <w:szCs w:val="24"/>
          <w:lang w:val="pt-BR"/>
        </w:rPr>
        <w:t>s</w:t>
      </w:r>
      <w:r w:rsidR="003D5BE3" w:rsidRPr="0078038A">
        <w:rPr>
          <w:rFonts w:cs="Times New Roman"/>
          <w:szCs w:val="24"/>
          <w:lang w:val="pt-BR"/>
        </w:rPr>
        <w:t xml:space="preserve"> de cofinanciamento federativo,</w:t>
      </w:r>
      <w:r w:rsidR="003D5BE3" w:rsidRPr="0078038A">
        <w:rPr>
          <w:rFonts w:cs="Times New Roman"/>
          <w:szCs w:val="24"/>
          <w:lang w:val="pt-BR"/>
        </w:rPr>
        <w:t xml:space="preserve"> </w:t>
      </w:r>
      <w:r w:rsidR="003D5BE3" w:rsidRPr="0078038A">
        <w:rPr>
          <w:rFonts w:cs="Times New Roman"/>
          <w:szCs w:val="24"/>
          <w:lang w:val="pt-BR"/>
        </w:rPr>
        <w:t>que premie adesão, desempenho e transparência.</w:t>
      </w:r>
    </w:p>
    <w:p w14:paraId="0850AF98" w14:textId="77777777" w:rsidR="00070A07" w:rsidRPr="0078038A" w:rsidRDefault="00070A07" w:rsidP="0078038A">
      <w:pPr>
        <w:spacing w:before="120" w:after="120"/>
        <w:ind w:firstLine="0"/>
        <w:rPr>
          <w:rFonts w:cs="Times New Roman"/>
          <w:szCs w:val="24"/>
          <w:lang w:val="pt-BR"/>
        </w:rPr>
      </w:pPr>
    </w:p>
    <w:p w14:paraId="79C337D7" w14:textId="77777777" w:rsidR="003D5BE3" w:rsidRPr="0078038A" w:rsidRDefault="00000000" w:rsidP="0078038A">
      <w:pPr>
        <w:spacing w:before="120" w:after="120"/>
        <w:ind w:firstLine="0"/>
        <w:rPr>
          <w:rFonts w:cs="Times New Roman"/>
          <w:b/>
          <w:bCs/>
          <w:szCs w:val="24"/>
          <w:lang w:val="pt-BR"/>
        </w:rPr>
      </w:pPr>
      <w:r w:rsidRPr="0078038A">
        <w:rPr>
          <w:rFonts w:cs="Times New Roman"/>
          <w:szCs w:val="24"/>
          <w:lang w:val="pt-BR"/>
        </w:rPr>
        <w:lastRenderedPageBreak/>
        <w:t xml:space="preserve">Nesse sentido, o relato de pesquisa parte de um problema central: </w:t>
      </w:r>
      <w:r w:rsidRPr="0078038A">
        <w:rPr>
          <w:rFonts w:cs="Times New Roman"/>
          <w:b/>
          <w:bCs/>
          <w:szCs w:val="24"/>
          <w:lang w:val="pt-BR"/>
        </w:rPr>
        <w:t xml:space="preserve">quais fatores explicam a oscilação histórica das políticas públicas LGBTI+ no governo federal brasileiro e quais caminhos podem reduzir sua dependência de conjunturas governamentais? </w:t>
      </w:r>
    </w:p>
    <w:p w14:paraId="23CFEDE0" w14:textId="63EBD201"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justificativa </w:t>
      </w:r>
      <w:r w:rsidR="00B07917" w:rsidRPr="0078038A">
        <w:rPr>
          <w:rFonts w:cs="Times New Roman"/>
          <w:szCs w:val="24"/>
          <w:lang w:val="pt-BR"/>
        </w:rPr>
        <w:t xml:space="preserve">parte da </w:t>
      </w:r>
      <w:r w:rsidRPr="0078038A">
        <w:rPr>
          <w:rFonts w:cs="Times New Roman"/>
          <w:szCs w:val="24"/>
          <w:lang w:val="pt-BR"/>
        </w:rPr>
        <w:t xml:space="preserve">forte fragmentação de informações sobre a agenda LGBTI+ </w:t>
      </w:r>
      <w:r w:rsidR="00B07917" w:rsidRPr="0078038A">
        <w:rPr>
          <w:rFonts w:cs="Times New Roman"/>
          <w:szCs w:val="24"/>
          <w:lang w:val="pt-BR"/>
        </w:rPr>
        <w:t xml:space="preserve">a nível </w:t>
      </w:r>
      <w:r w:rsidRPr="0078038A">
        <w:rPr>
          <w:rFonts w:cs="Times New Roman"/>
          <w:szCs w:val="24"/>
          <w:lang w:val="pt-BR"/>
        </w:rPr>
        <w:t>federal, o que dificulta diagnósticos comparáveis</w:t>
      </w:r>
      <w:r w:rsidR="00B07917" w:rsidRPr="0078038A">
        <w:rPr>
          <w:rFonts w:cs="Times New Roman"/>
          <w:szCs w:val="24"/>
          <w:lang w:val="pt-BR"/>
        </w:rPr>
        <w:t xml:space="preserve">, além da ausência de pesquisas qualificadas, especialmente públicas por meio de órgãos de pesquisa e fomento, tais como IPEA e IBGE, o que dificulta e (muitas vezes) impede análises mais complexas sobre o diagnóstico de um problema estratégico para o avanço da pauta e determinação das necessidades para o desenvolvimento de políticas públicas. </w:t>
      </w:r>
    </w:p>
    <w:p w14:paraId="7AE565DD" w14:textId="4F62EE22"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pesquisa dialoga diretamente com </w:t>
      </w:r>
      <w:r w:rsidR="00B07917" w:rsidRPr="0078038A">
        <w:rPr>
          <w:rFonts w:cs="Times New Roman"/>
          <w:szCs w:val="24"/>
          <w:lang w:val="pt-BR"/>
        </w:rPr>
        <w:t xml:space="preserve">o tema deste eixo temático acerca da </w:t>
      </w:r>
      <w:r w:rsidRPr="0078038A">
        <w:rPr>
          <w:rFonts w:cs="Times New Roman"/>
          <w:szCs w:val="24"/>
          <w:lang w:val="pt-BR"/>
        </w:rPr>
        <w:t>distinção entre políticas de governo e políticas de Estado. No caso em exame, essa distinção é particularmente relevante porque a trajetória LGBTI+ na esfera federal foi marcada por ciclos muito nítidos de ascensão, consolidação relativa, inflexão, desmonte e recomposição. De forma geral, observamos quatro fases distintas entre 1990 e 2025. A primeira fase</w:t>
      </w:r>
      <w:r w:rsidR="00B07917" w:rsidRPr="0078038A">
        <w:rPr>
          <w:rFonts w:cs="Times New Roman"/>
          <w:szCs w:val="24"/>
          <w:lang w:val="pt-BR"/>
        </w:rPr>
        <w:t xml:space="preserve"> (</w:t>
      </w:r>
      <w:r w:rsidRPr="0078038A">
        <w:rPr>
          <w:rFonts w:cs="Times New Roman"/>
          <w:szCs w:val="24"/>
          <w:lang w:val="pt-BR"/>
        </w:rPr>
        <w:t>1990</w:t>
      </w:r>
      <w:r w:rsidR="00B07917" w:rsidRPr="0078038A">
        <w:rPr>
          <w:rFonts w:cs="Times New Roman"/>
          <w:szCs w:val="24"/>
          <w:lang w:val="pt-BR"/>
        </w:rPr>
        <w:t>-</w:t>
      </w:r>
      <w:r w:rsidRPr="0078038A">
        <w:rPr>
          <w:rFonts w:cs="Times New Roman"/>
          <w:szCs w:val="24"/>
          <w:lang w:val="pt-BR"/>
        </w:rPr>
        <w:t>2002</w:t>
      </w:r>
      <w:r w:rsidR="00B07917" w:rsidRPr="0078038A">
        <w:rPr>
          <w:rFonts w:cs="Times New Roman"/>
          <w:szCs w:val="24"/>
          <w:lang w:val="pt-BR"/>
        </w:rPr>
        <w:t>)</w:t>
      </w:r>
      <w:r w:rsidRPr="0078038A">
        <w:rPr>
          <w:rFonts w:cs="Times New Roman"/>
          <w:szCs w:val="24"/>
          <w:lang w:val="pt-BR"/>
        </w:rPr>
        <w:t>,</w:t>
      </w:r>
      <w:r w:rsidR="00B07917" w:rsidRPr="0078038A">
        <w:rPr>
          <w:rFonts w:cs="Times New Roman"/>
          <w:szCs w:val="24"/>
          <w:lang w:val="pt-BR"/>
        </w:rPr>
        <w:t xml:space="preserve"> primavera,</w:t>
      </w:r>
      <w:r w:rsidRPr="0078038A">
        <w:rPr>
          <w:rFonts w:cs="Times New Roman"/>
          <w:szCs w:val="24"/>
          <w:lang w:val="pt-BR"/>
        </w:rPr>
        <w:t xml:space="preserve"> compreende a construção de bases institucionais; a segunda</w:t>
      </w:r>
      <w:r w:rsidR="00B07917" w:rsidRPr="0078038A">
        <w:rPr>
          <w:rFonts w:cs="Times New Roman"/>
          <w:szCs w:val="24"/>
          <w:lang w:val="pt-BR"/>
        </w:rPr>
        <w:t xml:space="preserve"> (</w:t>
      </w:r>
      <w:r w:rsidRPr="0078038A">
        <w:rPr>
          <w:rFonts w:cs="Times New Roman"/>
          <w:szCs w:val="24"/>
          <w:lang w:val="pt-BR"/>
        </w:rPr>
        <w:t>2003 e 2015</w:t>
      </w:r>
      <w:r w:rsidR="00B07917" w:rsidRPr="0078038A">
        <w:rPr>
          <w:rFonts w:cs="Times New Roman"/>
          <w:szCs w:val="24"/>
          <w:lang w:val="pt-BR"/>
        </w:rPr>
        <w:t>)</w:t>
      </w:r>
      <w:r w:rsidRPr="0078038A">
        <w:rPr>
          <w:rFonts w:cs="Times New Roman"/>
          <w:szCs w:val="24"/>
          <w:lang w:val="pt-BR"/>
        </w:rPr>
        <w:t>,</w:t>
      </w:r>
      <w:r w:rsidR="00B07917" w:rsidRPr="0078038A">
        <w:rPr>
          <w:rFonts w:cs="Times New Roman"/>
          <w:szCs w:val="24"/>
          <w:lang w:val="pt-BR"/>
        </w:rPr>
        <w:t xml:space="preserve"> verão,</w:t>
      </w:r>
      <w:r w:rsidRPr="0078038A">
        <w:rPr>
          <w:rFonts w:cs="Times New Roman"/>
          <w:szCs w:val="24"/>
          <w:lang w:val="pt-BR"/>
        </w:rPr>
        <w:t xml:space="preserve"> corresponde ao período de maior florescimento da agenda; a terceira, </w:t>
      </w:r>
      <w:r w:rsidR="00B07917" w:rsidRPr="0078038A">
        <w:rPr>
          <w:rFonts w:cs="Times New Roman"/>
          <w:szCs w:val="24"/>
          <w:lang w:val="pt-BR"/>
        </w:rPr>
        <w:t>(</w:t>
      </w:r>
      <w:r w:rsidRPr="0078038A">
        <w:rPr>
          <w:rFonts w:cs="Times New Roman"/>
          <w:szCs w:val="24"/>
          <w:lang w:val="pt-BR"/>
        </w:rPr>
        <w:t>2015</w:t>
      </w:r>
      <w:r w:rsidR="00B07917" w:rsidRPr="0078038A">
        <w:rPr>
          <w:rFonts w:cs="Times New Roman"/>
          <w:szCs w:val="24"/>
          <w:lang w:val="pt-BR"/>
        </w:rPr>
        <w:t>-</w:t>
      </w:r>
      <w:r w:rsidRPr="0078038A">
        <w:rPr>
          <w:rFonts w:cs="Times New Roman"/>
          <w:szCs w:val="24"/>
          <w:lang w:val="pt-BR"/>
        </w:rPr>
        <w:t>2019</w:t>
      </w:r>
      <w:r w:rsidR="00B07917" w:rsidRPr="0078038A">
        <w:rPr>
          <w:rFonts w:cs="Times New Roman"/>
          <w:szCs w:val="24"/>
          <w:lang w:val="pt-BR"/>
        </w:rPr>
        <w:t>). outono</w:t>
      </w:r>
      <w:r w:rsidRPr="0078038A">
        <w:rPr>
          <w:rFonts w:cs="Times New Roman"/>
          <w:szCs w:val="24"/>
          <w:lang w:val="pt-BR"/>
        </w:rPr>
        <w:t>, expressa um momento de transição, perda de centralidade e fragmentação</w:t>
      </w:r>
      <w:r w:rsidR="00B07917" w:rsidRPr="0078038A">
        <w:rPr>
          <w:rFonts w:cs="Times New Roman"/>
          <w:szCs w:val="24"/>
          <w:lang w:val="pt-BR"/>
        </w:rPr>
        <w:t xml:space="preserve"> política institucional</w:t>
      </w:r>
      <w:r w:rsidRPr="0078038A">
        <w:rPr>
          <w:rFonts w:cs="Times New Roman"/>
          <w:szCs w:val="24"/>
          <w:lang w:val="pt-BR"/>
        </w:rPr>
        <w:t xml:space="preserve">; a quarta, </w:t>
      </w:r>
      <w:r w:rsidR="00B07917" w:rsidRPr="0078038A">
        <w:rPr>
          <w:rFonts w:cs="Times New Roman"/>
          <w:szCs w:val="24"/>
          <w:lang w:val="pt-BR"/>
        </w:rPr>
        <w:t>(</w:t>
      </w:r>
      <w:r w:rsidRPr="0078038A">
        <w:rPr>
          <w:rFonts w:cs="Times New Roman"/>
          <w:szCs w:val="24"/>
          <w:lang w:val="pt-BR"/>
        </w:rPr>
        <w:t>2019</w:t>
      </w:r>
      <w:r w:rsidR="00B07917" w:rsidRPr="0078038A">
        <w:rPr>
          <w:rFonts w:cs="Times New Roman"/>
          <w:szCs w:val="24"/>
          <w:lang w:val="pt-BR"/>
        </w:rPr>
        <w:t>-2</w:t>
      </w:r>
      <w:r w:rsidRPr="0078038A">
        <w:rPr>
          <w:rFonts w:cs="Times New Roman"/>
          <w:szCs w:val="24"/>
          <w:lang w:val="pt-BR"/>
        </w:rPr>
        <w:t>022</w:t>
      </w:r>
      <w:r w:rsidR="00B07917" w:rsidRPr="0078038A">
        <w:rPr>
          <w:rFonts w:cs="Times New Roman"/>
          <w:szCs w:val="24"/>
          <w:lang w:val="pt-BR"/>
        </w:rPr>
        <w:t>)</w:t>
      </w:r>
      <w:r w:rsidRPr="0078038A">
        <w:rPr>
          <w:rFonts w:cs="Times New Roman"/>
          <w:szCs w:val="24"/>
          <w:lang w:val="pt-BR"/>
        </w:rPr>
        <w:t>,</w:t>
      </w:r>
      <w:r w:rsidR="00B07917" w:rsidRPr="0078038A">
        <w:rPr>
          <w:rFonts w:cs="Times New Roman"/>
          <w:szCs w:val="24"/>
          <w:lang w:val="pt-BR"/>
        </w:rPr>
        <w:t xml:space="preserve"> inverno, </w:t>
      </w:r>
      <w:r w:rsidRPr="0078038A">
        <w:rPr>
          <w:rFonts w:cs="Times New Roman"/>
          <w:szCs w:val="24"/>
          <w:lang w:val="pt-BR"/>
        </w:rPr>
        <w:t>revela desestruturação mais intensa, rebaixamento e apagamento</w:t>
      </w:r>
      <w:r w:rsidR="00B07917" w:rsidRPr="0078038A">
        <w:rPr>
          <w:rFonts w:cs="Times New Roman"/>
          <w:szCs w:val="24"/>
          <w:lang w:val="pt-BR"/>
        </w:rPr>
        <w:t xml:space="preserve"> das políticas públicas</w:t>
      </w:r>
      <w:r w:rsidRPr="0078038A">
        <w:rPr>
          <w:rFonts w:cs="Times New Roman"/>
          <w:szCs w:val="24"/>
          <w:lang w:val="pt-BR"/>
        </w:rPr>
        <w:t xml:space="preserve">; por fim, o período </w:t>
      </w:r>
      <w:r w:rsidR="00B07917" w:rsidRPr="0078038A">
        <w:rPr>
          <w:rFonts w:cs="Times New Roman"/>
          <w:szCs w:val="24"/>
          <w:lang w:val="pt-BR"/>
        </w:rPr>
        <w:t xml:space="preserve">atual (2023-2026) </w:t>
      </w:r>
      <w:r w:rsidRPr="0078038A">
        <w:rPr>
          <w:rFonts w:cs="Times New Roman"/>
          <w:szCs w:val="24"/>
          <w:lang w:val="pt-BR"/>
        </w:rPr>
        <w:t>sugere uma nova primavera institucional, ainda promissora, porém não plenamente consolidada.</w:t>
      </w:r>
    </w:p>
    <w:p w14:paraId="4D81D807" w14:textId="5EB79C3E"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Ao adaptar a pesquisa do</w:t>
      </w:r>
      <w:r w:rsidR="00B07917" w:rsidRPr="0078038A">
        <w:rPr>
          <w:rFonts w:cs="Times New Roman"/>
          <w:szCs w:val="24"/>
          <w:lang w:val="pt-BR"/>
        </w:rPr>
        <w:t xml:space="preserve"> Programa</w:t>
      </w:r>
      <w:r w:rsidRPr="0078038A">
        <w:rPr>
          <w:rFonts w:cs="Times New Roman"/>
          <w:szCs w:val="24"/>
          <w:lang w:val="pt-BR"/>
        </w:rPr>
        <w:t xml:space="preserve"> Atena Nacional ao formato de relato, preserva-se o máximo possível da linguagem, dos conceitos e das formulações desenvolvidas</w:t>
      </w:r>
      <w:r w:rsidR="00B07917" w:rsidRPr="0078038A">
        <w:rPr>
          <w:rFonts w:cs="Times New Roman"/>
          <w:szCs w:val="24"/>
          <w:lang w:val="pt-BR"/>
        </w:rPr>
        <w:t xml:space="preserve"> ao longo dos anos</w:t>
      </w:r>
      <w:r w:rsidRPr="0078038A">
        <w:rPr>
          <w:rFonts w:cs="Times New Roman"/>
          <w:szCs w:val="24"/>
          <w:lang w:val="pt-BR"/>
        </w:rPr>
        <w:t xml:space="preserve"> </w:t>
      </w:r>
      <w:r w:rsidR="00B07917" w:rsidRPr="0078038A">
        <w:rPr>
          <w:rFonts w:cs="Times New Roman"/>
          <w:szCs w:val="24"/>
          <w:lang w:val="pt-BR"/>
        </w:rPr>
        <w:t xml:space="preserve">a fim de </w:t>
      </w:r>
      <w:r w:rsidRPr="0078038A">
        <w:rPr>
          <w:rFonts w:cs="Times New Roman"/>
          <w:szCs w:val="24"/>
          <w:lang w:val="pt-BR"/>
        </w:rPr>
        <w:t xml:space="preserve">mostrar que a agenda LGBTI+ não pode ser reduzida a ações pontuais, normas isoladas ou iniciativas simbólicas. Para </w:t>
      </w:r>
      <w:r w:rsidR="007F715C" w:rsidRPr="0078038A">
        <w:rPr>
          <w:rFonts w:cs="Times New Roman"/>
          <w:szCs w:val="24"/>
          <w:lang w:val="pt-BR"/>
        </w:rPr>
        <w:t>a pesquisa</w:t>
      </w:r>
      <w:r w:rsidRPr="0078038A">
        <w:rPr>
          <w:rFonts w:cs="Times New Roman"/>
          <w:szCs w:val="24"/>
          <w:lang w:val="pt-BR"/>
        </w:rPr>
        <w:t>,</w:t>
      </w:r>
      <w:r w:rsidR="00B07917" w:rsidRPr="0078038A">
        <w:rPr>
          <w:rFonts w:cs="Times New Roman"/>
          <w:szCs w:val="24"/>
          <w:lang w:val="pt-BR"/>
        </w:rPr>
        <w:t xml:space="preserve"> t</w:t>
      </w:r>
      <w:r w:rsidRPr="0078038A">
        <w:rPr>
          <w:rFonts w:cs="Times New Roman"/>
          <w:szCs w:val="24"/>
          <w:lang w:val="pt-BR"/>
        </w:rPr>
        <w:t xml:space="preserve">rata-se de um conjunto articulado de ações, planos, programas, estruturas e recursos orientados para garantir direitos, reduzir desigualdades e enfrentar a discriminação. Por isso, o estudo utiliza um referencial matricial e sistêmico, que examina o tema a partir da presença </w:t>
      </w:r>
      <w:r w:rsidR="007F715C" w:rsidRPr="0078038A">
        <w:rPr>
          <w:rFonts w:cs="Times New Roman"/>
          <w:szCs w:val="24"/>
          <w:lang w:val="pt-BR"/>
        </w:rPr>
        <w:t xml:space="preserve">do tripé da cidadania, ou seja, </w:t>
      </w:r>
      <w:r w:rsidRPr="0078038A">
        <w:rPr>
          <w:rFonts w:cs="Times New Roman"/>
          <w:szCs w:val="24"/>
          <w:lang w:val="pt-BR"/>
        </w:rPr>
        <w:t>órgão gestor, conselho</w:t>
      </w:r>
      <w:r w:rsidR="007F715C" w:rsidRPr="0078038A">
        <w:rPr>
          <w:rFonts w:cs="Times New Roman"/>
          <w:szCs w:val="24"/>
          <w:lang w:val="pt-BR"/>
        </w:rPr>
        <w:t xml:space="preserve"> e política (</w:t>
      </w:r>
      <w:r w:rsidRPr="0078038A">
        <w:rPr>
          <w:rFonts w:cs="Times New Roman"/>
          <w:szCs w:val="24"/>
          <w:lang w:val="pt-BR"/>
        </w:rPr>
        <w:t>plano/programa</w:t>
      </w:r>
      <w:r w:rsidR="007F715C" w:rsidRPr="0078038A">
        <w:rPr>
          <w:rFonts w:cs="Times New Roman"/>
          <w:szCs w:val="24"/>
          <w:lang w:val="pt-BR"/>
        </w:rPr>
        <w:t xml:space="preserve">) </w:t>
      </w:r>
      <w:r w:rsidRPr="0078038A">
        <w:rPr>
          <w:rFonts w:cs="Times New Roman"/>
          <w:szCs w:val="24"/>
          <w:lang w:val="pt-BR"/>
        </w:rPr>
        <w:t>com orçamento</w:t>
      </w:r>
      <w:r w:rsidR="007F715C" w:rsidRPr="0078038A">
        <w:rPr>
          <w:rFonts w:cs="Times New Roman"/>
          <w:szCs w:val="24"/>
          <w:lang w:val="pt-BR"/>
        </w:rPr>
        <w:t xml:space="preserve"> próprio e </w:t>
      </w:r>
      <w:r w:rsidRPr="0078038A">
        <w:rPr>
          <w:rFonts w:cs="Times New Roman"/>
          <w:szCs w:val="24"/>
          <w:lang w:val="pt-BR"/>
        </w:rPr>
        <w:t>políticas setoriais</w:t>
      </w:r>
      <w:r w:rsidR="007F715C" w:rsidRPr="0078038A">
        <w:rPr>
          <w:rFonts w:cs="Times New Roman"/>
          <w:szCs w:val="24"/>
          <w:lang w:val="pt-BR"/>
        </w:rPr>
        <w:t xml:space="preserve"> dialógicas, bem como </w:t>
      </w:r>
      <w:r w:rsidRPr="0078038A">
        <w:rPr>
          <w:rFonts w:cs="Times New Roman"/>
          <w:szCs w:val="24"/>
          <w:lang w:val="pt-BR"/>
        </w:rPr>
        <w:t xml:space="preserve">instrumentos de </w:t>
      </w:r>
      <w:r w:rsidR="007F715C" w:rsidRPr="0078038A">
        <w:rPr>
          <w:rFonts w:cs="Times New Roman"/>
          <w:szCs w:val="24"/>
          <w:lang w:val="pt-BR"/>
        </w:rPr>
        <w:t xml:space="preserve">garantia de direitos individuais e coletivos. </w:t>
      </w:r>
    </w:p>
    <w:p w14:paraId="6190C66C" w14:textId="349825D1"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hipótese central é que a principal diferença entre uma política de governo e uma política de Estado, no tema LGBTI+, não reside apenas na existência de enunciados favoráveis ou de programas anunciados, mas na combinação entre rigidez normativa, </w:t>
      </w:r>
      <w:r w:rsidR="007F715C" w:rsidRPr="0078038A">
        <w:rPr>
          <w:rFonts w:cs="Times New Roman"/>
          <w:szCs w:val="24"/>
          <w:lang w:val="pt-BR"/>
        </w:rPr>
        <w:t xml:space="preserve">resistência </w:t>
      </w:r>
      <w:r w:rsidRPr="0078038A">
        <w:rPr>
          <w:rFonts w:cs="Times New Roman"/>
          <w:szCs w:val="24"/>
          <w:lang w:val="pt-BR"/>
        </w:rPr>
        <w:t xml:space="preserve">institucional, </w:t>
      </w:r>
      <w:r w:rsidRPr="0078038A">
        <w:rPr>
          <w:rFonts w:cs="Times New Roman"/>
          <w:szCs w:val="24"/>
          <w:lang w:val="pt-BR"/>
        </w:rPr>
        <w:lastRenderedPageBreak/>
        <w:t xml:space="preserve">orçamento </w:t>
      </w:r>
      <w:r w:rsidR="007F715C" w:rsidRPr="0078038A">
        <w:rPr>
          <w:rFonts w:cs="Times New Roman"/>
          <w:szCs w:val="24"/>
          <w:lang w:val="pt-BR"/>
        </w:rPr>
        <w:t>próprio</w:t>
      </w:r>
      <w:r w:rsidRPr="0078038A">
        <w:rPr>
          <w:rFonts w:cs="Times New Roman"/>
          <w:szCs w:val="24"/>
          <w:lang w:val="pt-BR"/>
        </w:rPr>
        <w:t>, coordenação federativa, intersetorialidade e controle social. Onde o tripé está completo e financiado, há mais resiliência. Onde falta um dos seus pés, a política oscila com o clima político. Essa hipótese atravessa todo o texto e orienta a interpretação dos dados e dos ciclos históricos identificados.</w:t>
      </w:r>
    </w:p>
    <w:p w14:paraId="6329CE20" w14:textId="77777777" w:rsidR="003D5BE3" w:rsidRPr="0078038A" w:rsidRDefault="003D5BE3" w:rsidP="0078038A">
      <w:pPr>
        <w:spacing w:before="120" w:after="120"/>
        <w:ind w:firstLine="0"/>
        <w:rPr>
          <w:rFonts w:cs="Times New Roman"/>
          <w:b/>
          <w:szCs w:val="24"/>
          <w:lang w:val="pt-BR"/>
        </w:rPr>
      </w:pPr>
    </w:p>
    <w:p w14:paraId="0A19120D" w14:textId="2F3A9817"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2</w:t>
      </w:r>
      <w:r w:rsidR="00773DE2" w:rsidRPr="0078038A">
        <w:rPr>
          <w:rFonts w:cs="Times New Roman"/>
          <w:b/>
          <w:szCs w:val="24"/>
          <w:lang w:val="pt-BR"/>
        </w:rPr>
        <w:t>.</w:t>
      </w:r>
      <w:r w:rsidRPr="0078038A">
        <w:rPr>
          <w:rFonts w:cs="Times New Roman"/>
          <w:b/>
          <w:szCs w:val="24"/>
          <w:lang w:val="pt-BR"/>
        </w:rPr>
        <w:t xml:space="preserve"> PRINCIPAIS MÉTODOS EMPREGADOS</w:t>
      </w:r>
    </w:p>
    <w:p w14:paraId="7ED63703"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Com relação à metodologia, a fase 3 do Programa Atena apresenta um avanço considerável em relação às fases anteriores. O desenho da pesquisa combina diferentes frentes de coleta, organização e análise de dados, articulando estratégias documentais, administrativas e interpretativas. A primeira etapa consistiu na busca e captura de informações em fontes oficiais do governo federal, com especial atenção para o Diário Oficial da União. A busca documental foi orientada por palavras-chave relativas à população LGBTI+, à promoção da cidadania, à violência, à diversidade, às estruturas administrativas e às áreas setoriais do governo federal.</w:t>
      </w:r>
    </w:p>
    <w:p w14:paraId="7B097A6D" w14:textId="409D2270" w:rsidR="00650DE7" w:rsidRPr="0078038A" w:rsidRDefault="00773DE2" w:rsidP="0078038A">
      <w:pPr>
        <w:spacing w:before="120" w:after="120"/>
        <w:ind w:firstLine="0"/>
        <w:rPr>
          <w:rFonts w:cs="Times New Roman"/>
          <w:szCs w:val="24"/>
          <w:lang w:val="pt-BR"/>
        </w:rPr>
      </w:pPr>
      <w:r w:rsidRPr="0078038A">
        <w:rPr>
          <w:rFonts w:cs="Times New Roman"/>
          <w:szCs w:val="24"/>
          <w:lang w:val="pt-BR"/>
        </w:rPr>
        <w:t xml:space="preserve">Esta base de dados foi complementada com </w:t>
      </w:r>
      <w:r w:rsidR="00000000" w:rsidRPr="0078038A">
        <w:rPr>
          <w:rFonts w:cs="Times New Roman"/>
          <w:szCs w:val="24"/>
          <w:lang w:val="pt-BR"/>
        </w:rPr>
        <w:t>solicitações de informação a ministérios, órgãos de fomento, órgãos de controle e instituições de pesquisa em nível federal, a fim de coletar informações adicionais sobre o desenvolvimento de políticas públicas voltadas para promoção da cidadania e enfrentamento da violência contra a população LGBTI+ que porventura não tivessem aparecido na busca documental. Ao longo de 2025, foram elaboradas solicitações de informação a mais de 150 órgãos federais e sistematizados cerca de 900 resultados relevantes no Diário Oficial da União</w:t>
      </w:r>
      <w:r w:rsidRPr="0078038A">
        <w:rPr>
          <w:rFonts w:cs="Times New Roman"/>
          <w:szCs w:val="24"/>
          <w:lang w:val="pt-BR"/>
        </w:rPr>
        <w:t>.</w:t>
      </w:r>
    </w:p>
    <w:p w14:paraId="35AAB00B"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As respostas às solicitações de informação foram avaliadas de acordo com critérios de clareza e objetividade, relevância da informação prestada, cumprimento de prazo e necessidade de utilização de recurso para obtenção de resposta. O objetivo não foi apenas reunir documentos, mas também avaliar a transparência ativa e responsiva do Estado brasileiro no tema, já que a própria ausência de informação constitui um dado relevante para compreender os limites de institucionalização da política. Em diversos casos, a dificuldade de localizar dados ou de obter respostas completas indicou baixa publicidade, pouca centralidade administrativa e frágil capacidade de monitoramento.</w:t>
      </w:r>
    </w:p>
    <w:p w14:paraId="703066FE"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estratégia metodológica do Programa Atena está ancorada na combinação entre busca ativa de informações e requisição formal de dados. Ambas as formas são autônomas e complementares. Caso não haja resposta por parte da gestão pública das informações </w:t>
      </w:r>
      <w:r w:rsidRPr="0078038A">
        <w:rPr>
          <w:rFonts w:cs="Times New Roman"/>
          <w:szCs w:val="24"/>
          <w:lang w:val="pt-BR"/>
        </w:rPr>
        <w:lastRenderedPageBreak/>
        <w:t>solicitadas, a busca ativa preenche parte da lacuna. Por outro lado, caso não se consiga achar informações na pesquisa documental, as solicitações de informação tendem a satisfazer essa busca. Contudo, é possível que não haja resposta, haja negativa ou que ela seja feita de maneira incompleta, o que revela um problema grave de ausência de transparência e publicidade.</w:t>
      </w:r>
    </w:p>
    <w:p w14:paraId="0BEC05AE" w14:textId="4420CB2A" w:rsidR="00650DE7" w:rsidRPr="0078038A" w:rsidRDefault="00000000" w:rsidP="0078038A">
      <w:pPr>
        <w:spacing w:before="120" w:after="120"/>
        <w:ind w:firstLine="0"/>
        <w:rPr>
          <w:rFonts w:cs="Times New Roman"/>
          <w:szCs w:val="24"/>
          <w:lang w:val="pt-BR"/>
        </w:rPr>
      </w:pPr>
      <w:r w:rsidRPr="0078038A">
        <w:rPr>
          <w:rFonts w:cs="Times New Roman"/>
          <w:szCs w:val="24"/>
          <w:lang w:val="pt-BR"/>
        </w:rPr>
        <w:t>No plano analítico, a pesquisa se organiza a partir de indicadores próprios desenvolvidos pelo Programa Atena ao longo de suas fases. Esses indicadores não pretendem medir apenas a existência formal de estruturas, mas a qualidade da institucionalização e a capacidade de permanência da política no tempo. O referencial utilizado combina governança e conformidade, diversidade e inclusão, transparência e divulgação. No caso do órgão gestor, do conselho e das políticas estruturantes, foram considerados elementos como resistência, rigidez, estabilidade, especificidade, status, estrutura física, monitoramento, publicidade, previsão no PPA, dotação na LOA, execução, relatórios e participação social</w:t>
      </w:r>
      <w:r w:rsidR="00D21648" w:rsidRPr="0078038A">
        <w:rPr>
          <w:rFonts w:cs="Times New Roman"/>
          <w:szCs w:val="24"/>
          <w:lang w:val="pt-BR"/>
        </w:rPr>
        <w:t>, conforme abaixo.</w:t>
      </w:r>
    </w:p>
    <w:p w14:paraId="2725D190" w14:textId="77777777" w:rsidR="00773DE2" w:rsidRPr="0078038A" w:rsidRDefault="00773DE2" w:rsidP="0078038A">
      <w:pPr>
        <w:spacing w:before="120" w:after="120"/>
        <w:ind w:firstLine="0"/>
        <w:rPr>
          <w:rFonts w:cs="Times New Roman"/>
          <w:szCs w:val="24"/>
          <w:lang w:val="pt-BR"/>
        </w:rPr>
      </w:pPr>
    </w:p>
    <w:p w14:paraId="769B7683" w14:textId="3926F8DC" w:rsidR="00773DE2" w:rsidRPr="0078038A" w:rsidRDefault="00773DE2" w:rsidP="00CA4A71">
      <w:pPr>
        <w:spacing w:before="120" w:after="120"/>
        <w:ind w:firstLine="0"/>
        <w:jc w:val="center"/>
        <w:rPr>
          <w:rFonts w:cs="Times New Roman"/>
          <w:szCs w:val="24"/>
          <w:lang w:val="pt-BR"/>
        </w:rPr>
      </w:pPr>
      <w:r w:rsidRPr="0078038A">
        <w:rPr>
          <w:rFonts w:cs="Times New Roman"/>
          <w:szCs w:val="24"/>
          <w:lang w:val="pt-BR"/>
        </w:rPr>
        <w:t>Figura 1 – Indicadores utilizados para avaliação de políticas públicas LGBT+</w:t>
      </w:r>
      <w:r w:rsidRPr="0078038A">
        <w:rPr>
          <w:rFonts w:cs="Times New Roman"/>
          <w:szCs w:val="24"/>
          <w:lang w:val="pt-BR"/>
        </w:rPr>
        <w:drawing>
          <wp:inline distT="0" distB="0" distL="0" distR="0" wp14:anchorId="578BCB8B" wp14:editId="290C889C">
            <wp:extent cx="5458587" cy="3219899"/>
            <wp:effectExtent l="0" t="0" r="8890" b="0"/>
            <wp:docPr id="9414953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95387" name=""/>
                    <pic:cNvPicPr/>
                  </pic:nvPicPr>
                  <pic:blipFill>
                    <a:blip r:embed="rId8"/>
                    <a:stretch>
                      <a:fillRect/>
                    </a:stretch>
                  </pic:blipFill>
                  <pic:spPr>
                    <a:xfrm>
                      <a:off x="0" y="0"/>
                      <a:ext cx="5458587" cy="3219899"/>
                    </a:xfrm>
                    <a:prstGeom prst="rect">
                      <a:avLst/>
                    </a:prstGeom>
                  </pic:spPr>
                </pic:pic>
              </a:graphicData>
            </a:graphic>
          </wp:inline>
        </w:drawing>
      </w:r>
    </w:p>
    <w:p w14:paraId="24D3734C" w14:textId="77777777" w:rsidR="00773DE2" w:rsidRPr="0078038A" w:rsidRDefault="00773DE2" w:rsidP="0078038A">
      <w:pPr>
        <w:spacing w:before="120" w:after="120"/>
        <w:ind w:firstLine="0"/>
        <w:rPr>
          <w:rFonts w:cs="Times New Roman"/>
          <w:szCs w:val="24"/>
          <w:lang w:val="pt-BR"/>
        </w:rPr>
      </w:pPr>
    </w:p>
    <w:p w14:paraId="78A28ACC" w14:textId="1C25090F"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No centro do modelo analítico está a renovação do conceito de </w:t>
      </w:r>
      <w:r w:rsidRPr="00CA4A71">
        <w:rPr>
          <w:rFonts w:cs="Times New Roman"/>
          <w:b/>
          <w:bCs/>
          <w:szCs w:val="24"/>
          <w:lang w:val="pt-BR"/>
        </w:rPr>
        <w:t>Tripé da Cidadania LGBTI+</w:t>
      </w:r>
      <w:r w:rsidRPr="0078038A">
        <w:rPr>
          <w:rFonts w:cs="Times New Roman"/>
          <w:szCs w:val="24"/>
          <w:lang w:val="pt-BR"/>
        </w:rPr>
        <w:t xml:space="preserve">, originalmente formulado no contexto das conferências nacionais e das disputas por institucionalização de coordenadorias, conselhos e planos. O Programa Atena retoma esse </w:t>
      </w:r>
      <w:r w:rsidRPr="0078038A">
        <w:rPr>
          <w:rFonts w:cs="Times New Roman"/>
          <w:szCs w:val="24"/>
          <w:lang w:val="pt-BR"/>
        </w:rPr>
        <w:lastRenderedPageBreak/>
        <w:t xml:space="preserve">acúmulo histórico e o </w:t>
      </w:r>
      <w:r w:rsidR="00D21648" w:rsidRPr="0078038A">
        <w:rPr>
          <w:rFonts w:cs="Times New Roman"/>
          <w:szCs w:val="24"/>
          <w:lang w:val="pt-BR"/>
        </w:rPr>
        <w:t>reinterpreta</w:t>
      </w:r>
      <w:r w:rsidRPr="0078038A">
        <w:rPr>
          <w:rFonts w:cs="Times New Roman"/>
          <w:szCs w:val="24"/>
          <w:lang w:val="pt-BR"/>
        </w:rPr>
        <w:t xml:space="preserve">. O tripé passa a ser entendido como a presença articulada de: i) um </w:t>
      </w:r>
      <w:r w:rsidRPr="001E57C0">
        <w:rPr>
          <w:rFonts w:cs="Times New Roman"/>
          <w:b/>
          <w:bCs/>
          <w:szCs w:val="24"/>
          <w:lang w:val="pt-BR"/>
        </w:rPr>
        <w:t>órgão gestor LGBTI+</w:t>
      </w:r>
      <w:r w:rsidRPr="0078038A">
        <w:rPr>
          <w:rFonts w:cs="Times New Roman"/>
          <w:szCs w:val="24"/>
          <w:lang w:val="pt-BR"/>
        </w:rPr>
        <w:t xml:space="preserve"> </w:t>
      </w:r>
      <w:r w:rsidR="00D21648" w:rsidRPr="0078038A">
        <w:rPr>
          <w:rFonts w:cs="Times New Roman"/>
          <w:szCs w:val="24"/>
          <w:lang w:val="pt-BR"/>
        </w:rPr>
        <w:t>que o</w:t>
      </w:r>
      <w:r w:rsidR="00D21648" w:rsidRPr="0078038A">
        <w:rPr>
          <w:rFonts w:cs="Times New Roman"/>
          <w:szCs w:val="24"/>
          <w:lang w:val="pt-BR"/>
        </w:rPr>
        <w:t>rganizar, planeja, formula, ger</w:t>
      </w:r>
      <w:r w:rsidR="00D21648" w:rsidRPr="0078038A">
        <w:rPr>
          <w:rFonts w:cs="Times New Roman"/>
          <w:szCs w:val="24"/>
          <w:lang w:val="pt-BR"/>
        </w:rPr>
        <w:t>e</w:t>
      </w:r>
      <w:r w:rsidR="00D21648" w:rsidRPr="0078038A">
        <w:rPr>
          <w:rFonts w:cs="Times New Roman"/>
          <w:szCs w:val="24"/>
          <w:lang w:val="pt-BR"/>
        </w:rPr>
        <w:t>, coordena e supervisiona políticas públicas estruturantes no tema LGBTI+</w:t>
      </w:r>
      <w:r w:rsidRPr="0078038A">
        <w:rPr>
          <w:rFonts w:cs="Times New Roman"/>
          <w:szCs w:val="24"/>
          <w:lang w:val="pt-BR"/>
        </w:rPr>
        <w:t xml:space="preserve">; </w:t>
      </w:r>
      <w:proofErr w:type="spellStart"/>
      <w:r w:rsidRPr="0078038A">
        <w:rPr>
          <w:rFonts w:cs="Times New Roman"/>
          <w:szCs w:val="24"/>
          <w:lang w:val="pt-BR"/>
        </w:rPr>
        <w:t>ii</w:t>
      </w:r>
      <w:proofErr w:type="spellEnd"/>
      <w:r w:rsidRPr="0078038A">
        <w:rPr>
          <w:rFonts w:cs="Times New Roman"/>
          <w:szCs w:val="24"/>
          <w:lang w:val="pt-BR"/>
        </w:rPr>
        <w:t xml:space="preserve">) um </w:t>
      </w:r>
      <w:r w:rsidRPr="001E57C0">
        <w:rPr>
          <w:rFonts w:cs="Times New Roman"/>
          <w:b/>
          <w:bCs/>
          <w:szCs w:val="24"/>
          <w:lang w:val="pt-BR"/>
        </w:rPr>
        <w:t>conselho LGBTI+</w:t>
      </w:r>
      <w:r w:rsidRPr="0078038A">
        <w:rPr>
          <w:rFonts w:cs="Times New Roman"/>
          <w:szCs w:val="24"/>
          <w:lang w:val="pt-BR"/>
        </w:rPr>
        <w:t xml:space="preserve"> com participação da sociedade civil, natureza deliberativa e </w:t>
      </w:r>
      <w:r w:rsidR="00D21648" w:rsidRPr="0078038A">
        <w:rPr>
          <w:rFonts w:cs="Times New Roman"/>
          <w:szCs w:val="24"/>
          <w:lang w:val="pt-BR"/>
        </w:rPr>
        <w:t xml:space="preserve">com função de elaborar </w:t>
      </w:r>
      <w:r w:rsidR="00D21648" w:rsidRPr="0078038A">
        <w:rPr>
          <w:rFonts w:cs="Times New Roman"/>
          <w:szCs w:val="24"/>
          <w:lang w:val="pt-BR"/>
        </w:rPr>
        <w:t xml:space="preserve">diretrizes, fiscalizar, avaliar </w:t>
      </w:r>
      <w:r w:rsidR="00D21648" w:rsidRPr="0078038A">
        <w:rPr>
          <w:rFonts w:cs="Times New Roman"/>
          <w:szCs w:val="24"/>
          <w:lang w:val="pt-BR"/>
        </w:rPr>
        <w:drawing>
          <wp:anchor distT="0" distB="0" distL="114300" distR="114300" simplePos="0" relativeHeight="251649536" behindDoc="0" locked="0" layoutInCell="1" allowOverlap="1" wp14:anchorId="1646ED13" wp14:editId="28F92E0A">
            <wp:simplePos x="0" y="0"/>
            <wp:positionH relativeFrom="column">
              <wp:posOffset>2510790</wp:posOffset>
            </wp:positionH>
            <wp:positionV relativeFrom="paragraph">
              <wp:posOffset>1158240</wp:posOffset>
            </wp:positionV>
            <wp:extent cx="3248024" cy="3019425"/>
            <wp:effectExtent l="0" t="0" r="0" b="0"/>
            <wp:wrapSquare wrapText="bothSides"/>
            <wp:docPr id="17424452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45233" name=""/>
                    <pic:cNvPicPr/>
                  </pic:nvPicPr>
                  <pic:blipFill rotWithShape="1">
                    <a:blip r:embed="rId9"/>
                    <a:srcRect t="9419" b="2770"/>
                    <a:stretch>
                      <a:fillRect/>
                    </a:stretch>
                  </pic:blipFill>
                  <pic:spPr bwMode="auto">
                    <a:xfrm>
                      <a:off x="0" y="0"/>
                      <a:ext cx="3248024" cy="3019425"/>
                    </a:xfrm>
                    <a:prstGeom prst="rect">
                      <a:avLst/>
                    </a:prstGeom>
                    <a:ln>
                      <a:noFill/>
                    </a:ln>
                    <a:extLst>
                      <a:ext uri="{53640926-AAD7-44D8-BBD7-CCE9431645EC}">
                        <a14:shadowObscured xmlns:a14="http://schemas.microsoft.com/office/drawing/2010/main"/>
                      </a:ext>
                    </a:extLst>
                  </pic:spPr>
                </pic:pic>
              </a:graphicData>
            </a:graphic>
          </wp:anchor>
        </w:drawing>
      </w:r>
      <w:r w:rsidR="00D21648" w:rsidRPr="0078038A">
        <w:rPr>
          <w:rFonts w:cs="Times New Roman"/>
          <w:szCs w:val="24"/>
          <w:lang w:val="pt-BR"/>
        </w:rPr>
        <w:t>e fazer o controle social de políticas públicas para a população LGBTI+</w:t>
      </w:r>
      <w:r w:rsidRPr="0078038A">
        <w:rPr>
          <w:rFonts w:cs="Times New Roman"/>
          <w:szCs w:val="24"/>
          <w:lang w:val="pt-BR"/>
        </w:rPr>
        <w:t xml:space="preserve">; </w:t>
      </w:r>
      <w:proofErr w:type="spellStart"/>
      <w:r w:rsidRPr="0078038A">
        <w:rPr>
          <w:rFonts w:cs="Times New Roman"/>
          <w:szCs w:val="24"/>
          <w:lang w:val="pt-BR"/>
        </w:rPr>
        <w:t>iii</w:t>
      </w:r>
      <w:proofErr w:type="spellEnd"/>
      <w:r w:rsidRPr="0078038A">
        <w:rPr>
          <w:rFonts w:cs="Times New Roman"/>
          <w:szCs w:val="24"/>
          <w:lang w:val="pt-BR"/>
        </w:rPr>
        <w:t xml:space="preserve">) uma </w:t>
      </w:r>
      <w:r w:rsidRPr="001E57C0">
        <w:rPr>
          <w:rFonts w:cs="Times New Roman"/>
          <w:b/>
          <w:bCs/>
          <w:szCs w:val="24"/>
          <w:lang w:val="pt-BR"/>
        </w:rPr>
        <w:t>política LGBTI+</w:t>
      </w:r>
      <w:r w:rsidRPr="0078038A">
        <w:rPr>
          <w:rFonts w:cs="Times New Roman"/>
          <w:szCs w:val="24"/>
          <w:lang w:val="pt-BR"/>
        </w:rPr>
        <w:t xml:space="preserve"> estruturante, que combina plano com ações e metas e programa com oferta concreta de serviços, acolhimento e promoção de direitos, necessariamente sustentados por orçamento formalmente previsto. O orçamento, nesse modelo, deixa de ser elemento periférico e passa a ocupar posição central como condição de existência e sustentabilidade da política.</w:t>
      </w:r>
    </w:p>
    <w:p w14:paraId="0EB3A2DB" w14:textId="4B67148D"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 partir desse tripé matricial, a pesquisa agrega duas camadas fundamentais: as políticas setoriais e justiça e cidadania. As políticas </w:t>
      </w:r>
      <w:r w:rsidR="0099424E" w:rsidRPr="0078038A">
        <w:rPr>
          <w:rFonts w:cs="Times New Roman"/>
          <w:szCs w:val="24"/>
          <w:lang w:val="pt-BR"/>
        </w:rPr>
        <w:t>“</w:t>
      </w:r>
      <w:r w:rsidRPr="0078038A">
        <w:rPr>
          <w:rFonts w:cs="Times New Roman"/>
          <w:szCs w:val="24"/>
          <w:lang w:val="pt-BR"/>
        </w:rPr>
        <w:t>setoriais</w:t>
      </w:r>
      <w:r w:rsidR="0099424E" w:rsidRPr="0078038A">
        <w:rPr>
          <w:rFonts w:cs="Times New Roman"/>
          <w:szCs w:val="24"/>
          <w:lang w:val="pt-BR"/>
        </w:rPr>
        <w:t>”</w:t>
      </w:r>
      <w:r w:rsidRPr="0078038A">
        <w:rPr>
          <w:rFonts w:cs="Times New Roman"/>
          <w:szCs w:val="24"/>
          <w:lang w:val="pt-BR"/>
        </w:rPr>
        <w:t xml:space="preserve"> abrangem ministérios e órgãos responsáveis por áreas como saúde, educação, trabalho, cultura, assistência social, segurança pública, administração penitenciária, turismo, ciência e tecnologia, entre outras. Já a dimensão de </w:t>
      </w:r>
      <w:r w:rsidR="0099424E" w:rsidRPr="0078038A">
        <w:rPr>
          <w:rFonts w:cs="Times New Roman"/>
          <w:szCs w:val="24"/>
          <w:lang w:val="pt-BR"/>
        </w:rPr>
        <w:t>“</w:t>
      </w:r>
      <w:r w:rsidRPr="0078038A">
        <w:rPr>
          <w:rFonts w:cs="Times New Roman"/>
          <w:szCs w:val="24"/>
          <w:lang w:val="pt-BR"/>
        </w:rPr>
        <w:t>justiça e cidadania</w:t>
      </w:r>
      <w:r w:rsidR="0099424E" w:rsidRPr="0078038A">
        <w:rPr>
          <w:rFonts w:cs="Times New Roman"/>
          <w:szCs w:val="24"/>
          <w:lang w:val="pt-BR"/>
        </w:rPr>
        <w:t>”</w:t>
      </w:r>
      <w:r w:rsidRPr="0078038A">
        <w:rPr>
          <w:rFonts w:cs="Times New Roman"/>
          <w:szCs w:val="24"/>
          <w:lang w:val="pt-BR"/>
        </w:rPr>
        <w:t xml:space="preserve"> examina legislação, decisões judiciais, normativas que afetam </w:t>
      </w:r>
      <w:r w:rsidR="0099424E" w:rsidRPr="0078038A">
        <w:rPr>
          <w:rFonts w:cs="Times New Roman"/>
          <w:szCs w:val="24"/>
          <w:lang w:val="pt-BR"/>
        </w:rPr>
        <w:t>direitos e garantias individuais e coletivos</w:t>
      </w:r>
      <w:r w:rsidRPr="0078038A">
        <w:rPr>
          <w:rFonts w:cs="Times New Roman"/>
          <w:szCs w:val="24"/>
          <w:lang w:val="pt-BR"/>
        </w:rPr>
        <w:t xml:space="preserve">. </w:t>
      </w:r>
    </w:p>
    <w:p w14:paraId="1C7B7105" w14:textId="4C8C3129"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cooperação técnica com a Universidade do Estado do Rio de Janeiro, com a Superintendência LGBTI+ e com o Programa Rio sem LGBTIfobia fortaleceu a base metodológica da pesquisa e permitiu a troca de aprendizados entre níveis federativos.</w:t>
      </w:r>
    </w:p>
    <w:p w14:paraId="46AB8EE7" w14:textId="77777777" w:rsidR="00650DE7" w:rsidRPr="0078038A" w:rsidRDefault="00000000" w:rsidP="0078038A">
      <w:pPr>
        <w:spacing w:before="120" w:after="120"/>
        <w:rPr>
          <w:rFonts w:cs="Times New Roman"/>
          <w:szCs w:val="24"/>
          <w:lang w:val="pt-BR"/>
        </w:rPr>
      </w:pPr>
      <w:r w:rsidRPr="0078038A">
        <w:rPr>
          <w:rFonts w:cs="Times New Roman"/>
          <w:szCs w:val="24"/>
          <w:lang w:val="pt-BR"/>
        </w:rPr>
        <w:t>Como toda pesquisa baseada em dados administrativos e transparência pública, o trabalho apresenta limites. A baixa padronização de informações, as respostas incompletas ou genéricas, a heterogeneidade entre ministérios e a dificuldade de rastreamento orçamentário impõem cautela interpretativa. Ainda assim, a combinação entre análise documental, LAI, indicadores e leitura histórica permitiu construir um diagnóstico suficientemente robusto para identificar padrões de continuidade, descontinuidade, expansão e regressão.</w:t>
      </w:r>
    </w:p>
    <w:p w14:paraId="1655B6C9" w14:textId="77777777" w:rsidR="001E57C0" w:rsidRDefault="001E57C0" w:rsidP="0078038A">
      <w:pPr>
        <w:spacing w:before="120" w:after="120"/>
        <w:ind w:firstLine="0"/>
        <w:rPr>
          <w:rFonts w:cs="Times New Roman"/>
          <w:b/>
          <w:szCs w:val="24"/>
          <w:lang w:val="pt-BR"/>
        </w:rPr>
      </w:pPr>
    </w:p>
    <w:p w14:paraId="3E9615B3" w14:textId="3E6A7D4D"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lastRenderedPageBreak/>
        <w:t>3</w:t>
      </w:r>
      <w:r w:rsidR="0099424E" w:rsidRPr="0078038A">
        <w:rPr>
          <w:rFonts w:cs="Times New Roman"/>
          <w:b/>
          <w:szCs w:val="24"/>
          <w:lang w:val="pt-BR"/>
        </w:rPr>
        <w:t>.</w:t>
      </w:r>
      <w:r w:rsidRPr="0078038A">
        <w:rPr>
          <w:rFonts w:cs="Times New Roman"/>
          <w:b/>
          <w:szCs w:val="24"/>
          <w:lang w:val="pt-BR"/>
        </w:rPr>
        <w:t xml:space="preserve"> FUNDAMENTAÇÃO TEÓRICA</w:t>
      </w:r>
    </w:p>
    <w:p w14:paraId="7E661E32"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O processo de construção conceitual de “tripé da cidadania LGBT” vem de um longo percurso histórico de debate e disputa no que diz respeito ao campo das políticas públicas voltadas para a diversidade e sexualidades dissidentes, seja dentro dos espaços de militância e nas discussões acadêmicas. Fazemos aqui um esforço de retornar ao que conseguimos localizar como bases fundamentais para essa discussão e elencar suas contribuições para o que posteriormente conceituamos como tripé da cidadania.</w:t>
      </w:r>
    </w:p>
    <w:p w14:paraId="2EA15FDF"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Os caminhos até a 1ª Conferência Nacional de Gays, Lésbicas, Bissexuais, Travestis e Transsexuais (GLBT) são diversos e começam bem antes dela. A importância de levar </w:t>
      </w:r>
      <w:proofErr w:type="spellStart"/>
      <w:r w:rsidRPr="0099424E">
        <w:rPr>
          <w:rFonts w:cs="Times New Roman"/>
          <w:szCs w:val="24"/>
          <w:lang w:val="pt-BR"/>
        </w:rPr>
        <w:t>a</w:t>
      </w:r>
      <w:proofErr w:type="spellEnd"/>
      <w:r w:rsidRPr="0099424E">
        <w:rPr>
          <w:rFonts w:cs="Times New Roman"/>
          <w:szCs w:val="24"/>
          <w:lang w:val="pt-BR"/>
        </w:rPr>
        <w:t xml:space="preserve"> </w:t>
      </w:r>
      <w:proofErr w:type="gramStart"/>
      <w:r w:rsidRPr="0099424E">
        <w:rPr>
          <w:rFonts w:cs="Times New Roman"/>
          <w:szCs w:val="24"/>
          <w:lang w:val="pt-BR"/>
        </w:rPr>
        <w:t>baila</w:t>
      </w:r>
      <w:proofErr w:type="gramEnd"/>
      <w:r w:rsidRPr="0099424E">
        <w:rPr>
          <w:rFonts w:cs="Times New Roman"/>
          <w:szCs w:val="24"/>
          <w:lang w:val="pt-BR"/>
        </w:rPr>
        <w:t xml:space="preserve"> o processo de construção de políticas públicas para a população LGBT, ou GLBT como era nomeado à época, vem de uma série de reivindicações que passaram a tratar a cidadania desses grupos como um tópico prioritário do Estado brasileiro. Devemos elencar o papel das pré-conferências que ocorreram como preparadoras para a Conferência de Durban na África do Sul. Conferência esta conhecida por sua importância em pautar a discussão racial que resultou nas ações afirmativas no Brasil. Ela já pontuava a importância de falar sobre gênero e sexualidade, estando nela a tentativa de recolher dos participantes suas declarações de gênero e de orientação sexual, para mostrar a participação da comunidade na pauta dos Direitos Humanos (</w:t>
      </w:r>
      <w:proofErr w:type="spellStart"/>
      <w:r w:rsidRPr="0099424E">
        <w:rPr>
          <w:rFonts w:cs="Times New Roman"/>
          <w:szCs w:val="24"/>
          <w:lang w:val="pt-BR"/>
        </w:rPr>
        <w:t>Aguião</w:t>
      </w:r>
      <w:proofErr w:type="spellEnd"/>
      <w:r w:rsidRPr="0099424E">
        <w:rPr>
          <w:rFonts w:cs="Times New Roman"/>
          <w:szCs w:val="24"/>
          <w:lang w:val="pt-BR"/>
        </w:rPr>
        <w:t>, 2014, p. 84). </w:t>
      </w:r>
    </w:p>
    <w:p w14:paraId="7FE7C3A7"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Importante pontuar a atuação dos Governos Brasileiros que se empenharam em pensar a pauta dos Direitos Humanos com a criação do Plano Nacional de Direitos Humanos (PNDH) 1, 2 e 3 nos mandatos do Presidente Fernando Henrique Cardoso e a criação do Brasil sem Homofobia já no Governo Lula 1. Esses movimentos são consequências do aprofundamento no debate sobre a correção de desigualdades entre grupos </w:t>
      </w:r>
      <w:proofErr w:type="spellStart"/>
      <w:r w:rsidRPr="0099424E">
        <w:rPr>
          <w:rFonts w:cs="Times New Roman"/>
          <w:szCs w:val="24"/>
          <w:lang w:val="pt-BR"/>
        </w:rPr>
        <w:t>minorizados</w:t>
      </w:r>
      <w:proofErr w:type="spellEnd"/>
      <w:r w:rsidRPr="0099424E">
        <w:rPr>
          <w:rFonts w:cs="Times New Roman"/>
          <w:szCs w:val="24"/>
          <w:lang w:val="pt-BR"/>
        </w:rPr>
        <w:t>, uma pauta generalista dentro do debate sobre Direitos Humanos, mas que trouxeram força para o debate sobre gênero e sexualidade. </w:t>
      </w:r>
    </w:p>
    <w:p w14:paraId="7949CF1B"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A primeira </w:t>
      </w:r>
      <w:hyperlink r:id="rId10" w:history="1">
        <w:r w:rsidRPr="0099424E">
          <w:rPr>
            <w:rStyle w:val="Hyperlink"/>
            <w:rFonts w:cs="Times New Roman"/>
            <w:szCs w:val="24"/>
            <w:lang w:val="pt-BR"/>
          </w:rPr>
          <w:t>Conferência Nacional de Gays, Lésbicas, Bissexuais, Travestis e Transsexuais</w:t>
        </w:r>
      </w:hyperlink>
      <w:r w:rsidRPr="0099424E">
        <w:rPr>
          <w:rFonts w:cs="Times New Roman"/>
          <w:szCs w:val="24"/>
          <w:lang w:val="pt-BR"/>
        </w:rPr>
        <w:t xml:space="preserve"> (GLBT) que ocorreu entre 5 e 8 de Junho de 2009 em Brasília foi um grande marco para o debate em âmbito nacional e trouxe em si uma grande discussão sobre o processo de formulação de políticas públicas para a comunidade. Ela reuniu delegações dos vinte e seis Estados e do Distrito Federal em prol de pensar como suas localidades estavam sendo afetadas por essas discussões e quais pautas deveriam ser tomadas enquanto prioridades no processo de construção de políticas públicas. Ainda que nosso foco neste texto seja a construção do “Tripé da Cidadania LGBT”, esse processo deliberativo e expositivo que </w:t>
      </w:r>
      <w:r w:rsidRPr="0099424E">
        <w:rPr>
          <w:rFonts w:cs="Times New Roman"/>
          <w:szCs w:val="24"/>
          <w:lang w:val="pt-BR"/>
        </w:rPr>
        <w:lastRenderedPageBreak/>
        <w:t>formou as conferências também deve ser encarado enquanto um grande alicerce para o que aqui estamos conceituando. </w:t>
      </w:r>
    </w:p>
    <w:p w14:paraId="1F9B3F50" w14:textId="73E10226"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A primeira conferência foi responsável por expor a fragilidade que se encontrava a cidadania LGBT, mostrando que era </w:t>
      </w:r>
      <w:r w:rsidRPr="0078038A">
        <w:rPr>
          <w:rFonts w:cs="Times New Roman"/>
          <w:szCs w:val="24"/>
          <w:lang w:val="pt-BR"/>
        </w:rPr>
        <w:t>necessária uma atuação mais enfática e sólida</w:t>
      </w:r>
      <w:r w:rsidRPr="0099424E">
        <w:rPr>
          <w:rFonts w:cs="Times New Roman"/>
          <w:szCs w:val="24"/>
          <w:lang w:val="pt-BR"/>
        </w:rPr>
        <w:t xml:space="preserve"> por parte do Estado e que somente com essas garantias seria possível para a comunidade LGBT exercer sua cidadania plenamente. Nas palavras do ativista Oswaldo Braga (Braga, 2009. Pág. 34) de Minas Gerais ao falar sobre o programa “Brasil sem Homofobia” e dar providências sobre os rumos que o governo deveria tomar. Ele disse: </w:t>
      </w:r>
    </w:p>
    <w:p w14:paraId="21D8A752" w14:textId="77777777" w:rsidR="0099424E" w:rsidRPr="0099424E" w:rsidRDefault="0099424E" w:rsidP="0078038A">
      <w:pPr>
        <w:spacing w:before="120" w:after="120" w:line="276" w:lineRule="auto"/>
        <w:ind w:left="2268" w:firstLine="0"/>
        <w:rPr>
          <w:rFonts w:cs="Times New Roman"/>
          <w:szCs w:val="24"/>
          <w:lang w:val="pt-BR"/>
        </w:rPr>
      </w:pPr>
      <w:r w:rsidRPr="0099424E">
        <w:rPr>
          <w:rFonts w:cs="Times New Roman"/>
          <w:szCs w:val="24"/>
          <w:lang w:val="pt-BR"/>
        </w:rPr>
        <w:t>E eu acredito que essa Conferência é um passo importante para isso, uma vez que sairá daqui um Plano Nacional de Políticas Públicas de Promoção da Cidadania de Gays, Lésbicas, Bissexuais, Travestis e Transexuais. Esse plano demandará um controle social maior nosso, que implicará em estruturas dentro da burocracia do Governo, implicará em participação ativa da sociedade civil, na criação de um Conselho que possa fazer com que nós tenhamos o controle dessas ações, que serão desenvolvidas e que sairão daqui. </w:t>
      </w:r>
    </w:p>
    <w:p w14:paraId="0F97C4AA"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Também devemos pontuar que a Primeira Conferência contou com a presença da alta cúpula do Governo Federal, tendo a presença do então Presidente Luiz Inácio Lula da Silva já na segunda metade do seu segundo mandato. O discurso de comprometimento do presidente com a causa foi um elemento importante para dar visibilidade e mostrar a importância do que estava sendo discutido naquele espaço. Ainda </w:t>
      </w:r>
      <w:proofErr w:type="spellStart"/>
      <w:r w:rsidRPr="0099424E">
        <w:rPr>
          <w:rFonts w:cs="Times New Roman"/>
          <w:szCs w:val="24"/>
          <w:lang w:val="pt-BR"/>
        </w:rPr>
        <w:t>sim</w:t>
      </w:r>
      <w:proofErr w:type="spellEnd"/>
      <w:r w:rsidRPr="0099424E">
        <w:rPr>
          <w:rFonts w:cs="Times New Roman"/>
          <w:szCs w:val="24"/>
          <w:lang w:val="pt-BR"/>
        </w:rPr>
        <w:t>, é devido dizer que há época pouco avançou-se na construção de políticas públicas e na garantia de direitos.  </w:t>
      </w:r>
    </w:p>
    <w:p w14:paraId="4C60795C"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Avançando historicamente chegaremos à </w:t>
      </w:r>
      <w:hyperlink r:id="rId11" w:history="1">
        <w:r w:rsidRPr="0099424E">
          <w:rPr>
            <w:rStyle w:val="Hyperlink"/>
            <w:rFonts w:cs="Times New Roman"/>
            <w:szCs w:val="24"/>
            <w:lang w:val="pt-BR"/>
          </w:rPr>
          <w:t>II Conferência Nacional de Políticas Públicas e Direitos Humanos de LGBT</w:t>
        </w:r>
      </w:hyperlink>
      <w:r w:rsidRPr="0099424E">
        <w:rPr>
          <w:rFonts w:cs="Times New Roman"/>
          <w:szCs w:val="24"/>
          <w:lang w:val="pt-BR"/>
        </w:rPr>
        <w:t xml:space="preserve">, realizada entre 15 e 18 de novembro de 2011, ainda no primeiro ano do primeiro mandato da então presidenta Dilma Rousseff. Tal fato demonstra o interesse do Governo Federal em tratar o assunto, mas, como relatado em pesquisa pela pesquisadora Silvia </w:t>
      </w:r>
      <w:proofErr w:type="spellStart"/>
      <w:r w:rsidRPr="0099424E">
        <w:rPr>
          <w:rFonts w:cs="Times New Roman"/>
          <w:szCs w:val="24"/>
          <w:lang w:val="pt-BR"/>
        </w:rPr>
        <w:t>Aguião</w:t>
      </w:r>
      <w:proofErr w:type="spellEnd"/>
      <w:r w:rsidRPr="0099424E">
        <w:rPr>
          <w:rFonts w:cs="Times New Roman"/>
          <w:szCs w:val="24"/>
          <w:lang w:val="pt-BR"/>
        </w:rPr>
        <w:t>, também demonstra o engajamento e a voracidade que o movimento LGBT da época se posicionava na discussão. </w:t>
      </w:r>
    </w:p>
    <w:p w14:paraId="2C1CA2D4"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O encontro que discutiu a promoção da cidadania LGBT por meio da garantia de direitos e construção de políticas públicas foi responsável pelo começo da utilização do termo “tripé da cidadania”, o qual posteriormente começou a ser explorado pelo campo de discussão das políticas públicas. Toni Reis cita a importância de estabelecer o tripé ao dizer que: </w:t>
      </w:r>
    </w:p>
    <w:p w14:paraId="619F61C6" w14:textId="77777777" w:rsidR="0099424E" w:rsidRPr="0078038A" w:rsidRDefault="0099424E" w:rsidP="0078038A">
      <w:pPr>
        <w:spacing w:before="120" w:line="240" w:lineRule="auto"/>
        <w:ind w:left="2268" w:firstLine="0"/>
        <w:rPr>
          <w:rFonts w:cs="Times New Roman"/>
          <w:szCs w:val="24"/>
          <w:lang w:val="pt-BR"/>
        </w:rPr>
      </w:pPr>
      <w:r w:rsidRPr="0099424E">
        <w:rPr>
          <w:rFonts w:cs="Times New Roman"/>
          <w:szCs w:val="24"/>
          <w:lang w:val="pt-BR"/>
        </w:rPr>
        <w:t xml:space="preserve">As políticas públicas devem ter como princípios a garantia da laicidade do Estado. Queremos que o pacto federativo seja efetivo, e </w:t>
      </w:r>
      <w:r w:rsidRPr="0099424E">
        <w:rPr>
          <w:rFonts w:cs="Times New Roman"/>
          <w:szCs w:val="24"/>
          <w:lang w:val="pt-BR"/>
        </w:rPr>
        <w:lastRenderedPageBreak/>
        <w:t xml:space="preserve">que os Estados e Municípios assumam a sua responsabilidade nessas políticas com a instalação e fortalecimento do </w:t>
      </w:r>
      <w:r w:rsidRPr="0099424E">
        <w:rPr>
          <w:rFonts w:cs="Times New Roman"/>
          <w:b/>
          <w:bCs/>
          <w:szCs w:val="24"/>
          <w:lang w:val="pt-BR"/>
        </w:rPr>
        <w:t>tripé da cidadania LGBT</w:t>
      </w:r>
      <w:r w:rsidRPr="0099424E">
        <w:rPr>
          <w:rFonts w:cs="Times New Roman"/>
          <w:szCs w:val="24"/>
          <w:lang w:val="pt-BR"/>
        </w:rPr>
        <w:t>; a instalação de coordenadorias, a implantação dos conselhos e a criação dos planos para implantação das políticas, com a garantia de recursos orçamentários, com controle social, transversalidade, equidade de gênero, regionalidade, territorialidade, recorte étnico-racial, geracional, garantia da acessibilidade universal, entre outros.</w:t>
      </w:r>
    </w:p>
    <w:p w14:paraId="6EB0B612" w14:textId="77777777" w:rsidR="00F6130A" w:rsidRPr="0099424E" w:rsidRDefault="00F6130A" w:rsidP="0078038A">
      <w:pPr>
        <w:spacing w:before="120" w:line="240" w:lineRule="auto"/>
        <w:ind w:left="2268" w:firstLine="0"/>
        <w:rPr>
          <w:rFonts w:cs="Times New Roman"/>
          <w:szCs w:val="24"/>
          <w:lang w:val="pt-BR"/>
        </w:rPr>
      </w:pPr>
    </w:p>
    <w:p w14:paraId="3A76E310" w14:textId="14DBF04D" w:rsidR="0099424E" w:rsidRPr="0099424E" w:rsidRDefault="0099424E" w:rsidP="0078038A">
      <w:pPr>
        <w:spacing w:before="120" w:after="120"/>
        <w:ind w:firstLine="0"/>
        <w:rPr>
          <w:rFonts w:cs="Times New Roman"/>
          <w:szCs w:val="24"/>
          <w:lang w:val="pt-BR"/>
        </w:rPr>
      </w:pPr>
      <w:r w:rsidRPr="0099424E">
        <w:rPr>
          <w:rFonts w:cs="Times New Roman"/>
          <w:szCs w:val="24"/>
          <w:lang w:val="pt-BR"/>
        </w:rPr>
        <w:t>A citação na fala de Toni Reis é a primeira vez onde o tripé da cidadania LGBT é citada dentro dos anais da II Conferência, mas não pode ser vista como um puro ineditismo do autor. A ideia do tripé vem derivada do pensamento do serviço social que já era previsto e descrito na constituição pensando na saúde, assistência e previdência. Aparecendo algumas vezes dentro da conferência pela voz de outros ativistas. </w:t>
      </w:r>
    </w:p>
    <w:p w14:paraId="7DF1B97F"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A ideia do tripé da cidadania LGBT enquanto construção de um sistema de forças que preveja a atuação do estado na forma de coordenações, a deliberação coletiva com participação dos movimentos sociais com a criação dos conselhos e a formulação de medidas e políticas com os planos, tudo isso transpassado por medidas legais orçamentárias que garantam a sua execução acaba carecendo de formas mais profundas de conceituação. Ainda </w:t>
      </w:r>
      <w:proofErr w:type="spellStart"/>
      <w:r w:rsidRPr="0099424E">
        <w:rPr>
          <w:rFonts w:cs="Times New Roman"/>
          <w:szCs w:val="24"/>
          <w:lang w:val="pt-BR"/>
        </w:rPr>
        <w:t>sim</w:t>
      </w:r>
      <w:proofErr w:type="spellEnd"/>
      <w:r w:rsidRPr="0099424E">
        <w:rPr>
          <w:rFonts w:cs="Times New Roman"/>
          <w:szCs w:val="24"/>
          <w:lang w:val="pt-BR"/>
        </w:rPr>
        <w:t>, ele acaba se tornando um pouco mais presente posteriormente a sua citação e acaba por se tornar um modelo usável pelos pesquisadores da área de políticas públicas. </w:t>
      </w:r>
    </w:p>
    <w:p w14:paraId="3D66316D"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A pesquisadora Silvia </w:t>
      </w:r>
      <w:proofErr w:type="spellStart"/>
      <w:r w:rsidRPr="0099424E">
        <w:rPr>
          <w:rFonts w:cs="Times New Roman"/>
          <w:szCs w:val="24"/>
          <w:lang w:val="pt-BR"/>
        </w:rPr>
        <w:t>Aguião</w:t>
      </w:r>
      <w:proofErr w:type="spellEnd"/>
      <w:r w:rsidRPr="0099424E">
        <w:rPr>
          <w:rFonts w:cs="Times New Roman"/>
          <w:szCs w:val="24"/>
          <w:lang w:val="pt-BR"/>
        </w:rPr>
        <w:t xml:space="preserve"> em sua tese de doutorado em Ciências Sociais na Universidade Estadual de Campinas (Unicamp) intitulada “</w:t>
      </w:r>
      <w:hyperlink r:id="rId12" w:history="1">
        <w:r w:rsidRPr="0099424E">
          <w:rPr>
            <w:rStyle w:val="Hyperlink"/>
            <w:rFonts w:cs="Times New Roman"/>
            <w:szCs w:val="24"/>
            <w:lang w:val="pt-BR"/>
          </w:rPr>
          <w:t>Fazer-se no Estado: uma etnografia sobre o processo de constituição dos "LGBT</w:t>
        </w:r>
      </w:hyperlink>
      <w:r w:rsidRPr="0099424E">
        <w:rPr>
          <w:rFonts w:cs="Times New Roman"/>
          <w:szCs w:val="24"/>
          <w:lang w:val="pt-BR"/>
        </w:rPr>
        <w:t>" (</w:t>
      </w:r>
      <w:proofErr w:type="spellStart"/>
      <w:r w:rsidRPr="0099424E">
        <w:rPr>
          <w:rFonts w:cs="Times New Roman"/>
          <w:szCs w:val="24"/>
          <w:lang w:val="pt-BR"/>
        </w:rPr>
        <w:t>Aguião</w:t>
      </w:r>
      <w:proofErr w:type="spellEnd"/>
      <w:r w:rsidRPr="0099424E">
        <w:rPr>
          <w:rFonts w:cs="Times New Roman"/>
          <w:szCs w:val="24"/>
          <w:lang w:val="pt-BR"/>
        </w:rPr>
        <w:t>, 2014. Pág. 177) como sujeitos de direitos no Brasil contemporâneo” vai separar uma sessão inteira para pensar o “Tripé da Cidadania LGBT” como parte do importante de sua tese. Ela vai dizer que: </w:t>
      </w:r>
    </w:p>
    <w:p w14:paraId="1482F8D8" w14:textId="1285BA3D" w:rsidR="0099424E" w:rsidRPr="0099424E" w:rsidRDefault="0099424E" w:rsidP="0078038A">
      <w:pPr>
        <w:spacing w:before="120" w:after="120"/>
        <w:ind w:firstLine="0"/>
        <w:rPr>
          <w:rFonts w:cs="Times New Roman"/>
          <w:szCs w:val="24"/>
          <w:lang w:val="pt-BR"/>
        </w:rPr>
      </w:pPr>
      <w:r w:rsidRPr="0099424E">
        <w:rPr>
          <w:rFonts w:cs="Times New Roman"/>
          <w:szCs w:val="24"/>
          <w:lang w:val="pt-BR"/>
        </w:rPr>
        <w:t xml:space="preserve">O </w:t>
      </w:r>
      <w:r w:rsidRPr="0099424E">
        <w:rPr>
          <w:rFonts w:cs="Times New Roman"/>
          <w:b/>
          <w:bCs/>
          <w:szCs w:val="24"/>
          <w:lang w:val="pt-BR"/>
        </w:rPr>
        <w:t>“tripé da cidadania”</w:t>
      </w:r>
      <w:r w:rsidRPr="0099424E">
        <w:rPr>
          <w:rFonts w:cs="Times New Roman"/>
          <w:szCs w:val="24"/>
          <w:lang w:val="pt-BR"/>
        </w:rPr>
        <w:t xml:space="preserve"> é a fórmula que vem sendo utilizada </w:t>
      </w:r>
      <w:r w:rsidR="00F6130A" w:rsidRPr="0078038A">
        <w:rPr>
          <w:rFonts w:cs="Times New Roman"/>
          <w:szCs w:val="24"/>
          <w:lang w:val="pt-BR"/>
        </w:rPr>
        <w:t>para expressar</w:t>
      </w:r>
      <w:r w:rsidRPr="0099424E">
        <w:rPr>
          <w:rFonts w:cs="Times New Roman"/>
          <w:szCs w:val="24"/>
          <w:lang w:val="pt-BR"/>
        </w:rPr>
        <w:t xml:space="preserve"> uma das principais reivindicações do movimento LGBT na atualidade e se refere à implantação de três medidas nas esferas municipais e estaduais de governo: coordenadorias LGBT, conselhos LGBT e planos de combate à homofobia nos níveis locais. </w:t>
      </w:r>
    </w:p>
    <w:p w14:paraId="7F912C90" w14:textId="77777777" w:rsidR="0099424E" w:rsidRPr="0099424E" w:rsidRDefault="0099424E" w:rsidP="0078038A">
      <w:pPr>
        <w:spacing w:before="120" w:after="120"/>
        <w:ind w:firstLine="0"/>
        <w:rPr>
          <w:rFonts w:cs="Times New Roman"/>
          <w:szCs w:val="24"/>
          <w:lang w:val="pt-BR"/>
        </w:rPr>
      </w:pPr>
      <w:r w:rsidRPr="0099424E">
        <w:rPr>
          <w:rFonts w:cs="Times New Roman"/>
          <w:szCs w:val="24"/>
          <w:lang w:val="pt-BR"/>
        </w:rPr>
        <w:t>E apesar de sua pesquisa focar na construção da burocracia estatal pelas bases clássicas das ciências sociais, pouco foi aprofundado conceitualmente por ela para discutir o que o “tripé da cidadania” representa para além de sua forma expressa na fala original. Desta mesma forma o tripé vai aparecer em outros textos (Vergili, Brasil e Capella. 2015; Pereira, 2025) como um modelo a ser alcançado pelos governos em instância municipal, estadual e federal. </w:t>
      </w:r>
    </w:p>
    <w:p w14:paraId="7F67960E" w14:textId="3C7D364F" w:rsidR="0099424E" w:rsidRPr="0099424E" w:rsidRDefault="00F6130A" w:rsidP="0078038A">
      <w:pPr>
        <w:spacing w:before="120" w:after="120"/>
        <w:ind w:firstLine="0"/>
        <w:rPr>
          <w:rFonts w:cs="Times New Roman"/>
          <w:szCs w:val="24"/>
          <w:lang w:val="pt-BR"/>
        </w:rPr>
      </w:pPr>
      <w:r w:rsidRPr="0078038A">
        <w:rPr>
          <w:rFonts w:cs="Times New Roman"/>
          <w:szCs w:val="24"/>
          <w:lang w:val="pt-BR"/>
        </w:rPr>
        <w:lastRenderedPageBreak/>
        <w:t>Outras autoras/es</w:t>
      </w:r>
      <w:r w:rsidR="0099424E" w:rsidRPr="0099424E">
        <w:rPr>
          <w:rFonts w:cs="Times New Roman"/>
          <w:szCs w:val="24"/>
          <w:lang w:val="pt-BR"/>
        </w:rPr>
        <w:t xml:space="preserve"> se demonstram muito importantes para o desenvolvimento dessa teoria, mas em razão da complexidade do assunto, neste momento, não conseguiremos fazer uma análise mais aprofundada sobre o tema. Nesse sentido, iremos avançar para a análise dos parâmetros que utilizamos na aplicação e renovação do conceito de tripé da cidadania nos quais esta pesquisa se baseia. </w:t>
      </w:r>
    </w:p>
    <w:p w14:paraId="5C868FBF" w14:textId="77777777" w:rsidR="00F6130A" w:rsidRPr="00F6130A" w:rsidRDefault="00F6130A" w:rsidP="0078038A">
      <w:pPr>
        <w:spacing w:before="120" w:after="120"/>
        <w:ind w:firstLine="0"/>
        <w:rPr>
          <w:rFonts w:cs="Times New Roman"/>
          <w:szCs w:val="24"/>
          <w:lang w:val="pt-BR"/>
        </w:rPr>
      </w:pPr>
      <w:r w:rsidRPr="00F6130A">
        <w:rPr>
          <w:rFonts w:cs="Times New Roman"/>
          <w:szCs w:val="24"/>
          <w:lang w:val="pt-BR"/>
        </w:rPr>
        <w:t xml:space="preserve">Neste trabalho utilizamos o termo “Tripé da Cidadania LGBTI+” voltado para a estruturação das políticas públicas matriciais, pois estas políticas se baseiam nessa estrutura tripartite composta por um </w:t>
      </w:r>
      <w:r w:rsidRPr="00F6130A">
        <w:rPr>
          <w:rFonts w:cs="Times New Roman"/>
          <w:i/>
          <w:iCs/>
          <w:szCs w:val="24"/>
          <w:lang w:val="pt-BR"/>
        </w:rPr>
        <w:t>Órgão Gestor LGBTI+</w:t>
      </w:r>
      <w:r w:rsidRPr="00F6130A">
        <w:rPr>
          <w:rFonts w:cs="Times New Roman"/>
          <w:szCs w:val="24"/>
          <w:lang w:val="pt-BR"/>
        </w:rPr>
        <w:t xml:space="preserve"> que organiza, planeja, formula, gere, coordena e supervisiona políticas públicas no tema LGBT+ no Poder Executivo. Além disso, faz parte da estrutura o </w:t>
      </w:r>
      <w:r w:rsidRPr="00F6130A">
        <w:rPr>
          <w:rFonts w:cs="Times New Roman"/>
          <w:i/>
          <w:iCs/>
          <w:szCs w:val="24"/>
          <w:lang w:val="pt-BR"/>
        </w:rPr>
        <w:t>Conselho LGBTI+</w:t>
      </w:r>
      <w:r w:rsidRPr="00F6130A">
        <w:rPr>
          <w:rFonts w:cs="Times New Roman"/>
          <w:szCs w:val="24"/>
          <w:lang w:val="pt-BR"/>
        </w:rPr>
        <w:t>, órgão colegiado composto por membros de secretarias ou ministérios, bem como da sociedade civil, com natureza deliberativa sobre assuntos de interesse da comunidade LGBTI+ com o fim de elaborar diretrizes, fiscalizar, avaliar e fazer o controle social de políticas públicas para a população LGBTI+. Por fim, a terceira base originalmente se caracterizava pela simples e pura presença de um plano governamental. </w:t>
      </w:r>
    </w:p>
    <w:p w14:paraId="314581A8" w14:textId="77777777" w:rsidR="00F6130A" w:rsidRPr="00F6130A" w:rsidRDefault="00F6130A" w:rsidP="0078038A">
      <w:pPr>
        <w:spacing w:before="120" w:after="120"/>
        <w:ind w:firstLine="0"/>
        <w:rPr>
          <w:rFonts w:cs="Times New Roman"/>
          <w:szCs w:val="24"/>
          <w:lang w:val="pt-BR"/>
        </w:rPr>
      </w:pPr>
      <w:r w:rsidRPr="00F6130A">
        <w:rPr>
          <w:rFonts w:cs="Times New Roman"/>
          <w:szCs w:val="24"/>
          <w:lang w:val="pt-BR"/>
        </w:rPr>
        <w:t xml:space="preserve">Contudo, entendemos que, para esta terceira parte, a simples presença (ou ausência) de um </w:t>
      </w:r>
      <w:r w:rsidRPr="00F6130A">
        <w:rPr>
          <w:rFonts w:cs="Times New Roman"/>
          <w:i/>
          <w:iCs/>
          <w:szCs w:val="24"/>
          <w:lang w:val="pt-BR"/>
        </w:rPr>
        <w:t>Plano LGBTI+</w:t>
      </w:r>
      <w:r w:rsidRPr="00F6130A">
        <w:rPr>
          <w:rFonts w:cs="Times New Roman"/>
          <w:szCs w:val="24"/>
          <w:lang w:val="pt-BR"/>
        </w:rPr>
        <w:t xml:space="preserve"> com diretrizes, metas e ações torna-se um indicador limitado de análise das políticas públicas matriciais. Por esta razão, a complementamos com a presença de um </w:t>
      </w:r>
      <w:r w:rsidRPr="00F6130A">
        <w:rPr>
          <w:rFonts w:cs="Times New Roman"/>
          <w:i/>
          <w:iCs/>
          <w:szCs w:val="24"/>
          <w:lang w:val="pt-BR"/>
        </w:rPr>
        <w:t xml:space="preserve">Programa LGBTI+ </w:t>
      </w:r>
      <w:r w:rsidRPr="00F6130A">
        <w:rPr>
          <w:rFonts w:cs="Times New Roman"/>
          <w:szCs w:val="24"/>
          <w:lang w:val="pt-BR"/>
        </w:rPr>
        <w:t>para atendimento à população e promoção da cidadania LGBTI+. Além disso, questões orçamentárias são extremamente importantes, razão pela qual um programa efetivo e eficiente necessita de orçamento para sua execução e existência.</w:t>
      </w:r>
    </w:p>
    <w:p w14:paraId="528BD9C1" w14:textId="77777777" w:rsidR="00F6130A" w:rsidRPr="0078038A" w:rsidRDefault="00F6130A" w:rsidP="0078038A">
      <w:pPr>
        <w:spacing w:before="120" w:after="120"/>
        <w:ind w:firstLine="0"/>
        <w:rPr>
          <w:rFonts w:cs="Times New Roman"/>
          <w:szCs w:val="24"/>
          <w:lang w:val="pt-BR"/>
        </w:rPr>
      </w:pPr>
      <w:r w:rsidRPr="00F6130A">
        <w:rPr>
          <w:rFonts w:cs="Times New Roman"/>
          <w:szCs w:val="24"/>
          <w:lang w:val="pt-BR"/>
        </w:rPr>
        <w:t xml:space="preserve">Por tais motivos, reinterpretamos o conceito inicial do “Tripé da Cidadania LGBTI+” para investigar a presença específica e dedicada de (i) um </w:t>
      </w:r>
      <w:r w:rsidRPr="00F6130A">
        <w:rPr>
          <w:rFonts w:cs="Times New Roman"/>
          <w:b/>
          <w:bCs/>
          <w:szCs w:val="24"/>
          <w:lang w:val="pt-BR"/>
        </w:rPr>
        <w:t>Órgão Gestor LGBTI+</w:t>
      </w:r>
      <w:r w:rsidRPr="00F6130A">
        <w:rPr>
          <w:rFonts w:cs="Times New Roman"/>
          <w:szCs w:val="24"/>
          <w:lang w:val="pt-BR"/>
        </w:rPr>
        <w:t>, (</w:t>
      </w:r>
      <w:proofErr w:type="spellStart"/>
      <w:r w:rsidRPr="00F6130A">
        <w:rPr>
          <w:rFonts w:cs="Times New Roman"/>
          <w:szCs w:val="24"/>
          <w:lang w:val="pt-BR"/>
        </w:rPr>
        <w:t>ii</w:t>
      </w:r>
      <w:proofErr w:type="spellEnd"/>
      <w:r w:rsidRPr="00F6130A">
        <w:rPr>
          <w:rFonts w:cs="Times New Roman"/>
          <w:szCs w:val="24"/>
          <w:lang w:val="pt-BR"/>
        </w:rPr>
        <w:t xml:space="preserve">) um </w:t>
      </w:r>
      <w:r w:rsidRPr="00F6130A">
        <w:rPr>
          <w:rFonts w:cs="Times New Roman"/>
          <w:b/>
          <w:bCs/>
          <w:szCs w:val="24"/>
          <w:lang w:val="pt-BR"/>
        </w:rPr>
        <w:t>Conselho LGBTI+</w:t>
      </w:r>
      <w:r w:rsidRPr="00F6130A">
        <w:rPr>
          <w:rFonts w:cs="Times New Roman"/>
          <w:szCs w:val="24"/>
          <w:lang w:val="pt-BR"/>
        </w:rPr>
        <w:t xml:space="preserve"> e (</w:t>
      </w:r>
      <w:proofErr w:type="spellStart"/>
      <w:r w:rsidRPr="00F6130A">
        <w:rPr>
          <w:rFonts w:cs="Times New Roman"/>
          <w:szCs w:val="24"/>
          <w:lang w:val="pt-BR"/>
        </w:rPr>
        <w:t>iii</w:t>
      </w:r>
      <w:proofErr w:type="spellEnd"/>
      <w:r w:rsidRPr="00F6130A">
        <w:rPr>
          <w:rFonts w:cs="Times New Roman"/>
          <w:szCs w:val="24"/>
          <w:lang w:val="pt-BR"/>
        </w:rPr>
        <w:t xml:space="preserve">) uma </w:t>
      </w:r>
      <w:r w:rsidRPr="00F6130A">
        <w:rPr>
          <w:rFonts w:cs="Times New Roman"/>
          <w:b/>
          <w:bCs/>
          <w:szCs w:val="24"/>
          <w:lang w:val="pt-BR"/>
        </w:rPr>
        <w:t xml:space="preserve">Política LGBTI+ </w:t>
      </w:r>
      <w:r w:rsidRPr="00F6130A">
        <w:rPr>
          <w:rFonts w:cs="Times New Roman"/>
          <w:szCs w:val="24"/>
          <w:lang w:val="pt-BR"/>
        </w:rPr>
        <w:t xml:space="preserve">voltada para planejamento e promoção de subsídios para construção e implementação de políticas públicas LGBTI+, composta por um plano com ações e metas para o enfrentamento da LGBTfobia e promoção da cidadania LGBTI+ e um programa implementado para atendimento e acolhimento das demandas da população LGBTI+. No centro disso tudo está o </w:t>
      </w:r>
      <w:r w:rsidRPr="00F6130A">
        <w:rPr>
          <w:rFonts w:cs="Times New Roman"/>
          <w:b/>
          <w:bCs/>
          <w:szCs w:val="24"/>
          <w:lang w:val="pt-BR"/>
        </w:rPr>
        <w:t>Orçamento</w:t>
      </w:r>
      <w:r w:rsidRPr="00F6130A">
        <w:rPr>
          <w:rFonts w:cs="Times New Roman"/>
          <w:szCs w:val="24"/>
          <w:lang w:val="pt-BR"/>
        </w:rPr>
        <w:t>, como conjunto de recursos financeiros formalmente previstos para viabilizar a execução e sustentabilidade das políticas públicas LGBTI+. </w:t>
      </w:r>
    </w:p>
    <w:p w14:paraId="58239B5B" w14:textId="77777777" w:rsidR="00F6130A" w:rsidRPr="00F6130A" w:rsidRDefault="00F6130A" w:rsidP="0078038A">
      <w:pPr>
        <w:spacing w:before="120" w:after="120"/>
        <w:ind w:firstLine="0"/>
        <w:rPr>
          <w:rFonts w:cs="Times New Roman"/>
          <w:szCs w:val="24"/>
          <w:lang w:val="pt-BR"/>
        </w:rPr>
      </w:pPr>
      <w:r w:rsidRPr="00F6130A">
        <w:rPr>
          <w:rFonts w:cs="Times New Roman"/>
          <w:szCs w:val="24"/>
          <w:lang w:val="pt-BR"/>
        </w:rPr>
        <w:t xml:space="preserve">Somado a isso estão as </w:t>
      </w:r>
      <w:r w:rsidRPr="00F6130A">
        <w:rPr>
          <w:rFonts w:cs="Times New Roman"/>
          <w:i/>
          <w:iCs/>
          <w:szCs w:val="24"/>
          <w:lang w:val="pt-BR"/>
        </w:rPr>
        <w:t>políticas setoriais</w:t>
      </w:r>
      <w:r w:rsidRPr="00F6130A">
        <w:rPr>
          <w:rFonts w:cs="Times New Roman"/>
          <w:szCs w:val="24"/>
          <w:lang w:val="pt-BR"/>
        </w:rPr>
        <w:t xml:space="preserve">. Políticas públicas matriciais, ainda que necessárias e importantes para um pensamento estrutural e sistêmico sobre os problemas da população LGBTI+, não são suficientes, por si só, para resolverem e atenderem de forma eficiente as demandas da população, dado que há diversas questões específicas em diversos setores da </w:t>
      </w:r>
      <w:r w:rsidRPr="00F6130A">
        <w:rPr>
          <w:rFonts w:cs="Times New Roman"/>
          <w:szCs w:val="24"/>
          <w:lang w:val="pt-BR"/>
        </w:rPr>
        <w:lastRenderedPageBreak/>
        <w:t>sociedade. Nesse sentido, pensar políticas públicas LGBTI+ ultrapassa o conceito do “Tripé da Cidadania LGBTI+”, questão necessária e importante, porém insuficiente diante da complexidade das sociedades contemporâneas, em especial a brasileira, necessitando ser integrada com políticas públicas setoriais, direitos efetivados na legislação estadual e um sistema composto por órgãos com dever de controlar o governo estadual, bem como promover a cidadania da população LGBTI+. </w:t>
      </w:r>
    </w:p>
    <w:p w14:paraId="690BC3F4" w14:textId="77777777" w:rsidR="00F6130A" w:rsidRPr="00F6130A" w:rsidRDefault="00F6130A" w:rsidP="0078038A">
      <w:pPr>
        <w:spacing w:before="120" w:after="120"/>
        <w:ind w:firstLine="0"/>
        <w:rPr>
          <w:rFonts w:cs="Times New Roman"/>
          <w:szCs w:val="24"/>
          <w:lang w:val="pt-BR"/>
        </w:rPr>
      </w:pPr>
      <w:r w:rsidRPr="00F6130A">
        <w:rPr>
          <w:rFonts w:cs="Times New Roman"/>
          <w:szCs w:val="24"/>
          <w:lang w:val="pt-BR"/>
        </w:rPr>
        <w:t>Acerca dos direitos, um estado que se proponha a proteger a população LGBTI+ da violência, bem como promova a cidadania destas pessoas, necessita formalizar, mediante atos normativos válidos, essas conquistas e garantias. Isso é necessário, primeiramente, como forma de destacar a importância desta política como assunto de Estado, especialmente se houver a publicação via Lei. Além disso, é preciso evitar retrocessos, tornando cada vez mais essas conquistas sólidas e perenes no tempo. Para isso, quanto mais resistente e rígida for esta normativa, mais difícil será a sua alteração ou revogação em caso de um governo fundamentalista. Mais ainda, quanto maior sua hierarquia jurídica, maior o seu caráter compulsório para os órgãos do governo e dos demais poderes. </w:t>
      </w:r>
    </w:p>
    <w:p w14:paraId="036955F0" w14:textId="05642338" w:rsidR="00F6130A" w:rsidRPr="00F6130A" w:rsidRDefault="00F6130A" w:rsidP="0078038A">
      <w:pPr>
        <w:spacing w:before="120" w:after="120"/>
        <w:ind w:firstLine="0"/>
        <w:rPr>
          <w:rFonts w:cs="Times New Roman"/>
          <w:szCs w:val="24"/>
          <w:lang w:val="pt-BR"/>
        </w:rPr>
      </w:pPr>
      <w:r w:rsidRPr="00F6130A">
        <w:rPr>
          <w:rFonts w:cs="Times New Roman"/>
          <w:szCs w:val="24"/>
          <w:lang w:val="pt-BR"/>
        </w:rPr>
        <w:t>Por fim, sobre o sistema de controle, são cinco as instituições que elencamos como fundamentais nessa missão de controle do Poder Executivo estadual, bem como possuem como dever a redução da violência LGBTfóbica e promoção da cidadania LGBT: Ministério Público, Defensoria Pública, Tribunal de Justiça, Polícia Civil e Assembleia Legislativa. Juntos, esse sistema funciona como um estimulador de políticas públicas e fiscalização das ações exercidas pelo governo. </w:t>
      </w:r>
    </w:p>
    <w:p w14:paraId="56A08F2F" w14:textId="77777777" w:rsidR="00F6130A" w:rsidRPr="0078038A" w:rsidRDefault="00F6130A" w:rsidP="0078038A">
      <w:pPr>
        <w:spacing w:before="120" w:after="120"/>
        <w:rPr>
          <w:rFonts w:cs="Times New Roman"/>
          <w:szCs w:val="24"/>
          <w:lang w:val="pt-BR"/>
        </w:rPr>
      </w:pPr>
    </w:p>
    <w:p w14:paraId="01DA705F" w14:textId="01EA4926" w:rsidR="00650DE7" w:rsidRPr="0078038A" w:rsidRDefault="00000000" w:rsidP="0078038A">
      <w:pPr>
        <w:spacing w:before="120" w:after="120"/>
        <w:ind w:firstLine="0"/>
        <w:rPr>
          <w:rFonts w:cs="Times New Roman"/>
          <w:b/>
          <w:szCs w:val="24"/>
          <w:lang w:val="pt-BR"/>
        </w:rPr>
      </w:pPr>
      <w:r w:rsidRPr="0078038A">
        <w:rPr>
          <w:rFonts w:cs="Times New Roman"/>
          <w:b/>
          <w:szCs w:val="24"/>
          <w:lang w:val="pt-BR"/>
        </w:rPr>
        <w:t>4</w:t>
      </w:r>
      <w:r w:rsidR="00F61585" w:rsidRPr="0078038A">
        <w:rPr>
          <w:rFonts w:cs="Times New Roman"/>
          <w:b/>
          <w:szCs w:val="24"/>
          <w:lang w:val="pt-BR"/>
        </w:rPr>
        <w:t xml:space="preserve">. </w:t>
      </w:r>
      <w:r w:rsidRPr="0078038A">
        <w:rPr>
          <w:rFonts w:cs="Times New Roman"/>
          <w:b/>
          <w:szCs w:val="24"/>
          <w:lang w:val="pt-BR"/>
        </w:rPr>
        <w:t>DESENVOLVIMENTO</w:t>
      </w:r>
    </w:p>
    <w:p w14:paraId="20AD8990" w14:textId="77777777" w:rsidR="0078038A" w:rsidRPr="0078038A" w:rsidRDefault="0078038A" w:rsidP="0078038A">
      <w:pPr>
        <w:spacing w:before="120" w:after="120"/>
        <w:ind w:firstLine="0"/>
        <w:rPr>
          <w:rFonts w:cs="Times New Roman"/>
          <w:szCs w:val="24"/>
          <w:lang w:val="pt-BR"/>
        </w:rPr>
      </w:pPr>
    </w:p>
    <w:p w14:paraId="44DA0D52" w14:textId="279F768C" w:rsidR="0078038A" w:rsidRPr="0078038A" w:rsidRDefault="0078038A" w:rsidP="0078038A">
      <w:pPr>
        <w:spacing w:before="120" w:after="120"/>
        <w:ind w:firstLine="0"/>
        <w:rPr>
          <w:rFonts w:cs="Times New Roman"/>
          <w:b/>
          <w:szCs w:val="24"/>
          <w:lang w:val="pt-BR"/>
        </w:rPr>
      </w:pPr>
      <w:r w:rsidRPr="0078038A">
        <w:rPr>
          <w:rFonts w:cs="Times New Roman"/>
          <w:b/>
          <w:szCs w:val="24"/>
          <w:lang w:val="pt-BR"/>
        </w:rPr>
        <w:t>4.1 Ciclo de políticas públicas LGBTI+</w:t>
      </w:r>
    </w:p>
    <w:p w14:paraId="5A21C6E2" w14:textId="02EA9403" w:rsidR="0078038A" w:rsidRPr="0078038A" w:rsidRDefault="0078038A" w:rsidP="0078038A">
      <w:pPr>
        <w:spacing w:before="120" w:after="120"/>
        <w:ind w:firstLine="0"/>
        <w:rPr>
          <w:rFonts w:cs="Times New Roman"/>
          <w:bCs/>
          <w:szCs w:val="24"/>
          <w:lang w:val="pt-BR"/>
        </w:rPr>
      </w:pPr>
      <w:r w:rsidRPr="0078038A">
        <w:rPr>
          <w:rFonts w:cs="Times New Roman"/>
          <w:bCs/>
          <w:szCs w:val="24"/>
          <w:lang w:val="pt-BR"/>
        </w:rPr>
        <w:t>De forma geral, observamos que há quatro fases distintas entre 1990 (primeiro governo democrático pós ditadura) e 2025. Cada fase foi relacionada a uma estação do ano e tendo como metáfora o ciclo de vida de uma árvore. A primeira fase (1990-2002) compreende a primavera, momento de construção das bases, formação da estrutura e estabelecimento dos princípios necessários para que as sementes possam dar frutos e, assim, se desenvolver. Em seguida (2003-2015) chegamos ao verão, época de abundância e crescimento na qual muitas plantas atingem seu pico de desenvolvimento. A seguir (2015-2019), chega o outono, uma</w:t>
      </w:r>
      <w:r w:rsidRPr="0078038A">
        <w:rPr>
          <w:rFonts w:cs="Times New Roman"/>
          <w:bCs/>
          <w:szCs w:val="24"/>
          <w:lang w:val="pt-BR"/>
        </w:rPr>
        <w:t xml:space="preserve"> </w:t>
      </w:r>
      <w:r w:rsidRPr="0078038A">
        <w:rPr>
          <w:rFonts w:cs="Times New Roman"/>
          <w:bCs/>
          <w:szCs w:val="24"/>
          <w:lang w:val="pt-BR"/>
        </w:rPr>
        <w:lastRenderedPageBreak/>
        <w:t xml:space="preserve">estação marcada pela queda das folhas e que antecede o inverno (2019-2022), um período marcado pela interrupção do crescimento (e muitas vezes retrocesso), na qual as árvores </w:t>
      </w:r>
      <w:r w:rsidRPr="0078038A">
        <w:rPr>
          <w:rFonts w:cs="Times New Roman"/>
          <w:bCs/>
          <w:szCs w:val="24"/>
          <w:lang w:val="pt-BR"/>
        </w:rPr>
        <w:t>renunciam à</w:t>
      </w:r>
      <w:r w:rsidRPr="0078038A">
        <w:rPr>
          <w:rFonts w:cs="Times New Roman"/>
          <w:bCs/>
          <w:szCs w:val="24"/>
          <w:lang w:val="pt-BR"/>
        </w:rPr>
        <w:t xml:space="preserve"> sua exuberância em prol da sua sobrevivência. Por fim, no período atual (2023-2025) encontramos uma realidade ainda indefinida e que nos questiona qual rumo iremos tomar.</w:t>
      </w:r>
    </w:p>
    <w:p w14:paraId="6A1D3370" w14:textId="27338A1D" w:rsidR="0078038A" w:rsidRPr="0078038A" w:rsidRDefault="0078038A" w:rsidP="0078038A">
      <w:pPr>
        <w:spacing w:before="120" w:after="120"/>
        <w:ind w:firstLine="0"/>
        <w:rPr>
          <w:rFonts w:cs="Times New Roman"/>
          <w:bCs/>
          <w:szCs w:val="24"/>
          <w:lang w:val="pt-BR"/>
        </w:rPr>
      </w:pPr>
      <w:r w:rsidRPr="0078038A">
        <w:rPr>
          <w:rFonts w:cs="Times New Roman"/>
          <w:bCs/>
          <w:noProof/>
          <w:szCs w:val="24"/>
          <w:lang w:val="pt-BR"/>
        </w:rPr>
        <w:drawing>
          <wp:anchor distT="0" distB="0" distL="114300" distR="114300" simplePos="0" relativeHeight="251668992" behindDoc="0" locked="0" layoutInCell="1" allowOverlap="1" wp14:anchorId="6DB1D578" wp14:editId="429C580C">
            <wp:simplePos x="0" y="0"/>
            <wp:positionH relativeFrom="column">
              <wp:posOffset>5715</wp:posOffset>
            </wp:positionH>
            <wp:positionV relativeFrom="paragraph">
              <wp:posOffset>5715</wp:posOffset>
            </wp:positionV>
            <wp:extent cx="2343150" cy="2606040"/>
            <wp:effectExtent l="0" t="0" r="0" b="3810"/>
            <wp:wrapSquare wrapText="bothSides"/>
            <wp:docPr id="11804240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2606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8A">
        <w:rPr>
          <w:rFonts w:cs="Times New Roman"/>
          <w:bCs/>
          <w:szCs w:val="24"/>
          <w:lang w:val="pt-BR"/>
        </w:rPr>
        <w:t>O mito de Deméter e Perséfone ilustra bem esse ciclo. O rapto de Perséfone por Hades leva Deméter à tristeza e à suspensão da fertilidade da Terra, gerando o período do inverno. Quando Perséfone retorna, ocorre o renascimento da natureza, simbolizando a primavera e o verão. Essa narrativa ilustra a renovação cíclica da vida, similar à passagem das estações. O conto mitológico grego acima é uma metáfora para o histórico de políticas LGBTI+ no Brasil.</w:t>
      </w:r>
    </w:p>
    <w:p w14:paraId="6C235FB6" w14:textId="71F61BC0" w:rsidR="0078038A" w:rsidRPr="0078038A" w:rsidRDefault="0078038A" w:rsidP="0078038A">
      <w:pPr>
        <w:spacing w:before="120" w:after="120"/>
        <w:ind w:firstLine="0"/>
        <w:rPr>
          <w:rFonts w:cs="Times New Roman"/>
          <w:b/>
          <w:szCs w:val="24"/>
          <w:lang w:val="pt-BR"/>
        </w:rPr>
      </w:pPr>
    </w:p>
    <w:p w14:paraId="34159BDE" w14:textId="487B28CA"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2</w:t>
      </w:r>
      <w:r w:rsidRPr="0078038A">
        <w:rPr>
          <w:rFonts w:cs="Times New Roman"/>
          <w:b/>
          <w:szCs w:val="24"/>
          <w:lang w:val="pt-BR"/>
        </w:rPr>
        <w:t xml:space="preserve"> Das bases históricas à construção de uma pauta pública</w:t>
      </w:r>
    </w:p>
    <w:p w14:paraId="3C0965B3" w14:textId="62DACD72"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Ao sistematizar as informações sobre o desenvolvimento de políticas públicas LGBTI+ no nível federal, nos deparamos com um cenário complexo, bastante ramificado intersetorialmente e marcado por diferentes temporalidades. O objetivo desta análise é investigar as políticas públicas LGBTI+ no Brasil enquanto marcos históricos, a fim de visualizar possíveis caminhos atuais e futuros para essa política. Isso permite uma visualização estratégica para </w:t>
      </w:r>
      <w:proofErr w:type="gramStart"/>
      <w:r w:rsidRPr="0078038A">
        <w:rPr>
          <w:rFonts w:cs="Times New Roman"/>
          <w:szCs w:val="24"/>
          <w:lang w:val="pt-BR"/>
        </w:rPr>
        <w:t>melhor</w:t>
      </w:r>
      <w:proofErr w:type="gramEnd"/>
      <w:r w:rsidRPr="0078038A">
        <w:rPr>
          <w:rFonts w:cs="Times New Roman"/>
          <w:szCs w:val="24"/>
          <w:lang w:val="pt-BR"/>
        </w:rPr>
        <w:t xml:space="preserve"> tomada de decisão </w:t>
      </w:r>
      <w:r w:rsidR="00F61585" w:rsidRPr="0078038A">
        <w:rPr>
          <w:rFonts w:cs="Times New Roman"/>
          <w:szCs w:val="24"/>
          <w:lang w:val="pt-BR"/>
        </w:rPr>
        <w:t>e</w:t>
      </w:r>
      <w:r w:rsidRPr="0078038A">
        <w:rPr>
          <w:rFonts w:cs="Times New Roman"/>
          <w:szCs w:val="24"/>
          <w:lang w:val="pt-BR"/>
        </w:rPr>
        <w:t xml:space="preserve"> para prevenir contra possíveis ataques à institucionalização das políticas públicas, especialmente no nível federal.</w:t>
      </w:r>
    </w:p>
    <w:p w14:paraId="4F8F4A89"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No final dos anos 1970, em plena reabertura política, emergiu o então Movimento Homossexual Brasileiro, influenciado especialmente pelas feministas e pelo movimento negro. As organizações do movimento homossexual e das travestis, por diferentes caminhos, nasceram como resposta ao período da ditadura civil-militar, marcado pela repressão, discriminação e estigma. Eram pessoas que buscavam se fortalecer, se entender e se organizar para além do processo naturalizado de violência vivenciada. As políticas públicas voltadas para a população LGBTI+ até então eram inexistentes ou praticamente nulas.</w:t>
      </w:r>
    </w:p>
    <w:p w14:paraId="472B40B0"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lastRenderedPageBreak/>
        <w:t>A década de 1980 foi ambivalente. Por um lado, houve avanços importantes na despatologização da homossexualidade e na organização de redes de solidariedade. Por outro, a epidemia de HIV/Aids reforçou discursos patologizantes e moralizantes, associando a população LGBTI+ à doença, ao pecado e à morte. Ainda assim, a mobilização comunitária e a pressão sobre o Estado promoveram mudanças relevantes, sobretudo no campo da saúde. As respostas comunitárias à epidemia desempenharam papel decisivo na articulação entre ativismo, reivindicação de direitos e demanda por políticas públicas.</w:t>
      </w:r>
    </w:p>
    <w:p w14:paraId="615D6E63"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Essas bases são importantes porque mostram que a política pública LGBTI+ não surge de uma decisão administrativa repentina. Ela é resultado de um longo processo de reivindicação social, conflito, acumulação institucional e disputa de sentidos. O que mais tarde o Programa Atena irá chamar de “políticas matriciais nacionais” nasce desse acúmulo histórico, no qual direitos, participação, cidadania e enfrentamento à violência vão, gradativamente, sendo traduzidos em linguagem estatal.</w:t>
      </w:r>
    </w:p>
    <w:p w14:paraId="72F2A41C" w14:textId="77777777" w:rsidR="00F61585" w:rsidRPr="0078038A" w:rsidRDefault="00F61585" w:rsidP="0078038A">
      <w:pPr>
        <w:spacing w:before="120" w:after="120"/>
        <w:ind w:firstLine="0"/>
        <w:rPr>
          <w:rFonts w:cs="Times New Roman"/>
          <w:b/>
          <w:szCs w:val="24"/>
          <w:lang w:val="pt-BR"/>
        </w:rPr>
      </w:pPr>
    </w:p>
    <w:p w14:paraId="5860AC9F" w14:textId="0D660974"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3</w:t>
      </w:r>
      <w:r w:rsidRPr="0078038A">
        <w:rPr>
          <w:rFonts w:cs="Times New Roman"/>
          <w:b/>
          <w:szCs w:val="24"/>
          <w:lang w:val="pt-BR"/>
        </w:rPr>
        <w:t xml:space="preserve"> Primavera: Ministério da Justiça e assentamento das bases (1990-2002)</w:t>
      </w:r>
    </w:p>
    <w:p w14:paraId="0FCB35BE"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primeira fase do ciclo histórico foi associada à primavera. Trata-se de um momento de construção das bases, formação da estrutura e estabelecimento dos princípios necessários para que as sementes possam dar frutos e, assim, se desenvolver. Sem essa fase, além de uma evolução imperfeita, estaria sendo pulada uma etapa importante do amadurecimento institucional. É preciso tempo para evoluir.</w:t>
      </w:r>
    </w:p>
    <w:p w14:paraId="01D975AC" w14:textId="2C2142E4"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Até 1990, não havia uma expressiva implementação de direitos constitucionalmente garantidos no Brasil no campo dos direitos humanos em geral e, menos ainda, da pauta LGBTI+ em particular. A redemocratização, a eleição de Fernando Collor e a promulgação da Constituição de 1988 </w:t>
      </w:r>
      <w:r w:rsidR="00F61585" w:rsidRPr="0078038A">
        <w:rPr>
          <w:rFonts w:cs="Times New Roman"/>
          <w:szCs w:val="24"/>
          <w:lang w:val="pt-BR"/>
        </w:rPr>
        <w:t>criaram um</w:t>
      </w:r>
      <w:r w:rsidRPr="0078038A">
        <w:rPr>
          <w:rFonts w:cs="Times New Roman"/>
          <w:szCs w:val="24"/>
          <w:lang w:val="pt-BR"/>
        </w:rPr>
        <w:t xml:space="preserve"> ambiente jurídico e político, mas o período entre 1990 e 2002 foi marcado por forte instabilidade política e econômica. Nessa conjuntura, a agenda LGBTI+ ainda aparecia de forma muito indireta, vinculada a estruturas mais amplas de cidadania, direitos humanos e minorias.</w:t>
      </w:r>
    </w:p>
    <w:p w14:paraId="0E83EB14"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No âmbito federal, a fase da primavera é caracterizada pelo florescimento inicial de estruturas ligadas ao Ministério da Justiça e ao campo da cidadania. Ainda não havia um órgão gestor propriamente LGBTI+, tampouco um sistema matricial robusto. O tema aparecia acoplado a estruturas de direitos humanos, com baixa especificidade. Não obstante, esse período é </w:t>
      </w:r>
      <w:r w:rsidRPr="0078038A">
        <w:rPr>
          <w:rFonts w:cs="Times New Roman"/>
          <w:szCs w:val="24"/>
          <w:lang w:val="pt-BR"/>
        </w:rPr>
        <w:lastRenderedPageBreak/>
        <w:t>relevante porque inaugura uma gramática institucional de cidadania e de promoção de direitos, sem a qual os avanços posteriores seriam ainda mais difíceis.</w:t>
      </w:r>
    </w:p>
    <w:p w14:paraId="75DE1C75"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 dado essencial aqui é que a pauta ainda não havia alcançado a densidade necessária para se autonomizar como política pública específica. Essa baixa especificidade ajuda a explicar por que, nas fases seguintes, a disputa por nomeação, posição hierárquica e espaço institucional se tornará tão central. Em contextos de baixa rigidez normativa e baixa especialização administrativa, a política tende a permanecer dependente de rearranjos internos e da disposição política dos governantes.</w:t>
      </w:r>
    </w:p>
    <w:p w14:paraId="2A142E1F" w14:textId="436A4D8B" w:rsidR="00F61585" w:rsidRPr="0078038A" w:rsidRDefault="00F61585" w:rsidP="0078038A">
      <w:pPr>
        <w:spacing w:before="120" w:after="120"/>
        <w:ind w:firstLine="0"/>
        <w:rPr>
          <w:rFonts w:cs="Times New Roman"/>
          <w:szCs w:val="24"/>
          <w:lang w:val="pt-BR"/>
        </w:rPr>
      </w:pPr>
      <w:r w:rsidRPr="0078038A">
        <w:rPr>
          <w:rFonts w:cs="Times New Roman"/>
          <w:szCs w:val="24"/>
          <w:lang w:val="pt-BR"/>
        </w:rPr>
        <w:t>Destacam-se os seguintes marcos históricos (Collor, Itamar, FHC I &amp; II):</w:t>
      </w:r>
    </w:p>
    <w:p w14:paraId="2F4BB039" w14:textId="730BD2A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 xml:space="preserve">(1989) Constituições </w:t>
      </w:r>
      <w:hyperlink r:id="rId14" w:tgtFrame="_blank" w:history="1">
        <w:r w:rsidRPr="00F61585">
          <w:rPr>
            <w:rStyle w:val="Hyperlink"/>
            <w:rFonts w:cs="Times New Roman"/>
            <w:szCs w:val="24"/>
            <w:lang w:val="pt-BR"/>
          </w:rPr>
          <w:t>Estado de Sergipe</w:t>
        </w:r>
      </w:hyperlink>
      <w:r w:rsidRPr="00F61585">
        <w:rPr>
          <w:rFonts w:cs="Times New Roman"/>
          <w:szCs w:val="24"/>
          <w:lang w:val="pt-BR"/>
        </w:rPr>
        <w:t xml:space="preserve"> e do </w:t>
      </w:r>
      <w:hyperlink r:id="rId15" w:tgtFrame="_blank" w:history="1">
        <w:r w:rsidRPr="00F61585">
          <w:rPr>
            <w:rStyle w:val="Hyperlink"/>
            <w:rFonts w:cs="Times New Roman"/>
            <w:szCs w:val="24"/>
            <w:lang w:val="pt-BR"/>
          </w:rPr>
          <w:t>Estado de Mato Grosso</w:t>
        </w:r>
      </w:hyperlink>
      <w:r w:rsidRPr="00F61585">
        <w:rPr>
          <w:rFonts w:cs="Times New Roman"/>
          <w:szCs w:val="24"/>
          <w:lang w:val="pt-BR"/>
        </w:rPr>
        <w:t xml:space="preserve">, ambas promulgadas em 05 de outubro de 1989, </w:t>
      </w:r>
      <w:r w:rsidRPr="0078038A">
        <w:rPr>
          <w:rFonts w:cs="Times New Roman"/>
          <w:szCs w:val="24"/>
          <w:lang w:val="pt-BR"/>
        </w:rPr>
        <w:t>proíbem</w:t>
      </w:r>
      <w:r w:rsidRPr="00F61585">
        <w:rPr>
          <w:rFonts w:cs="Times New Roman"/>
          <w:szCs w:val="24"/>
          <w:lang w:val="pt-BR"/>
        </w:rPr>
        <w:t xml:space="preserve"> a discriminação por orientação sexual.</w:t>
      </w:r>
    </w:p>
    <w:p w14:paraId="05B456DF"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 xml:space="preserve">(1990) O Ministério da Justiça (MJ) era a estrutura administrativa de primeiro nível responsável pela gerência deste tema. O termo “cidadania” era muito utilizado como forma de representar os interesses referentes à promoção dos Direitos Humanos. Com o surgimento da Secretaria Nacional de Direitos Humanos (SNDH) em 1996 há uma nova etapa de institucionalização na proteção dos direitos humanos no Brasil. Até então, não citavam especificamente, dentre suas competências, qual grupo identitário. A este órgão gestor competia os cuidados dos “direitos da cidadania, direitos da criança, do adolescente, dos índios e das minorias”. </w:t>
      </w:r>
    </w:p>
    <w:p w14:paraId="72756C85"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(1996) Programa Nacional de Direitos Humanos (PNDH), primeiro Plano a incluir “homossexuais” na lista de grupos vulneráveis.</w:t>
      </w:r>
    </w:p>
    <w:p w14:paraId="1DD11D69"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 xml:space="preserve">(1997) Conselho Federal de Medicina (CFM) autoriza a realização de cirurgias de redesignação sexual no Brasil </w:t>
      </w:r>
    </w:p>
    <w:p w14:paraId="7A61F89E"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(1999) Conselho Federal de Psicologia (CFP) proíbe qualquer tipo de tratamento ou “cura” de homossexualidades por parte desses profissionais.</w:t>
      </w:r>
    </w:p>
    <w:p w14:paraId="1B8BBD70"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 xml:space="preserve">(2000) INSS publica Instrução Normativa que estabeleceu procedimentos para a concessão de pensão por morte de companheiro ou companheira homossexual. </w:t>
      </w:r>
    </w:p>
    <w:p w14:paraId="5AEF24DD" w14:textId="77777777" w:rsidR="00F61585" w:rsidRPr="00F61585" w:rsidRDefault="00F61585" w:rsidP="0078038A">
      <w:pPr>
        <w:numPr>
          <w:ilvl w:val="0"/>
          <w:numId w:val="10"/>
        </w:numPr>
        <w:spacing w:before="120" w:after="120"/>
        <w:rPr>
          <w:rFonts w:cs="Times New Roman"/>
          <w:szCs w:val="24"/>
          <w:lang w:val="pt-BR"/>
        </w:rPr>
      </w:pPr>
      <w:r w:rsidRPr="00F61585">
        <w:rPr>
          <w:rFonts w:cs="Times New Roman"/>
          <w:szCs w:val="24"/>
          <w:lang w:val="pt-BR"/>
        </w:rPr>
        <w:t xml:space="preserve">(2002) PNDH-2, com um capítulo exclusivo para “orientação sexual” (metas 114 a 118), propostas que falam explicitamente sobre adoção e guarda (162-163), um </w:t>
      </w:r>
      <w:r w:rsidRPr="00F61585">
        <w:rPr>
          <w:rFonts w:cs="Times New Roman"/>
          <w:szCs w:val="24"/>
          <w:lang w:val="pt-BR"/>
        </w:rPr>
        <w:lastRenderedPageBreak/>
        <w:t xml:space="preserve">capítulo inteiro sobre Gays, Lésbicas, Travestis e Bissexuais - GLTTB (240-249) e propostas setoriais na saúde (378) e mercado de trabalho (389). </w:t>
      </w:r>
    </w:p>
    <w:p w14:paraId="544B0AF6" w14:textId="77777777" w:rsidR="00F61585" w:rsidRPr="0078038A" w:rsidRDefault="00F61585" w:rsidP="0078038A">
      <w:pPr>
        <w:spacing w:before="120" w:after="120"/>
        <w:ind w:firstLine="0"/>
        <w:rPr>
          <w:rFonts w:cs="Times New Roman"/>
          <w:szCs w:val="24"/>
          <w:lang w:val="pt-BR"/>
        </w:rPr>
      </w:pPr>
    </w:p>
    <w:p w14:paraId="64F69C34" w14:textId="7B430477"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4</w:t>
      </w:r>
      <w:r w:rsidRPr="0078038A">
        <w:rPr>
          <w:rFonts w:cs="Times New Roman"/>
          <w:b/>
          <w:szCs w:val="24"/>
          <w:lang w:val="pt-BR"/>
        </w:rPr>
        <w:t xml:space="preserve"> Verão: Presidência da República e centralidade política (2003-2015)</w:t>
      </w:r>
    </w:p>
    <w:p w14:paraId="63D35FB7"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segunda fase, representando o verão, é marcada pela plenitude e pela intensidade. É o momento em que tudo floresce em sua forma mais expansiva: os frutos amadurecem, os dias se alongam e a vitalidade se impõe com força. No plano das políticas públicas LGBTI+, esse período corresponde ao primeiro momento de visibilidade estruturante em nível nacional.</w:t>
      </w:r>
    </w:p>
    <w:p w14:paraId="3F0BCDBE"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Não significa que antes disso a população LGBTI+ fosse totalmente negligenciada, mas ainda não havia políticas pensadas de maneira mais sistemática para proteção e concretização de direitos constitucionais desse grupo. Apesar de ainda não haver previsão consistente no PPA com orçamento e metas específicas em todo o período, a criação e o fortalecimento de estruturas específicas de direitos humanos na Presidência da República representam avanço considerável.</w:t>
      </w:r>
    </w:p>
    <w:p w14:paraId="42E0B8D5"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Ainda no primeiro mandato do governo Lula, verifica-se a publicação do programa Brasil sem Homofobia, que trouxe diretrizes estratégicas para a pauta, embora ainda sem metas concretas, mensuráveis e delimitadas dentro de um projeto nacional suficientemente estruturado. Contudo, esse programa foi essencial para o desenvolvimento das bases da política pública, especialmente via Conselho Nacional de Combate à Discriminação, que passou a incorporar a discussão LGBTI+ e a abrir um espaço público deliberativo para o exercício da autonomia subjetiva e da cidadania.</w:t>
      </w:r>
    </w:p>
    <w:p w14:paraId="421F8FCE"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Esse momento foi crucial para que as demais políticas florescessem. Por isso, o Programa Atena insiste no desenvolvimento de órgãos gestores e conselhos LGBTI+ como instrumentos necessários para a efetivação de direitos em nível nacional, regional e local. O verão foi também o período das conferências nacionais, do fortalecimento do Conselho, do PNDH-3 e da tentativa de construir uma política mais sistêmica de participação e promoção da cidadania.</w:t>
      </w:r>
    </w:p>
    <w:p w14:paraId="4FDCB62A"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É precisamente aqui que se vê a diferença entre expansão política e consolidação estatal. O período 2003-2015 foi, sem dúvida, o de maior centralidade da agenda, maior visibilidade pública e maior produção de diretrizes. Contudo, muitos desses avanços permaneceram dependentes da Presidência da República, de estruturas específicas de direitos humanos e de uma coalizão governamental favorável. A densidade simbólica foi alta; a densidade normativa, orçamentária e federativa, nem sempre acompanhou o mesmo ritmo.</w:t>
      </w:r>
    </w:p>
    <w:p w14:paraId="61454B6A"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lastRenderedPageBreak/>
        <w:t>Em outras palavras, o verão produziu florescimento, mas não resolveu integralmente o problema da perenidade. A política avançou em linguagem, participação, legitimidade e desenho inicial, porém ainda sem um sistema nacional robusto que garantisse sua reprodução em cenários adversos. Essa contradição ajuda a explicar por que os ataques posteriores conseguiram desorganizar de modo tão profundo uma agenda que, à primeira vista, parecia bem sedimentada.</w:t>
      </w:r>
    </w:p>
    <w:p w14:paraId="16A80A68" w14:textId="5C9C2D5A" w:rsidR="0030608F" w:rsidRPr="0078038A" w:rsidRDefault="0030608F" w:rsidP="0078038A">
      <w:pPr>
        <w:spacing w:before="120" w:after="120"/>
        <w:ind w:firstLine="0"/>
        <w:rPr>
          <w:rFonts w:cs="Times New Roman"/>
          <w:szCs w:val="24"/>
          <w:lang w:val="pt-BR"/>
        </w:rPr>
      </w:pPr>
      <w:r w:rsidRPr="0078038A">
        <w:rPr>
          <w:rFonts w:cs="Times New Roman"/>
          <w:szCs w:val="24"/>
          <w:lang w:val="pt-BR"/>
        </w:rPr>
        <w:t>Destacam-se os seguintes marcos históricos (</w:t>
      </w:r>
      <w:r w:rsidRPr="0078038A">
        <w:rPr>
          <w:rFonts w:cs="Times New Roman"/>
          <w:szCs w:val="24"/>
          <w:lang w:val="pt-BR"/>
        </w:rPr>
        <w:t>Lula I &amp; II</w:t>
      </w:r>
      <w:r w:rsidRPr="0078038A">
        <w:rPr>
          <w:rFonts w:cs="Times New Roman"/>
          <w:szCs w:val="24"/>
          <w:lang w:val="pt-BR"/>
        </w:rPr>
        <w:t>):</w:t>
      </w:r>
    </w:p>
    <w:p w14:paraId="5D9B8700" w14:textId="77777777" w:rsidR="0030608F" w:rsidRPr="0078038A" w:rsidRDefault="0030608F" w:rsidP="0078038A">
      <w:pPr>
        <w:numPr>
          <w:ilvl w:val="0"/>
          <w:numId w:val="11"/>
        </w:numPr>
        <w:spacing w:before="120" w:after="120"/>
        <w:rPr>
          <w:rFonts w:cs="Times New Roman"/>
          <w:szCs w:val="24"/>
          <w:lang w:val="pt-BR"/>
        </w:rPr>
      </w:pPr>
      <w:r w:rsidRPr="0030608F">
        <w:rPr>
          <w:rFonts w:cs="Times New Roman"/>
          <w:szCs w:val="24"/>
          <w:lang w:val="pt-BR"/>
        </w:rPr>
        <w:t>(2001) Criação do Combate Nacional de Combate à Discriminação (CNCD), representando a “</w:t>
      </w:r>
      <w:r w:rsidRPr="0030608F">
        <w:rPr>
          <w:rFonts w:cs="Times New Roman"/>
          <w:i/>
          <w:iCs/>
          <w:szCs w:val="24"/>
          <w:lang w:val="pt-BR"/>
        </w:rPr>
        <w:t xml:space="preserve">comunidade negra, que se ocupem de temas relacionados com a promoção da </w:t>
      </w:r>
      <w:proofErr w:type="spellStart"/>
      <w:r w:rsidRPr="0030608F">
        <w:rPr>
          <w:rFonts w:cs="Times New Roman"/>
          <w:i/>
          <w:iCs/>
          <w:szCs w:val="24"/>
          <w:lang w:val="pt-BR"/>
        </w:rPr>
        <w:t>igualade</w:t>
      </w:r>
      <w:proofErr w:type="spellEnd"/>
      <w:r w:rsidRPr="0030608F">
        <w:rPr>
          <w:rFonts w:cs="Times New Roman"/>
          <w:i/>
          <w:iCs/>
          <w:szCs w:val="24"/>
          <w:lang w:val="pt-BR"/>
        </w:rPr>
        <w:t xml:space="preserve"> e com o combate a todas as formas de discriminação</w:t>
      </w:r>
      <w:r w:rsidRPr="0030608F">
        <w:rPr>
          <w:rFonts w:cs="Times New Roman"/>
          <w:szCs w:val="24"/>
          <w:lang w:val="pt-BR"/>
        </w:rPr>
        <w:t xml:space="preserve">”. Em 2005, passou a trazer na sua composição 15 representantes “das populações negra, indígena e do segmento ‘gays’, lésbicas, transgêneros e bissexuais - GLTB”. A abertura do debate via CNCD (Conselho) permitiu que houvesse a ocupação de um espaço público deliberativo para fins exercício da autonomia subjetiva dos indivíduos para exercício da sua cidadania. Esse momento foi crucial para que as demais políticas públicas a seguir florescessem, razão pela qual se insiste no desenvolvimento de órgãos gestores e conselhos LGBTI+ como instrumentos necessários para a efetivação de direitos a nível nacional, regional e local. </w:t>
      </w:r>
    </w:p>
    <w:p w14:paraId="4F65FD4B" w14:textId="77777777" w:rsidR="0030608F" w:rsidRPr="0030608F" w:rsidRDefault="0030608F" w:rsidP="0078038A">
      <w:pPr>
        <w:numPr>
          <w:ilvl w:val="0"/>
          <w:numId w:val="11"/>
        </w:numPr>
        <w:spacing w:before="120" w:after="120"/>
        <w:rPr>
          <w:rFonts w:cs="Times New Roman"/>
          <w:szCs w:val="24"/>
          <w:lang w:val="pt-BR"/>
        </w:rPr>
      </w:pPr>
      <w:r w:rsidRPr="0030608F">
        <w:rPr>
          <w:rFonts w:cs="Times New Roman"/>
          <w:szCs w:val="24"/>
          <w:lang w:val="pt-BR"/>
        </w:rPr>
        <w:t>(2004) Brasil sem Homofobia, com diretrizes estratégicas para a pauta, mas ainda sem metas objetivas concretas, mensuráveis e delimitadas dentro de um projeto político nacional.</w:t>
      </w:r>
    </w:p>
    <w:p w14:paraId="3D623566" w14:textId="549B07DB" w:rsidR="0030608F" w:rsidRPr="0078038A" w:rsidRDefault="0030608F" w:rsidP="0078038A">
      <w:pPr>
        <w:numPr>
          <w:ilvl w:val="0"/>
          <w:numId w:val="11"/>
        </w:numPr>
        <w:spacing w:before="120" w:after="120"/>
        <w:rPr>
          <w:rFonts w:cs="Times New Roman"/>
          <w:szCs w:val="24"/>
          <w:lang w:val="pt-BR"/>
        </w:rPr>
      </w:pPr>
      <w:r w:rsidRPr="0030608F">
        <w:rPr>
          <w:rFonts w:cs="Times New Roman"/>
          <w:szCs w:val="24"/>
          <w:lang w:val="pt-BR"/>
        </w:rPr>
        <w:t xml:space="preserve">(2005) Plano Nacional de Políticas para as Mulheres, com 25 metas sobre voltadas para </w:t>
      </w:r>
      <w:proofErr w:type="spellStart"/>
      <w:r w:rsidRPr="0030608F">
        <w:rPr>
          <w:rFonts w:cs="Times New Roman"/>
          <w:szCs w:val="24"/>
          <w:lang w:val="pt-BR"/>
        </w:rPr>
        <w:t>orietação</w:t>
      </w:r>
      <w:proofErr w:type="spellEnd"/>
      <w:r w:rsidRPr="0030608F">
        <w:rPr>
          <w:rFonts w:cs="Times New Roman"/>
          <w:szCs w:val="24"/>
          <w:lang w:val="pt-BR"/>
        </w:rPr>
        <w:t xml:space="preserve"> sexual, lésbicas e travestis e transexuais.</w:t>
      </w:r>
    </w:p>
    <w:p w14:paraId="5C15A2F1" w14:textId="77777777" w:rsidR="0030608F" w:rsidRPr="0030608F" w:rsidRDefault="0030608F" w:rsidP="0078038A">
      <w:pPr>
        <w:spacing w:before="120" w:after="120"/>
        <w:ind w:firstLine="0"/>
        <w:rPr>
          <w:rFonts w:cs="Times New Roman"/>
          <w:szCs w:val="24"/>
          <w:lang w:val="pt-BR"/>
        </w:rPr>
      </w:pPr>
    </w:p>
    <w:p w14:paraId="5CB7E793"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(2007) No governo Lula II (2007-2010) tem-se a inserção de metas objetivas com orçamento dedicado dentro do Plano Plurianual federal para 2008-2011.</w:t>
      </w:r>
    </w:p>
    <w:p w14:paraId="163BEAF7"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(2008) 1ª Conferência Nacional GLBT</w:t>
      </w:r>
    </w:p>
    <w:p w14:paraId="13B1C32D" w14:textId="6E86E199"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 xml:space="preserve">(2009) Plano Nacional LGBT: mesmo sem </w:t>
      </w:r>
      <w:r w:rsidRPr="0078038A">
        <w:rPr>
          <w:rFonts w:cs="Times New Roman"/>
          <w:szCs w:val="24"/>
          <w:lang w:val="pt-BR"/>
        </w:rPr>
        <w:t>uma</w:t>
      </w:r>
      <w:r w:rsidRPr="0030608F">
        <w:rPr>
          <w:rFonts w:cs="Times New Roman"/>
          <w:szCs w:val="24"/>
          <w:lang w:val="pt-BR"/>
        </w:rPr>
        <w:t xml:space="preserve"> normativa que o garantisse a robustez ideal, o plano estabeleceu metas concretas a serem realizadas, com indicação de prazo e responsáveis dentro da administração pública federal.</w:t>
      </w:r>
    </w:p>
    <w:p w14:paraId="259946BA"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lastRenderedPageBreak/>
        <w:t>(2009) PNDH-3, estabelecendo cinco ações programáticas a serem cumpridas de acordo com Planos de Ação bianuais.</w:t>
      </w:r>
    </w:p>
    <w:p w14:paraId="043B1BF3"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 xml:space="preserve">(2010) Reestrutura o CNCD apenas com representantes da população LGBT, sem divisão com outros grupos e identidades. Na prática, virou um Conselho exclusivo, ainda que sem o nome no seu título. </w:t>
      </w:r>
    </w:p>
    <w:p w14:paraId="6AABEC9A"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(2011) Dilma I repete a mesma estrutura administrativa para o órgão gestor nacional (Subsecretaria Nacional de Promoção e Defesa dos Direitos Humanos dentro a Presidência da República), mas apresentando metas mais robustas no PPA 2012-2015.</w:t>
      </w:r>
    </w:p>
    <w:p w14:paraId="60A0BA0B"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 xml:space="preserve">(2011) Julgamento da ADPF 132 e ADI 4277: decidiu pela interpretação conforme do §3º do art. 226 da Constituição Federal de 1998 entendendo que a orientação sexual não pode ser um fator determinante para o reconhecimento de uma união como estável e para o reconhecimento como entidade familiar. </w:t>
      </w:r>
    </w:p>
    <w:p w14:paraId="110E19A1"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(2011) Política Nacional de Saúde Integral LGBT</w:t>
      </w:r>
    </w:p>
    <w:p w14:paraId="64FA02F6"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(2011) 2ª Conferência Nacional LGBT, com a presença de mais de 600 pessoas delegadas.</w:t>
      </w:r>
    </w:p>
    <w:p w14:paraId="66509086"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(2013) Sistema Nacional LGBT, com o objetivo de organizar e promover políticas de promoção da cidadania e direitos de LGBT, compreendidas como conjunto de diretrizes a serem observadas na ação do Poder Público e na sua relação com os diversos segmentos da sociedade.</w:t>
      </w:r>
    </w:p>
    <w:p w14:paraId="3BC559DE" w14:textId="77777777" w:rsidR="0030608F" w:rsidRPr="0030608F" w:rsidRDefault="0030608F" w:rsidP="0078038A">
      <w:pPr>
        <w:numPr>
          <w:ilvl w:val="0"/>
          <w:numId w:val="12"/>
        </w:numPr>
        <w:spacing w:before="120" w:after="120"/>
        <w:rPr>
          <w:rFonts w:cs="Times New Roman"/>
          <w:szCs w:val="24"/>
          <w:lang w:val="pt-BR"/>
        </w:rPr>
      </w:pPr>
      <w:r w:rsidRPr="0030608F">
        <w:rPr>
          <w:rFonts w:cs="Times New Roman"/>
          <w:szCs w:val="24"/>
          <w:lang w:val="pt-BR"/>
        </w:rPr>
        <w:t>(2013) CNJ edita Resolução que dispõe sobre a habilitação, celebração de casamento civil, ou de conversão de união estável em casamento, entre pessoas de mesmo sexo. Na prática, permite o casamento, proibindo qualquer tipo de recusa cartorária.</w:t>
      </w:r>
    </w:p>
    <w:p w14:paraId="1622E04C" w14:textId="77777777" w:rsidR="0030608F" w:rsidRPr="0078038A" w:rsidRDefault="0030608F" w:rsidP="0078038A">
      <w:pPr>
        <w:spacing w:before="120" w:after="120"/>
        <w:ind w:firstLine="0"/>
        <w:rPr>
          <w:rFonts w:cs="Times New Roman"/>
          <w:szCs w:val="24"/>
          <w:lang w:val="pt-BR"/>
        </w:rPr>
      </w:pPr>
    </w:p>
    <w:p w14:paraId="48806734" w14:textId="77777777" w:rsidR="0030608F" w:rsidRPr="0078038A" w:rsidRDefault="0030608F" w:rsidP="0078038A">
      <w:pPr>
        <w:spacing w:before="120" w:after="120"/>
        <w:ind w:firstLine="0"/>
        <w:rPr>
          <w:rFonts w:cs="Times New Roman"/>
          <w:szCs w:val="24"/>
          <w:lang w:val="pt-BR"/>
        </w:rPr>
      </w:pPr>
    </w:p>
    <w:p w14:paraId="3A6AF966" w14:textId="47167259"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5</w:t>
      </w:r>
      <w:r w:rsidRPr="0078038A">
        <w:rPr>
          <w:rFonts w:cs="Times New Roman"/>
          <w:b/>
          <w:szCs w:val="24"/>
          <w:lang w:val="pt-BR"/>
        </w:rPr>
        <w:t xml:space="preserve"> Outono: transição, barganha e perda de centralidade (2015-2019)</w:t>
      </w:r>
    </w:p>
    <w:p w14:paraId="34EE9A5E"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terceira fase, representando o outono, é caracterizada pela transição e pelo desapego. As folhas que caem não representam apenas perda, mas um tempo de balanço, de avaliação e de preparação para o recolhimento que virá. No plano político, esse período coincide com crises institucionais, barganhas ministeriais, impeachment e reestruturações administrativas que afetaram diretamente a pauta LGBTI+.</w:t>
      </w:r>
    </w:p>
    <w:p w14:paraId="40A4D999" w14:textId="47899E6C" w:rsidR="00650DE7" w:rsidRPr="0078038A" w:rsidRDefault="00000000" w:rsidP="0078038A">
      <w:pPr>
        <w:spacing w:before="120" w:after="120"/>
        <w:ind w:firstLine="0"/>
        <w:rPr>
          <w:rFonts w:cs="Times New Roman"/>
          <w:szCs w:val="24"/>
          <w:lang w:val="pt-BR"/>
        </w:rPr>
      </w:pPr>
      <w:r w:rsidRPr="0078038A">
        <w:rPr>
          <w:rFonts w:cs="Times New Roman"/>
          <w:szCs w:val="24"/>
          <w:lang w:val="pt-BR"/>
        </w:rPr>
        <w:lastRenderedPageBreak/>
        <w:t>O início do segundo governo Dilma é descrito com a expressão “ganhou, mas não levou”. A reestruturação ministerial realizada em 2015, em meio às negociações para evitar o processo de impedimento, afetou diretamente a agenda LGBTI+. Criou-se um arranjo institucional confuso, sem revogar inteiramente marcos anteriores, mas também sem assegurar centralidade, clareza de competências ou posição hierárquica consistente para o tema.</w:t>
      </w:r>
    </w:p>
    <w:p w14:paraId="0F3C8712"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Com o impeachment e a ascensão de Michel Temer, a situação se agravou. As estruturas continuaram a existir de modo parcial e intermitente, mas sem a mesma densidade política do período anterior. O tema LGBTI+ permaneceu presente, porém em posições administrativas inferiores, com menor visibilidade e menor capacidade de indução. O que o outono revela, portanto, é a fragilidade da política quando depende de acomodações governamentais e não de amarras estatais mais rígidas.</w:t>
      </w:r>
    </w:p>
    <w:p w14:paraId="201671C4"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Esse período é decisivo para o argumento do presente trabalho porque mostra que a descontinuidade não começa necessariamente no momento mais abertamente hostil. Antes do desmonte explícito, há processos de perda de centralidade, rearranjos silenciosos, rebaixamentos organizacionais e diluição da pauta em estruturas mais amplas. A passagem do verão ao outono é a passagem da centralidade à dispersão.</w:t>
      </w:r>
    </w:p>
    <w:p w14:paraId="699C8978" w14:textId="77777777" w:rsidR="0030608F" w:rsidRPr="0078038A" w:rsidRDefault="0030608F" w:rsidP="0078038A">
      <w:pPr>
        <w:spacing w:before="120" w:after="120"/>
        <w:ind w:firstLine="0"/>
        <w:rPr>
          <w:rFonts w:cs="Times New Roman"/>
          <w:szCs w:val="24"/>
          <w:lang w:val="pt-BR"/>
        </w:rPr>
      </w:pPr>
    </w:p>
    <w:p w14:paraId="181736D6" w14:textId="451C1734"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6</w:t>
      </w:r>
      <w:r w:rsidRPr="0078038A">
        <w:rPr>
          <w:rFonts w:cs="Times New Roman"/>
          <w:b/>
          <w:szCs w:val="24"/>
          <w:lang w:val="pt-BR"/>
        </w:rPr>
        <w:t xml:space="preserve"> Inverno: desestruturação do tripé e apagamento institucional (2019-2022)</w:t>
      </w:r>
    </w:p>
    <w:p w14:paraId="4D9F5FEC"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fase do inverno é marcada pelo recolhimento e pela pausa. Os galhos nus e o silêncio da paisagem revelam um tempo em que a energia é preservada para ciclos seguintes, ainda que o crescimento visível pareça interrompido. No caso das políticas LGBTI+, porém, o inverno não foi apenas pausa: foi também um período de regressão, rebaixamento e apagamento.</w:t>
      </w:r>
    </w:p>
    <w:p w14:paraId="762FB2B4"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 governo Bolsonaro trouxe diversos retrocessos no campo dos direitos humanos. Uma das mais importantes foi a desestruturação dos pilares da cidadania LGBTI+: órgão gestor, conselho e plano. Não à toa, o Programa Atena insiste no Tripé da Cidadania como elemento estruturante da efetivação de direitos. Sabendo disso, os ataques se dirigiram essencialmente sobre esses tripés, o que gerou a derrubada de parte importante de sua estrutura.</w:t>
      </w:r>
    </w:p>
    <w:p w14:paraId="1EE798A8" w14:textId="3552BBDA"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Quanto ao órgão gestor, a diretoria LGBT existente foi mantida inicialmente, mas depois rebaixada. Em seguida, no meio da pandemia, houve novo rebaixamento, acompanhado de mudança de denominação para “minorias sociais e população em situação de risco”. À primeira vista, essa fórmula poderia parecer apenas genérica. Contudo, mostra como ela opera um rebaixamento simbólico e político da pauta, equiparando a população LGBTI+ à ideia de </w:t>
      </w:r>
      <w:r w:rsidRPr="0078038A">
        <w:rPr>
          <w:rFonts w:cs="Times New Roman"/>
          <w:szCs w:val="24"/>
          <w:lang w:val="pt-BR"/>
        </w:rPr>
        <w:lastRenderedPageBreak/>
        <w:t>população de risco, em vez de afirmá-la em termos de direitos humanos e cidadania. Não se trata apenas de uma mudança linguística, mas de uma política institucional de apagamento da memória, invisibilização e enfraquecimento do poder político da agenda.</w:t>
      </w:r>
    </w:p>
    <w:p w14:paraId="35D822D9"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Quando se observam as atribuições desse departamento, percebe-se que o tema LGBTI+ passa a dividir espaço com uma série de competências muito distintas, o que dilui sua capacidade de coordenação. Em vez de fortalecer um órgão específico, optou-se por uma fórmula que reduziu autonomia, negociação institucional e independência na gestão de recursos. O inverno, assim, explicita como uma política de governo hostil consegue produzir efeitos profundos quando a política ainda não está suficientemente protegida como política de Estado.</w:t>
      </w:r>
    </w:p>
    <w:p w14:paraId="3FBDB30D"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 desmonte não se restringiu ao órgão gestor. O conselho perdeu protagonismo, os planos estruturantes desapareceram do centro da agenda e a lógica matricial foi desmontada. O resultado foi um quadro de baixa continuidade, baixa previsibilidade e forte dependência de resistências localizadas na sociedade civil, em órgãos de controle e em experiências subnacionais.</w:t>
      </w:r>
    </w:p>
    <w:p w14:paraId="1F1B23B8" w14:textId="77777777" w:rsidR="0030608F" w:rsidRPr="0030608F" w:rsidRDefault="0030608F" w:rsidP="0078038A">
      <w:pPr>
        <w:spacing w:before="120" w:after="120"/>
        <w:ind w:firstLine="0"/>
        <w:rPr>
          <w:rFonts w:cs="Times New Roman"/>
          <w:szCs w:val="24"/>
          <w:lang w:val="pt-BR"/>
        </w:rPr>
      </w:pPr>
      <w:r w:rsidRPr="0030608F">
        <w:rPr>
          <w:rFonts w:cs="Times New Roman"/>
          <w:szCs w:val="24"/>
          <w:lang w:val="pt-BR"/>
        </w:rPr>
        <w:t>Principais retrocessos (Bolsonaro)</w:t>
      </w:r>
    </w:p>
    <w:p w14:paraId="6F35FD64" w14:textId="77777777" w:rsidR="0030608F" w:rsidRPr="0030608F" w:rsidRDefault="0030608F" w:rsidP="0078038A">
      <w:pPr>
        <w:numPr>
          <w:ilvl w:val="0"/>
          <w:numId w:val="13"/>
        </w:numPr>
        <w:spacing w:before="120" w:after="120"/>
        <w:rPr>
          <w:rFonts w:cs="Times New Roman"/>
          <w:szCs w:val="24"/>
          <w:lang w:val="pt-BR"/>
        </w:rPr>
      </w:pPr>
      <w:r w:rsidRPr="0030608F">
        <w:rPr>
          <w:rFonts w:cs="Times New Roman"/>
          <w:szCs w:val="24"/>
          <w:lang w:val="pt-BR"/>
        </w:rPr>
        <w:t xml:space="preserve">(2019) Desestruturação do CNCD na sua composição (art. 3ª). No total, são quatro pessoas do poder público e três da sociedade civil, em desequilíbrio de forças. Soma-se a isso a mudança do nome do órgão, retirando o termo LGBT do CNCD, assim como a abrangência de conceitos e grupos possíveis de serem tutelados com a existência do órgão (art. 2º). </w:t>
      </w:r>
    </w:p>
    <w:p w14:paraId="0546E456" w14:textId="77777777" w:rsidR="0030608F" w:rsidRPr="0030608F" w:rsidRDefault="0030608F" w:rsidP="0078038A">
      <w:pPr>
        <w:numPr>
          <w:ilvl w:val="0"/>
          <w:numId w:val="13"/>
        </w:numPr>
        <w:spacing w:before="120" w:after="120"/>
        <w:rPr>
          <w:rFonts w:cs="Times New Roman"/>
          <w:szCs w:val="24"/>
          <w:lang w:val="pt-BR"/>
        </w:rPr>
      </w:pPr>
      <w:r w:rsidRPr="0030608F">
        <w:rPr>
          <w:rFonts w:cs="Times New Roman"/>
          <w:szCs w:val="24"/>
          <w:lang w:val="pt-BR"/>
        </w:rPr>
        <w:t>(2019) Revogação do Comitê de Acompanhamento e Monitoramento do PNDH3, responsável (entre outras competências) por estabelecer indicadores para o acompanhamento, monitoramento e avaliação dos Planos de Ação dos Direitos Humanos. Com isso, na prática, não é possível monitorar, avaliar, fiscalizar e implementar o cumprimento das metas previstas no Plano, em especial, aquelas voltadas para políticas públicas LGBTI+.</w:t>
      </w:r>
    </w:p>
    <w:p w14:paraId="0BB2663A" w14:textId="77777777" w:rsidR="0030608F" w:rsidRPr="0030608F" w:rsidRDefault="0030608F" w:rsidP="0078038A">
      <w:pPr>
        <w:numPr>
          <w:ilvl w:val="0"/>
          <w:numId w:val="13"/>
        </w:numPr>
        <w:spacing w:before="120" w:after="120"/>
        <w:rPr>
          <w:rFonts w:cs="Times New Roman"/>
          <w:szCs w:val="24"/>
          <w:lang w:val="pt-BR"/>
        </w:rPr>
      </w:pPr>
      <w:r w:rsidRPr="0030608F">
        <w:rPr>
          <w:rFonts w:cs="Times New Roman"/>
          <w:szCs w:val="24"/>
          <w:lang w:val="pt-BR"/>
        </w:rPr>
        <w:t xml:space="preserve">(2019) Revogação do Plano Nacional de Políticas para as Mulheres para o período de 2013 a 2015, contendo ao menos 25 metas voltadas para o público LBT. </w:t>
      </w:r>
    </w:p>
    <w:p w14:paraId="56086E46" w14:textId="77777777" w:rsidR="0030608F" w:rsidRPr="0030608F" w:rsidRDefault="0030608F" w:rsidP="0078038A">
      <w:pPr>
        <w:numPr>
          <w:ilvl w:val="0"/>
          <w:numId w:val="13"/>
        </w:numPr>
        <w:spacing w:before="120" w:after="120"/>
        <w:rPr>
          <w:rFonts w:cs="Times New Roman"/>
          <w:szCs w:val="24"/>
          <w:lang w:val="pt-BR"/>
        </w:rPr>
      </w:pPr>
      <w:r w:rsidRPr="0030608F">
        <w:rPr>
          <w:rFonts w:cs="Times New Roman"/>
          <w:szCs w:val="24"/>
          <w:lang w:val="pt-BR"/>
        </w:rPr>
        <w:t>(2019) Ausência de ações e estratégias específicas no Plano Plurianual de 2020-2023,</w:t>
      </w:r>
    </w:p>
    <w:p w14:paraId="3ED773A7" w14:textId="77777777" w:rsidR="0030608F" w:rsidRPr="0030608F" w:rsidRDefault="0030608F" w:rsidP="0078038A">
      <w:pPr>
        <w:spacing w:before="120" w:after="120"/>
        <w:ind w:firstLine="0"/>
        <w:rPr>
          <w:rFonts w:cs="Times New Roman"/>
          <w:szCs w:val="24"/>
          <w:lang w:val="pt-BR"/>
        </w:rPr>
      </w:pPr>
      <w:r w:rsidRPr="0030608F">
        <w:rPr>
          <w:rFonts w:cs="Times New Roman"/>
          <w:szCs w:val="24"/>
          <w:lang w:val="pt-BR"/>
        </w:rPr>
        <w:t>Principais contrapontos (Supremo Tribunal Federal)</w:t>
      </w:r>
    </w:p>
    <w:p w14:paraId="6A7CA9FA"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lastRenderedPageBreak/>
        <w:t>(2015) ADPF 291: Inconstitucionalidade do crime de pederastia ou outro ato de libidinagem</w:t>
      </w:r>
    </w:p>
    <w:p w14:paraId="4B91D3A1"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(2017) RE 464.721: Equiparação de regime sucessório entre cônjuges e companheiros em união estável homoafetiva.</w:t>
      </w:r>
    </w:p>
    <w:p w14:paraId="3470B256"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(2018) ADI 4275: alteração do nome e sexo de pessoas trans no registro civil.</w:t>
      </w:r>
    </w:p>
    <w:p w14:paraId="627667D4"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(2018) RE 670422: alteração do nome e sexo no registro civil de pessoas trans mesmo sem intervenção cirúrgica.</w:t>
      </w:r>
    </w:p>
    <w:p w14:paraId="737A2101"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(2019) MI 4733 e ADO 26 STF: Equiparação de atos homotransfóbicos ao crime de racismo</w:t>
      </w:r>
    </w:p>
    <w:p w14:paraId="2F512045"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(2020) ADPF 457 e 461: Inconstitucionalidade de leis municipais que proíbem ensino e discussão sobre gênero e orientação sexual nas escolas.</w:t>
      </w:r>
    </w:p>
    <w:p w14:paraId="564FC91D" w14:textId="77777777" w:rsidR="0030608F" w:rsidRPr="0030608F" w:rsidRDefault="0030608F" w:rsidP="0078038A">
      <w:pPr>
        <w:numPr>
          <w:ilvl w:val="0"/>
          <w:numId w:val="14"/>
        </w:numPr>
        <w:spacing w:before="120" w:after="120"/>
        <w:rPr>
          <w:rFonts w:cs="Times New Roman"/>
          <w:szCs w:val="24"/>
          <w:lang w:val="pt-BR"/>
        </w:rPr>
      </w:pPr>
      <w:r w:rsidRPr="0030608F">
        <w:rPr>
          <w:rFonts w:cs="Times New Roman"/>
          <w:szCs w:val="24"/>
          <w:lang w:val="pt-BR"/>
        </w:rPr>
        <w:t>(2020) ADI 5543: Inconstitucionalidade de impedimento de doação de sangue por homens que mantém relação com pessoas do mesmo sexo.</w:t>
      </w:r>
    </w:p>
    <w:p w14:paraId="5E7E42E4" w14:textId="77777777" w:rsidR="0030608F" w:rsidRPr="0078038A" w:rsidRDefault="0030608F" w:rsidP="0078038A">
      <w:pPr>
        <w:spacing w:before="120" w:after="120"/>
        <w:ind w:firstLine="0"/>
        <w:rPr>
          <w:rFonts w:cs="Times New Roman"/>
          <w:szCs w:val="24"/>
          <w:lang w:val="pt-BR"/>
        </w:rPr>
      </w:pPr>
    </w:p>
    <w:p w14:paraId="6B8AD9DA" w14:textId="2A48E346"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7</w:t>
      </w:r>
      <w:r w:rsidRPr="0078038A">
        <w:rPr>
          <w:rFonts w:cs="Times New Roman"/>
          <w:b/>
          <w:szCs w:val="24"/>
          <w:lang w:val="pt-BR"/>
        </w:rPr>
        <w:t xml:space="preserve"> Nova primavera: recomposição institucional e seus limites (2023-2025)</w:t>
      </w:r>
    </w:p>
    <w:p w14:paraId="48D4821F" w14:textId="3BC82BFC" w:rsidR="00650DE7" w:rsidRPr="0078038A" w:rsidRDefault="00000000" w:rsidP="0078038A">
      <w:pPr>
        <w:spacing w:before="120" w:after="120"/>
        <w:ind w:firstLine="0"/>
        <w:rPr>
          <w:rFonts w:cs="Times New Roman"/>
          <w:szCs w:val="24"/>
          <w:lang w:val="pt-BR"/>
        </w:rPr>
      </w:pPr>
      <w:r w:rsidRPr="0078038A">
        <w:rPr>
          <w:rFonts w:cs="Times New Roman"/>
          <w:szCs w:val="24"/>
          <w:lang w:val="pt-BR"/>
        </w:rPr>
        <w:t>Uma nova primavera não é apenas o retorno das flores. É o recomeço de tudo aquilo que, por um tempo, precisou recuar, recolher-se ou resistir ao frio. O momento atual do Estado brasileiro, em nível federal, é representado pela Secretaria Nacional dos Direitos das Pessoas LGBTQIA+ como órgão gestor, pelo Conselho Nacional dos Direitos das Pessoas LGBTQIA+ como conselho e por diversos programas de promoção da cidadania LGBTI+. Apesar de existirem outras estruturas que sigam nessa mesma linha, a reestruturação do Tripé da Cidadania LGBTI+ é destacada como fonte primordial de energia para o desenvolvimento de políticas públicas, não só em nível federal, mas também regional e local.</w:t>
      </w:r>
    </w:p>
    <w:p w14:paraId="1B90B7E8"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Secretaria Nacional dos Direitos das Pessoas LGBTQIA+ é o órgão gestor LGBTI+ mais desenvolvido, em termos de indicadores de políticas públicas, dentro da estrutura administrativa federal no Brasil. Para além de um suposto reconhecimento da sigla e do movimento, trata-se de uma necessidade social, política e econômica. O tema LGBTI+, enquanto marcador social, era um dos únicos sem representação específica no segundo nível da administração pública federal. Somente em 2018 se garantiu a primeira estrutura própria nominada especificamente como “LGBT” no terceiro nível. Em 2023, rompe-se positivamente esse paradigma ao elevar o tema ao segundo nível hierárquico.</w:t>
      </w:r>
    </w:p>
    <w:p w14:paraId="19EBEE30"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lastRenderedPageBreak/>
        <w:t>É importante destacar que essa decisão não possui impactos estritamente linguísticos ou de competência, mas também efeitos sobre independência na gestão de recursos financeiros, poder de negociação institucional e autonomia de decisão. Nisso reside um dos pontos centrais do tema “políticas de Estado e de governo”: a posição hierárquica do órgão importa para a capacidade real de coordenação da política.</w:t>
      </w:r>
    </w:p>
    <w:p w14:paraId="0B1D760A" w14:textId="2E8D134F" w:rsidR="00650DE7" w:rsidRPr="0078038A" w:rsidRDefault="0030608F" w:rsidP="0078038A">
      <w:pPr>
        <w:spacing w:before="120" w:after="120"/>
        <w:ind w:firstLine="0"/>
        <w:rPr>
          <w:rFonts w:cs="Times New Roman"/>
          <w:szCs w:val="24"/>
          <w:lang w:val="pt-BR"/>
        </w:rPr>
      </w:pPr>
      <w:r w:rsidRPr="0078038A">
        <w:rPr>
          <w:rFonts w:cs="Times New Roman"/>
          <w:szCs w:val="24"/>
          <w:lang w:val="pt-BR"/>
        </w:rPr>
        <w:t>A</w:t>
      </w:r>
      <w:r w:rsidR="00000000" w:rsidRPr="0078038A">
        <w:rPr>
          <w:rFonts w:cs="Times New Roman"/>
          <w:szCs w:val="24"/>
          <w:lang w:val="pt-BR"/>
        </w:rPr>
        <w:t xml:space="preserve"> Secretaria Nacional alcançou média 4,23</w:t>
      </w:r>
      <w:r w:rsidRPr="0078038A">
        <w:rPr>
          <w:rFonts w:cs="Times New Roman"/>
          <w:szCs w:val="24"/>
          <w:lang w:val="pt-BR"/>
        </w:rPr>
        <w:t xml:space="preserve"> na avaliação dos indicadores</w:t>
      </w:r>
      <w:r w:rsidR="00000000" w:rsidRPr="0078038A">
        <w:rPr>
          <w:rFonts w:cs="Times New Roman"/>
          <w:szCs w:val="24"/>
          <w:lang w:val="pt-BR"/>
        </w:rPr>
        <w:t>, a maior na história do</w:t>
      </w:r>
      <w:r w:rsidRPr="0078038A">
        <w:rPr>
          <w:rFonts w:cs="Times New Roman"/>
          <w:szCs w:val="24"/>
          <w:lang w:val="pt-BR"/>
        </w:rPr>
        <w:t xml:space="preserve">s órgãos gestores a nível </w:t>
      </w:r>
      <w:r w:rsidR="00000000" w:rsidRPr="0078038A">
        <w:rPr>
          <w:rFonts w:cs="Times New Roman"/>
          <w:szCs w:val="24"/>
          <w:lang w:val="pt-BR"/>
        </w:rPr>
        <w:t xml:space="preserve">federal. Seus pontos fortes incluem denominação específica, resistência, PPA matricial, PPA setorial e parte do conteúdo executado das metas previstas no PPA. Ainda assim, a existência recente afeta consideravelmente o indicador de estabilidade, bem como a liquidação do orçamento e a quantidade de metas executadas. </w:t>
      </w:r>
      <w:r w:rsidRPr="0078038A">
        <w:rPr>
          <w:rFonts w:cs="Times New Roman"/>
          <w:szCs w:val="24"/>
          <w:lang w:val="pt-BR"/>
        </w:rPr>
        <w:t xml:space="preserve">Ao mesmo tempo, </w:t>
      </w:r>
      <w:r w:rsidR="00000000" w:rsidRPr="0078038A">
        <w:rPr>
          <w:rFonts w:cs="Times New Roman"/>
          <w:szCs w:val="24"/>
          <w:lang w:val="pt-BR"/>
        </w:rPr>
        <w:t>convive com legados de desmonte, dispersão normativa, baixa rigidez jurídica e subfinanciamento crônico.</w:t>
      </w:r>
    </w:p>
    <w:p w14:paraId="044625DE" w14:textId="68591C51"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Da mesma forma, o </w:t>
      </w:r>
      <w:r w:rsidR="0030608F" w:rsidRPr="0078038A">
        <w:rPr>
          <w:rFonts w:cs="Times New Roman"/>
          <w:szCs w:val="24"/>
          <w:lang w:val="pt-BR"/>
        </w:rPr>
        <w:t>C</w:t>
      </w:r>
      <w:r w:rsidRPr="0078038A">
        <w:rPr>
          <w:rFonts w:cs="Times New Roman"/>
          <w:szCs w:val="24"/>
          <w:lang w:val="pt-BR"/>
        </w:rPr>
        <w:t xml:space="preserve">onselho </w:t>
      </w:r>
      <w:r w:rsidR="0030608F" w:rsidRPr="0078038A">
        <w:rPr>
          <w:rFonts w:cs="Times New Roman"/>
          <w:szCs w:val="24"/>
          <w:lang w:val="pt-BR"/>
        </w:rPr>
        <w:t>N</w:t>
      </w:r>
      <w:r w:rsidRPr="0078038A">
        <w:rPr>
          <w:rFonts w:cs="Times New Roman"/>
          <w:szCs w:val="24"/>
          <w:lang w:val="pt-BR"/>
        </w:rPr>
        <w:t>acional apresenta indicadores importantes quanto à participação, transparência e estrutura física, mas ainda precisa aprimorar resistência normativa, planejamento estratégico e maior integração com instrumentos de planejamento e orçamento. Em síntese, a recomposição existe, mas ainda não está plenamente sedimentada.</w:t>
      </w:r>
    </w:p>
    <w:p w14:paraId="2CF6C0AF" w14:textId="126730A7" w:rsidR="00350857" w:rsidRPr="00350857" w:rsidRDefault="00350857" w:rsidP="0078038A">
      <w:pPr>
        <w:spacing w:before="120" w:after="120"/>
        <w:ind w:firstLine="0"/>
        <w:rPr>
          <w:rFonts w:cs="Times New Roman"/>
          <w:bCs/>
          <w:szCs w:val="24"/>
          <w:lang w:val="pt-BR"/>
        </w:rPr>
      </w:pPr>
      <w:r w:rsidRPr="00350857">
        <w:rPr>
          <w:rFonts w:cs="Times New Roman"/>
          <w:bCs/>
          <w:szCs w:val="24"/>
          <w:lang w:val="pt-BR"/>
        </w:rPr>
        <w:t>Principais marcos históricos (Lula III)</w:t>
      </w:r>
      <w:r w:rsidR="00CA4334" w:rsidRPr="0078038A">
        <w:rPr>
          <w:rFonts w:cs="Times New Roman"/>
          <w:bCs/>
          <w:szCs w:val="24"/>
          <w:lang w:val="pt-BR"/>
        </w:rPr>
        <w:t>:</w:t>
      </w:r>
    </w:p>
    <w:p w14:paraId="114AD404"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(2024) Grupo de Trabalho para elaboração de estratégias para o enfrentamento à Violência Política de Gênero contra Mulheres Lésbicas, Bissexuais, Trans/Travestis</w:t>
      </w:r>
    </w:p>
    <w:p w14:paraId="7EB45A24"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(2024) Grupo de Trabalho de Enfrentamento da Discriminação contra pessoas LGBTQIA+ em âmbito digital</w:t>
      </w:r>
    </w:p>
    <w:p w14:paraId="67F31C39"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(2025) 4ª Conferência Nacional dos Direitos das Pessoas LGBTQIA+</w:t>
      </w:r>
    </w:p>
    <w:p w14:paraId="748EAE5D"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 xml:space="preserve">(2024) Programa Federal de Prevenção e Enfrentamento do Assédio e da Discriminação </w:t>
      </w:r>
    </w:p>
    <w:p w14:paraId="20C42910"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 xml:space="preserve">(2024) 1º </w:t>
      </w:r>
      <w:proofErr w:type="spellStart"/>
      <w:r w:rsidRPr="00350857">
        <w:rPr>
          <w:rFonts w:cs="Times New Roman"/>
          <w:bCs/>
          <w:szCs w:val="24"/>
          <w:lang w:val="pt-BR"/>
        </w:rPr>
        <w:t>LesboCenso</w:t>
      </w:r>
      <w:proofErr w:type="spellEnd"/>
      <w:r w:rsidRPr="00350857">
        <w:rPr>
          <w:rFonts w:cs="Times New Roman"/>
          <w:bCs/>
          <w:szCs w:val="24"/>
          <w:lang w:val="pt-BR"/>
        </w:rPr>
        <w:t xml:space="preserve"> Nacional</w:t>
      </w:r>
    </w:p>
    <w:p w14:paraId="20680748"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 xml:space="preserve">(2024) Programa de Equipagem, de Modernização da Infraestrutura e de Apoio ao Funcionamento dos Órgãos, das Entidades e das Instâncias Colegiadas Atuantes na Promoção e na Defesa dos Direitos Humanos (Programa </w:t>
      </w:r>
      <w:proofErr w:type="spellStart"/>
      <w:r w:rsidRPr="00350857">
        <w:rPr>
          <w:rFonts w:cs="Times New Roman"/>
          <w:bCs/>
          <w:szCs w:val="24"/>
          <w:lang w:val="pt-BR"/>
        </w:rPr>
        <w:t>EquiparDH</w:t>
      </w:r>
      <w:proofErr w:type="spellEnd"/>
      <w:r w:rsidRPr="00350857">
        <w:rPr>
          <w:rFonts w:cs="Times New Roman"/>
          <w:bCs/>
          <w:szCs w:val="24"/>
          <w:lang w:val="pt-BR"/>
        </w:rPr>
        <w:t>+)</w:t>
      </w:r>
    </w:p>
    <w:p w14:paraId="51EC1F09"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(2024) Estratégia Nacional de Trabalho Digno, Educação e Geração de Renda para Pessoas LGBTQIA+ (Empodera+)</w:t>
      </w:r>
    </w:p>
    <w:p w14:paraId="6A6F79DA" w14:textId="77777777" w:rsidR="00350857" w:rsidRPr="00350857" w:rsidRDefault="00350857" w:rsidP="0078038A">
      <w:pPr>
        <w:numPr>
          <w:ilvl w:val="1"/>
          <w:numId w:val="15"/>
        </w:numPr>
        <w:spacing w:before="120" w:after="120"/>
        <w:rPr>
          <w:rFonts w:cs="Times New Roman"/>
          <w:bCs/>
          <w:szCs w:val="24"/>
          <w:lang w:val="pt-BR"/>
        </w:rPr>
      </w:pPr>
      <w:r w:rsidRPr="00350857">
        <w:rPr>
          <w:rFonts w:cs="Times New Roman"/>
          <w:bCs/>
          <w:szCs w:val="24"/>
          <w:lang w:val="pt-BR"/>
        </w:rPr>
        <w:lastRenderedPageBreak/>
        <w:t>(2024) Comitê de Oportunidades Econômicas para Pessoas LGBTQIA+</w:t>
      </w:r>
    </w:p>
    <w:p w14:paraId="51A29B60" w14:textId="77777777" w:rsidR="00350857" w:rsidRPr="00350857" w:rsidRDefault="00350857" w:rsidP="0078038A">
      <w:pPr>
        <w:numPr>
          <w:ilvl w:val="1"/>
          <w:numId w:val="15"/>
        </w:numPr>
        <w:spacing w:before="120" w:after="120"/>
        <w:rPr>
          <w:rFonts w:cs="Times New Roman"/>
          <w:bCs/>
          <w:szCs w:val="24"/>
          <w:lang w:val="pt-BR"/>
        </w:rPr>
      </w:pPr>
      <w:r w:rsidRPr="00350857">
        <w:rPr>
          <w:rFonts w:cs="Times New Roman"/>
          <w:bCs/>
          <w:szCs w:val="24"/>
          <w:lang w:val="pt-BR"/>
        </w:rPr>
        <w:t>(2025) Plano Nacional de Trabalho Digno</w:t>
      </w:r>
    </w:p>
    <w:p w14:paraId="662FA364" w14:textId="77777777" w:rsidR="00350857" w:rsidRPr="00350857" w:rsidRDefault="00350857" w:rsidP="0078038A">
      <w:pPr>
        <w:numPr>
          <w:ilvl w:val="0"/>
          <w:numId w:val="15"/>
        </w:numPr>
        <w:spacing w:before="120" w:after="120"/>
        <w:rPr>
          <w:rFonts w:cs="Times New Roman"/>
          <w:bCs/>
          <w:szCs w:val="24"/>
          <w:lang w:val="pt-BR"/>
        </w:rPr>
      </w:pPr>
      <w:r w:rsidRPr="00350857">
        <w:rPr>
          <w:rFonts w:cs="Times New Roman"/>
          <w:bCs/>
          <w:szCs w:val="24"/>
          <w:lang w:val="pt-BR"/>
        </w:rPr>
        <w:t>(2025) Política Nacional dos Direitos das Pessoas LGBTQIA+</w:t>
      </w:r>
    </w:p>
    <w:p w14:paraId="13920A54" w14:textId="77777777" w:rsidR="00CA4334" w:rsidRPr="0078038A" w:rsidRDefault="00CA4334" w:rsidP="0078038A">
      <w:pPr>
        <w:tabs>
          <w:tab w:val="left" w:pos="2985"/>
        </w:tabs>
        <w:spacing w:before="120" w:after="120"/>
        <w:ind w:firstLine="0"/>
        <w:rPr>
          <w:rFonts w:cs="Times New Roman"/>
          <w:b/>
          <w:szCs w:val="24"/>
          <w:lang w:val="pt-BR"/>
        </w:rPr>
      </w:pPr>
    </w:p>
    <w:p w14:paraId="48301B46" w14:textId="4ECD180C" w:rsidR="0030608F" w:rsidRPr="0078038A" w:rsidRDefault="00CA4334" w:rsidP="00CA4A71">
      <w:pPr>
        <w:tabs>
          <w:tab w:val="left" w:pos="2985"/>
        </w:tabs>
        <w:spacing w:before="120" w:after="120"/>
        <w:ind w:firstLine="0"/>
        <w:jc w:val="center"/>
        <w:rPr>
          <w:rFonts w:cs="Times New Roman"/>
          <w:b/>
          <w:szCs w:val="24"/>
          <w:lang w:val="pt-BR"/>
        </w:rPr>
      </w:pPr>
      <w:r w:rsidRPr="0078038A">
        <w:rPr>
          <w:rFonts w:cs="Times New Roman"/>
          <w:bCs/>
          <w:szCs w:val="24"/>
          <w:lang w:val="pt-BR"/>
        </w:rPr>
        <w:t xml:space="preserve">Figura </w:t>
      </w:r>
      <w:r w:rsidR="00CA4A71">
        <w:rPr>
          <w:rFonts w:cs="Times New Roman"/>
          <w:bCs/>
          <w:szCs w:val="24"/>
          <w:lang w:val="pt-BR"/>
        </w:rPr>
        <w:t>2</w:t>
      </w:r>
      <w:r w:rsidRPr="0078038A">
        <w:rPr>
          <w:rFonts w:cs="Times New Roman"/>
          <w:bCs/>
          <w:szCs w:val="24"/>
          <w:lang w:val="pt-BR"/>
        </w:rPr>
        <w:t xml:space="preserve"> – Cenário atual das políticas públicas LGBTI</w:t>
      </w:r>
      <w:r w:rsidR="00CA4A71">
        <w:rPr>
          <w:rFonts w:cs="Times New Roman"/>
          <w:bCs/>
          <w:szCs w:val="24"/>
          <w:lang w:val="pt-BR"/>
        </w:rPr>
        <w:t>+</w:t>
      </w:r>
      <w:r w:rsidRPr="0078038A">
        <w:rPr>
          <w:rFonts w:cs="Times New Roman"/>
          <w:bCs/>
          <w:szCs w:val="24"/>
          <w:lang w:val="pt-BR"/>
        </w:rPr>
        <w:t xml:space="preserve"> federais</w:t>
      </w:r>
      <w:r w:rsidRPr="0078038A">
        <w:rPr>
          <w:rFonts w:cs="Times New Roman"/>
          <w:b/>
          <w:szCs w:val="24"/>
          <w:lang w:val="pt-BR"/>
        </w:rPr>
        <w:drawing>
          <wp:inline distT="0" distB="0" distL="0" distR="0" wp14:anchorId="06A53D93" wp14:editId="00C182EB">
            <wp:extent cx="5760085" cy="2534285"/>
            <wp:effectExtent l="0" t="0" r="0" b="0"/>
            <wp:docPr id="2369628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62861" name=""/>
                    <pic:cNvPicPr/>
                  </pic:nvPicPr>
                  <pic:blipFill>
                    <a:blip r:embed="rId16"/>
                    <a:stretch>
                      <a:fillRect/>
                    </a:stretch>
                  </pic:blipFill>
                  <pic:spPr>
                    <a:xfrm>
                      <a:off x="0" y="0"/>
                      <a:ext cx="5760085" cy="2534285"/>
                    </a:xfrm>
                    <a:prstGeom prst="rect">
                      <a:avLst/>
                    </a:prstGeom>
                  </pic:spPr>
                </pic:pic>
              </a:graphicData>
            </a:graphic>
          </wp:inline>
        </w:drawing>
      </w:r>
    </w:p>
    <w:p w14:paraId="691C96F8" w14:textId="6F8F6557" w:rsidR="00350857" w:rsidRPr="0078038A" w:rsidRDefault="00350857" w:rsidP="0078038A">
      <w:pPr>
        <w:spacing w:before="120" w:after="120"/>
        <w:ind w:firstLine="0"/>
        <w:rPr>
          <w:rFonts w:cs="Times New Roman"/>
          <w:b/>
          <w:szCs w:val="24"/>
          <w:lang w:val="pt-BR"/>
        </w:rPr>
      </w:pPr>
    </w:p>
    <w:p w14:paraId="0D8E3B93" w14:textId="449E54AB"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8</w:t>
      </w:r>
      <w:r w:rsidRPr="0078038A">
        <w:rPr>
          <w:rFonts w:cs="Times New Roman"/>
          <w:b/>
          <w:szCs w:val="24"/>
          <w:lang w:val="pt-BR"/>
        </w:rPr>
        <w:t xml:space="preserve"> Orçamento, </w:t>
      </w:r>
      <w:r w:rsidR="0030608F" w:rsidRPr="0078038A">
        <w:rPr>
          <w:rFonts w:cs="Times New Roman"/>
          <w:b/>
          <w:szCs w:val="24"/>
          <w:lang w:val="pt-BR"/>
        </w:rPr>
        <w:t>metas e planos</w:t>
      </w:r>
    </w:p>
    <w:p w14:paraId="24903951" w14:textId="5DA64ADC" w:rsidR="00650DE7" w:rsidRPr="0078038A" w:rsidRDefault="00F21277" w:rsidP="0078038A">
      <w:pPr>
        <w:spacing w:before="120" w:after="120"/>
        <w:ind w:firstLine="0"/>
        <w:rPr>
          <w:rFonts w:cs="Times New Roman"/>
          <w:szCs w:val="24"/>
          <w:lang w:val="pt-BR"/>
        </w:rPr>
      </w:pPr>
      <w:r w:rsidRPr="0078038A">
        <w:rPr>
          <w:rFonts w:cs="Times New Roman"/>
          <w:szCs w:val="24"/>
          <w:lang w:val="pt-BR"/>
        </w:rPr>
        <w:t xml:space="preserve">Foram analisados todos os </w:t>
      </w:r>
      <w:proofErr w:type="spellStart"/>
      <w:r w:rsidRPr="0078038A">
        <w:rPr>
          <w:rFonts w:cs="Times New Roman"/>
          <w:szCs w:val="24"/>
          <w:lang w:val="pt-BR"/>
        </w:rPr>
        <w:t>PPAs</w:t>
      </w:r>
      <w:proofErr w:type="spellEnd"/>
      <w:r w:rsidRPr="0078038A">
        <w:rPr>
          <w:rFonts w:cs="Times New Roman"/>
          <w:szCs w:val="24"/>
          <w:lang w:val="pt-BR"/>
        </w:rPr>
        <w:t xml:space="preserve">, </w:t>
      </w:r>
      <w:proofErr w:type="spellStart"/>
      <w:r w:rsidRPr="0078038A">
        <w:rPr>
          <w:rFonts w:cs="Times New Roman"/>
          <w:szCs w:val="24"/>
          <w:lang w:val="pt-BR"/>
        </w:rPr>
        <w:t>LOAs</w:t>
      </w:r>
      <w:proofErr w:type="spellEnd"/>
      <w:r w:rsidRPr="0078038A">
        <w:rPr>
          <w:rFonts w:cs="Times New Roman"/>
          <w:szCs w:val="24"/>
          <w:lang w:val="pt-BR"/>
        </w:rPr>
        <w:t xml:space="preserve">, documentos de prestação de contas sobre orçamento federal desde 1990. A principal conclusão é que a </w:t>
      </w:r>
      <w:r w:rsidR="00000000" w:rsidRPr="0078038A">
        <w:rPr>
          <w:rFonts w:cs="Times New Roman"/>
          <w:szCs w:val="24"/>
          <w:lang w:val="pt-BR"/>
        </w:rPr>
        <w:t xml:space="preserve">efetividade das políticas públicas LGBTI+ no plano federal depende diretamente da articulação entre três dimensões: planejamento, previsão orçamentária e execução. </w:t>
      </w:r>
      <w:r w:rsidRPr="0078038A">
        <w:rPr>
          <w:rFonts w:cs="Times New Roman"/>
          <w:szCs w:val="24"/>
          <w:lang w:val="pt-BR"/>
        </w:rPr>
        <w:t>Apesar de parecer trivial, e</w:t>
      </w:r>
      <w:r w:rsidR="00000000" w:rsidRPr="0078038A">
        <w:rPr>
          <w:rFonts w:cs="Times New Roman"/>
          <w:szCs w:val="24"/>
          <w:lang w:val="pt-BR"/>
        </w:rPr>
        <w:t>ssa constatação é decisiva para diferenciar política de governo e política de Estado. Metas sem previsão orçamentária degradam; previsão sem capacidade de execução desorganiza; execução sem metas desestrutura a política.</w:t>
      </w:r>
    </w:p>
    <w:p w14:paraId="4BF393C5" w14:textId="51151F90"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Ao analisar </w:t>
      </w:r>
      <w:r w:rsidR="00155E94" w:rsidRPr="0078038A">
        <w:rPr>
          <w:rFonts w:cs="Times New Roman"/>
          <w:szCs w:val="24"/>
          <w:lang w:val="pt-BR"/>
        </w:rPr>
        <w:t>tais documentos,</w:t>
      </w:r>
      <w:r w:rsidRPr="0078038A">
        <w:rPr>
          <w:rFonts w:cs="Times New Roman"/>
          <w:szCs w:val="24"/>
          <w:lang w:val="pt-BR"/>
        </w:rPr>
        <w:t xml:space="preserve"> a pesquisa identificou momentos em que a agenda LGBTI+ aparece com maior clareza, seja como programas ou ações específicas, seja como recorte transversal. Em diversos períodos, contudo, a presença da temática nos instrumentos de planejamento não se traduziu em dotação suficiente, execução estável ou continuidade, revelando o fenômeno recorrente de metas sem orçamento ou de previsões simbólicas com baixa capacidade de entrega.</w:t>
      </w:r>
    </w:p>
    <w:p w14:paraId="5A78C102" w14:textId="19F51381" w:rsidR="00650DE7" w:rsidRPr="0078038A" w:rsidRDefault="00000000" w:rsidP="0078038A">
      <w:pPr>
        <w:spacing w:before="120" w:after="120"/>
        <w:ind w:firstLine="0"/>
        <w:rPr>
          <w:rFonts w:cs="Times New Roman"/>
          <w:szCs w:val="24"/>
          <w:lang w:val="pt-BR"/>
        </w:rPr>
      </w:pPr>
      <w:r w:rsidRPr="0078038A">
        <w:rPr>
          <w:rFonts w:cs="Times New Roman"/>
          <w:szCs w:val="24"/>
          <w:lang w:val="pt-BR"/>
        </w:rPr>
        <w:lastRenderedPageBreak/>
        <w:t xml:space="preserve">No plano orçamentário, a constatação é </w:t>
      </w:r>
      <w:r w:rsidR="00155E94" w:rsidRPr="0078038A">
        <w:rPr>
          <w:rFonts w:cs="Times New Roman"/>
          <w:szCs w:val="24"/>
          <w:lang w:val="pt-BR"/>
        </w:rPr>
        <w:t xml:space="preserve">que </w:t>
      </w:r>
      <w:r w:rsidRPr="0078038A">
        <w:rPr>
          <w:rFonts w:cs="Times New Roman"/>
          <w:szCs w:val="24"/>
          <w:lang w:val="pt-BR"/>
        </w:rPr>
        <w:t>o orçamento destinado às políticas LGBTI+ é baixo, pouco estável e de difícil rastreamento. Mesmo quando há previsão em programas do PPA, o recorte LGBTI+ raramente é explicitado com clareza e a identificação dos valores efetivamente destinados e executados nessa agenda é complexa. A intersetorialidade é limitada, e o desenho institucional, por vezes, desloca a execução para estruturas com baixa capacidade operacional.</w:t>
      </w:r>
    </w:p>
    <w:p w14:paraId="65915EC3"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Quando os três elementos - metas, orçamento e execução - são alinhados, a política LGBTI+ avança na direção de uma política de Estado: ganha previsibilidade, reduz dependência de vontades individuais, fortalece programas contínuos e possibilita indução federativa. Quando não há esse alinhamento, a política tende a assumir caráter mais governamental, episódico e vulnerável.</w:t>
      </w:r>
    </w:p>
    <w:p w14:paraId="33AD764C" w14:textId="77777777" w:rsidR="00155E94" w:rsidRPr="0078038A" w:rsidRDefault="00155E94" w:rsidP="0078038A">
      <w:pPr>
        <w:spacing w:before="120" w:after="120"/>
        <w:ind w:firstLine="0"/>
        <w:rPr>
          <w:rFonts w:cs="Times New Roman"/>
          <w:szCs w:val="24"/>
          <w:lang w:val="pt-BR"/>
        </w:rPr>
      </w:pPr>
    </w:p>
    <w:p w14:paraId="14ED5468" w14:textId="1D368666"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9</w:t>
      </w:r>
      <w:r w:rsidRPr="0078038A">
        <w:rPr>
          <w:rFonts w:cs="Times New Roman"/>
          <w:b/>
          <w:szCs w:val="24"/>
          <w:lang w:val="pt-BR"/>
        </w:rPr>
        <w:t xml:space="preserve"> Políticas setoriais e a transversalidade incompleta</w:t>
      </w:r>
    </w:p>
    <w:p w14:paraId="6FCBCD08" w14:textId="374473BB" w:rsidR="00650DE7" w:rsidRPr="0078038A" w:rsidRDefault="00155E94" w:rsidP="0078038A">
      <w:pPr>
        <w:spacing w:before="120" w:after="120"/>
        <w:ind w:firstLine="0"/>
        <w:rPr>
          <w:rFonts w:cs="Times New Roman"/>
          <w:szCs w:val="24"/>
          <w:lang w:val="pt-BR"/>
        </w:rPr>
      </w:pPr>
      <w:r w:rsidRPr="0078038A">
        <w:rPr>
          <w:rFonts w:cs="Times New Roman"/>
          <w:szCs w:val="24"/>
          <w:lang w:val="pt-BR"/>
        </w:rPr>
        <w:t>A</w:t>
      </w:r>
      <w:r w:rsidR="00000000" w:rsidRPr="0078038A">
        <w:rPr>
          <w:rFonts w:cs="Times New Roman"/>
          <w:szCs w:val="24"/>
          <w:lang w:val="pt-BR"/>
        </w:rPr>
        <w:t xml:space="preserve"> consolidação de uma política nacional LGBTI+ depende não apenas do tripé matricial, mas da capacidade de cada setor estratégico incorporar, de forma estável, a perspectiva de orientação sexual, identidade e expressão de gênero e características sexuais em suas rotinas, programas, serviços e mecanismos de regulação.</w:t>
      </w:r>
    </w:p>
    <w:p w14:paraId="78858F09" w14:textId="02CA081F" w:rsidR="00650DE7" w:rsidRPr="0078038A" w:rsidRDefault="00000000" w:rsidP="0078038A">
      <w:pPr>
        <w:spacing w:before="120" w:after="120"/>
        <w:ind w:firstLine="0"/>
        <w:rPr>
          <w:rFonts w:cs="Times New Roman"/>
          <w:szCs w:val="24"/>
          <w:lang w:val="pt-BR"/>
        </w:rPr>
      </w:pPr>
      <w:r w:rsidRPr="0078038A">
        <w:rPr>
          <w:rFonts w:cs="Times New Roman"/>
          <w:szCs w:val="24"/>
          <w:lang w:val="pt-BR"/>
        </w:rPr>
        <w:t>Nesse contexto, as Assessorias de Participação Social e Diversidade</w:t>
      </w:r>
      <w:r w:rsidR="00155E94" w:rsidRPr="0078038A">
        <w:rPr>
          <w:rFonts w:cs="Times New Roman"/>
          <w:szCs w:val="24"/>
          <w:lang w:val="pt-BR"/>
        </w:rPr>
        <w:t xml:space="preserve"> (ASPAD)</w:t>
      </w:r>
      <w:r w:rsidRPr="0078038A">
        <w:rPr>
          <w:rFonts w:cs="Times New Roman"/>
          <w:szCs w:val="24"/>
          <w:lang w:val="pt-BR"/>
        </w:rPr>
        <w:t xml:space="preserve"> aparecem como estruturas potencialmente estratégicas. Em geral, as </w:t>
      </w:r>
      <w:proofErr w:type="spellStart"/>
      <w:r w:rsidRPr="0078038A">
        <w:rPr>
          <w:rFonts w:cs="Times New Roman"/>
          <w:szCs w:val="24"/>
          <w:lang w:val="pt-BR"/>
        </w:rPr>
        <w:t>ASPADs</w:t>
      </w:r>
      <w:proofErr w:type="spellEnd"/>
      <w:r w:rsidRPr="0078038A">
        <w:rPr>
          <w:rFonts w:cs="Times New Roman"/>
          <w:szCs w:val="24"/>
          <w:lang w:val="pt-BR"/>
        </w:rPr>
        <w:t xml:space="preserve"> são órgãos voltados para articulação da relação Estado-sociedade na promoção de políticas de diversidade e inclusão de modo transversal intra e entre os ministérios. Dentro do conceito do Tripé da Cidadania, poderiam exercer a função de órgãos gestores setoriais, servindo como pontos focais em cada ministério a fim de articular transversalmente pautas de direitos humanos. Assim, o órgão gestor matricial centralizaria a pauta e as assessorias funcionariam como instâncias estratégicas de articulação interna.</w:t>
      </w:r>
    </w:p>
    <w:p w14:paraId="36CD3219" w14:textId="1C5C7A58"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Contudo, a prática demonstra uma situação diferente. </w:t>
      </w:r>
      <w:r w:rsidR="00155E94" w:rsidRPr="0078038A">
        <w:rPr>
          <w:rFonts w:cs="Times New Roman"/>
          <w:szCs w:val="24"/>
          <w:lang w:val="pt-BR"/>
        </w:rPr>
        <w:t>O</w:t>
      </w:r>
      <w:r w:rsidRPr="0078038A">
        <w:rPr>
          <w:rFonts w:cs="Times New Roman"/>
          <w:szCs w:val="24"/>
          <w:lang w:val="pt-BR"/>
        </w:rPr>
        <w:t>bserva</w:t>
      </w:r>
      <w:r w:rsidR="00155E94" w:rsidRPr="0078038A">
        <w:rPr>
          <w:rFonts w:cs="Times New Roman"/>
          <w:szCs w:val="24"/>
          <w:lang w:val="pt-BR"/>
        </w:rPr>
        <w:t>-se</w:t>
      </w:r>
      <w:r w:rsidRPr="0078038A">
        <w:rPr>
          <w:rFonts w:cs="Times New Roman"/>
          <w:szCs w:val="24"/>
          <w:lang w:val="pt-BR"/>
        </w:rPr>
        <w:t xml:space="preserve"> que a Secretaria Nacional LGBTQIA+ tem centralizado o desenvolvimento de diversas pautas setoriais, especialmente de trabalho, acolhimento e idosos, enquanto o desenvolvimento do tripé da cidadania em estados e capitais segue incompleto. Em paralelo, as </w:t>
      </w:r>
      <w:proofErr w:type="spellStart"/>
      <w:r w:rsidRPr="0078038A">
        <w:rPr>
          <w:rFonts w:cs="Times New Roman"/>
          <w:szCs w:val="24"/>
          <w:lang w:val="pt-BR"/>
        </w:rPr>
        <w:t>ASPADs</w:t>
      </w:r>
      <w:proofErr w:type="spellEnd"/>
      <w:r w:rsidRPr="0078038A">
        <w:rPr>
          <w:rFonts w:cs="Times New Roman"/>
          <w:szCs w:val="24"/>
          <w:lang w:val="pt-BR"/>
        </w:rPr>
        <w:t xml:space="preserve"> se mostram um modelo fértil quando bem utilizado, mas bastante desigual em sua efetividade.</w:t>
      </w:r>
    </w:p>
    <w:p w14:paraId="7907BD39" w14:textId="71528D89"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Dos 30 ministérios analisados, apenas um não possuía ASPAD, mas parcela expressiva deles não informou qualquer tipo de ação, atividade ou atuação concreta da assessoria no </w:t>
      </w:r>
      <w:r w:rsidRPr="0078038A">
        <w:rPr>
          <w:rFonts w:cs="Times New Roman"/>
          <w:szCs w:val="24"/>
          <w:lang w:val="pt-BR"/>
        </w:rPr>
        <w:lastRenderedPageBreak/>
        <w:t xml:space="preserve">desenvolvimento de políticas de diversidade dentro do ministério. Outros apresentaram atuação inicial, sem planos ou parcerias específicas. Um grupo menor demonstrou maior maturidade, com planos, campanhas, diálogo com a sociedade civil e produção de instrumentos internos. Há, portanto, um quadro </w:t>
      </w:r>
      <w:r w:rsidR="00155E94" w:rsidRPr="0078038A">
        <w:rPr>
          <w:rFonts w:cs="Times New Roman"/>
          <w:szCs w:val="24"/>
          <w:lang w:val="pt-BR"/>
        </w:rPr>
        <w:t xml:space="preserve">no qual </w:t>
      </w:r>
      <w:r w:rsidRPr="0078038A">
        <w:rPr>
          <w:rFonts w:cs="Times New Roman"/>
          <w:szCs w:val="24"/>
          <w:lang w:val="pt-BR"/>
        </w:rPr>
        <w:t>alguns ministérios aproximam-se de um tripé setorial flexibilizado, enquanto outros mantêm atuação genérica ou invisível.</w:t>
      </w:r>
    </w:p>
    <w:p w14:paraId="38F3333C" w14:textId="070CB11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Esse mosaico mostra avanço normativo e canais de governança, mas também desigualdades de implementação. A principal conclusão é que a base institucional existe, porém ainda de forma muito desigual e pouco coordenada. Uma política de Estado, no entanto, exige justamente o oposto: capilaridade, padronização mínima, mecanismos de indução e distribuição mais homogênea de responsabilidades entre os órgãos.</w:t>
      </w:r>
    </w:p>
    <w:p w14:paraId="4DCA146D" w14:textId="77777777" w:rsidR="00155E94" w:rsidRPr="0078038A" w:rsidRDefault="00155E94" w:rsidP="0078038A">
      <w:pPr>
        <w:spacing w:before="120" w:after="120"/>
        <w:ind w:firstLine="0"/>
        <w:rPr>
          <w:rFonts w:cs="Times New Roman"/>
          <w:szCs w:val="24"/>
          <w:lang w:val="pt-BR"/>
        </w:rPr>
      </w:pPr>
    </w:p>
    <w:p w14:paraId="650164A1" w14:textId="14163C94"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w:t>
      </w:r>
      <w:r w:rsidR="0078038A" w:rsidRPr="0078038A">
        <w:rPr>
          <w:rFonts w:cs="Times New Roman"/>
          <w:b/>
          <w:szCs w:val="24"/>
          <w:lang w:val="pt-BR"/>
        </w:rPr>
        <w:t>10</w:t>
      </w:r>
      <w:r w:rsidRPr="0078038A">
        <w:rPr>
          <w:rFonts w:cs="Times New Roman"/>
          <w:b/>
          <w:szCs w:val="24"/>
          <w:lang w:val="pt-BR"/>
        </w:rPr>
        <w:t xml:space="preserve"> </w:t>
      </w:r>
      <w:r w:rsidR="00155E94" w:rsidRPr="0078038A">
        <w:rPr>
          <w:rFonts w:cs="Times New Roman"/>
          <w:b/>
          <w:szCs w:val="24"/>
          <w:lang w:val="pt-BR"/>
        </w:rPr>
        <w:t>P</w:t>
      </w:r>
      <w:r w:rsidRPr="0078038A">
        <w:rPr>
          <w:rFonts w:cs="Times New Roman"/>
          <w:b/>
          <w:szCs w:val="24"/>
          <w:lang w:val="pt-BR"/>
        </w:rPr>
        <w:t>roblemas estruturais</w:t>
      </w:r>
    </w:p>
    <w:p w14:paraId="017E5A8B" w14:textId="72AF47EA" w:rsidR="00650DE7" w:rsidRPr="0078038A" w:rsidRDefault="00155E94" w:rsidP="0078038A">
      <w:pPr>
        <w:spacing w:before="120" w:after="120"/>
        <w:ind w:firstLine="0"/>
        <w:rPr>
          <w:rFonts w:cs="Times New Roman"/>
          <w:szCs w:val="24"/>
          <w:lang w:val="pt-BR"/>
        </w:rPr>
      </w:pPr>
      <w:r w:rsidRPr="0078038A">
        <w:rPr>
          <w:rFonts w:cs="Times New Roman"/>
          <w:szCs w:val="24"/>
          <w:lang w:val="pt-BR"/>
        </w:rPr>
        <w:t xml:space="preserve">Este eixo teve como objetivo apresentar de forma estruturada os principais problemas, seus desafios, gargalos e recomendações. </w:t>
      </w:r>
      <w:r w:rsidR="00000000" w:rsidRPr="0078038A">
        <w:rPr>
          <w:rFonts w:cs="Times New Roman"/>
          <w:szCs w:val="24"/>
          <w:lang w:val="pt-BR"/>
        </w:rPr>
        <w:t>Entre os principais problemas mapeados estão: falta de transversalidade e integração nas políticas públicas e proteção de direitos; deficiência na produção direta de dados e estudos pelo Estado; sub-representação política; criminalização de pessoas trans e travestis, especialmente profissionais do sexo; violências sofridas por pessoas LGBTI+ em privação de liberdade; barreiras ao exercício da identidade autodeclarada; exclusão sistemática na educação formal; inadequações no acesso à saúde e dificuldades de acolhimento institucional.</w:t>
      </w:r>
    </w:p>
    <w:p w14:paraId="6764491B" w14:textId="6125BD51" w:rsidR="00650DE7" w:rsidRPr="0078038A" w:rsidRDefault="00000000" w:rsidP="0078038A">
      <w:pPr>
        <w:spacing w:before="120" w:after="120"/>
        <w:ind w:firstLine="0"/>
        <w:rPr>
          <w:rFonts w:cs="Times New Roman"/>
          <w:szCs w:val="24"/>
          <w:lang w:val="pt-BR"/>
        </w:rPr>
      </w:pPr>
      <w:r w:rsidRPr="0078038A">
        <w:rPr>
          <w:rFonts w:cs="Times New Roman"/>
          <w:szCs w:val="24"/>
          <w:lang w:val="pt-BR"/>
        </w:rPr>
        <w:t>A situação de vulnerabilidade foi reunida a partir de recomendações dirigidas ao poder público por organizações da sociedade civil, mecanismos internacionais de proteção de direitos humanos e entidades públicas de defesa de direitos. Para organizar as temáticas, utilizou</w:t>
      </w:r>
      <w:r w:rsidR="00155E94" w:rsidRPr="0078038A">
        <w:rPr>
          <w:rFonts w:cs="Times New Roman"/>
          <w:szCs w:val="24"/>
          <w:lang w:val="pt-BR"/>
        </w:rPr>
        <w:t xml:space="preserve">-se </w:t>
      </w:r>
      <w:r w:rsidRPr="0078038A">
        <w:rPr>
          <w:rFonts w:cs="Times New Roman"/>
          <w:szCs w:val="24"/>
          <w:lang w:val="pt-BR"/>
        </w:rPr>
        <w:t>como estrutura os Princípios de Yogyakarta+10, considerado um marco na construção de base normativa internacional para pessoas LGBTI+.</w:t>
      </w:r>
    </w:p>
    <w:p w14:paraId="0D557D02"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Um dos problemas estruturais centrais passa pelo campo da produção de dados. O principal problema no desenvolvimento de políticas públicas no Brasil passa pelo IBGE quanto à coleta de informações sobre identidade de gênero, orientação sexual e características sexuais no censo. Até o momento, não há séries nacionais contínuas com identidade de gênero, características sexuais ou orientação sexual nas pesquisas do instituto, e a transição para medições regulares ocorre lentamente. Em paralelo, destaca-se também a ausência de uma </w:t>
      </w:r>
      <w:r w:rsidRPr="0078038A">
        <w:rPr>
          <w:rFonts w:cs="Times New Roman"/>
          <w:szCs w:val="24"/>
          <w:lang w:val="pt-BR"/>
        </w:rPr>
        <w:lastRenderedPageBreak/>
        <w:t>série regular, comparável e metodologicamente estável de dados e informes que permita acompanhar a situação de vulnerabilidade de pessoas LGBTI+ ao longo do tempo.</w:t>
      </w:r>
    </w:p>
    <w:p w14:paraId="23A97FC2"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Outro eixo crítico é a tradução incompleta de recomendações internacionais e decisões nacionais em planos executivos com prazos, responsáveis, orçamento e indicadores públicos. O Brasil aceitou recomendações da Revisão Periódica Universal da ONU sobre direitos LGBTI+, mas sua conversão em políticas executivas permanece insuficiente. No sistema interamericano, a Opinião Consultiva n. 24/2017 da Corte IDH fixa parâmetros sobre identidade de gênero, sexualidade e não discriminação, mas não há acompanhamento público eficaz que avalie o cumprimento dessas obrigações.</w:t>
      </w:r>
    </w:p>
    <w:p w14:paraId="3896FAA3"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No campo normativo, há decisões judiciais, resoluções e decretos importantes, mas ainda persistem lacunas regulatórias relevantes, insegurança jurídica e baixa vinculação de obrigações para além da administração pública federal direta. O resultado é uma proteção fragmentada, desigual e muitas vezes dependente de interpretações administrativas ou judiciais contingentes. Mais uma vez, o que aparece é um desenho ainda incompleto para caracterizar uma política de Estado plenamente consolidada.</w:t>
      </w:r>
    </w:p>
    <w:p w14:paraId="58446C74" w14:textId="77777777" w:rsidR="00CA4334" w:rsidRPr="0078038A" w:rsidRDefault="00CA4334" w:rsidP="0078038A">
      <w:pPr>
        <w:spacing w:before="120" w:after="120"/>
        <w:ind w:firstLine="0"/>
        <w:rPr>
          <w:rFonts w:cs="Times New Roman"/>
          <w:b/>
          <w:szCs w:val="24"/>
          <w:lang w:val="pt-BR"/>
        </w:rPr>
      </w:pPr>
    </w:p>
    <w:p w14:paraId="7B51EA04" w14:textId="75ED5CB5"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4.1</w:t>
      </w:r>
      <w:r w:rsidR="0078038A" w:rsidRPr="0078038A">
        <w:rPr>
          <w:rFonts w:cs="Times New Roman"/>
          <w:b/>
          <w:szCs w:val="24"/>
          <w:lang w:val="pt-BR"/>
        </w:rPr>
        <w:t>1</w:t>
      </w:r>
      <w:r w:rsidRPr="0078038A">
        <w:rPr>
          <w:rFonts w:cs="Times New Roman"/>
          <w:b/>
          <w:szCs w:val="24"/>
          <w:lang w:val="pt-BR"/>
        </w:rPr>
        <w:t xml:space="preserve"> Achados centrais da pesquisa e discussão final</w:t>
      </w:r>
    </w:p>
    <w:p w14:paraId="108B9105" w14:textId="63E1ED65"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Do ponto de vista dos achados alcançados, a pesquisa permite sintetizar algumas evidências. </w:t>
      </w:r>
      <w:r w:rsidR="00CA4334" w:rsidRPr="0078038A">
        <w:rPr>
          <w:rFonts w:cs="Times New Roman"/>
          <w:szCs w:val="24"/>
          <w:lang w:val="pt-BR"/>
        </w:rPr>
        <w:t xml:space="preserve">Primeiro, </w:t>
      </w:r>
      <w:r w:rsidRPr="0078038A">
        <w:rPr>
          <w:rFonts w:cs="Times New Roman"/>
          <w:szCs w:val="24"/>
          <w:lang w:val="pt-BR"/>
        </w:rPr>
        <w:t>a trajetória das políticas públicas LGBTI+ no governo federal é nitidamente cíclica.</w:t>
      </w:r>
      <w:r w:rsidR="00CA4334" w:rsidRPr="0078038A">
        <w:rPr>
          <w:rFonts w:cs="Times New Roman"/>
          <w:szCs w:val="24"/>
          <w:lang w:val="pt-BR"/>
        </w:rPr>
        <w:t xml:space="preserve"> </w:t>
      </w:r>
      <w:proofErr w:type="gramStart"/>
      <w:r w:rsidR="00CA4334" w:rsidRPr="0078038A">
        <w:rPr>
          <w:rFonts w:cs="Times New Roman"/>
          <w:szCs w:val="24"/>
          <w:lang w:val="pt-BR"/>
        </w:rPr>
        <w:t xml:space="preserve">Segundo, </w:t>
      </w:r>
      <w:r w:rsidRPr="0078038A">
        <w:rPr>
          <w:rFonts w:cs="Times New Roman"/>
          <w:szCs w:val="24"/>
          <w:lang w:val="pt-BR"/>
        </w:rPr>
        <w:t>o</w:t>
      </w:r>
      <w:proofErr w:type="gramEnd"/>
      <w:r w:rsidRPr="0078038A">
        <w:rPr>
          <w:rFonts w:cs="Times New Roman"/>
          <w:szCs w:val="24"/>
          <w:lang w:val="pt-BR"/>
        </w:rPr>
        <w:t xml:space="preserve"> tripé da cidadania </w:t>
      </w:r>
      <w:r w:rsidR="00CA4334" w:rsidRPr="0078038A">
        <w:rPr>
          <w:rFonts w:cs="Times New Roman"/>
          <w:szCs w:val="24"/>
          <w:lang w:val="pt-BR"/>
        </w:rPr>
        <w:t>é (</w:t>
      </w:r>
      <w:r w:rsidR="0078038A">
        <w:rPr>
          <w:rFonts w:cs="Times New Roman"/>
          <w:szCs w:val="24"/>
          <w:lang w:val="pt-BR"/>
        </w:rPr>
        <w:t xml:space="preserve">e </w:t>
      </w:r>
      <w:r w:rsidRPr="0078038A">
        <w:rPr>
          <w:rFonts w:cs="Times New Roman"/>
          <w:szCs w:val="24"/>
          <w:lang w:val="pt-BR"/>
        </w:rPr>
        <w:t>continua sendo</w:t>
      </w:r>
      <w:r w:rsidR="00CA4334" w:rsidRPr="0078038A">
        <w:rPr>
          <w:rFonts w:cs="Times New Roman"/>
          <w:szCs w:val="24"/>
          <w:lang w:val="pt-BR"/>
        </w:rPr>
        <w:t>)</w:t>
      </w:r>
      <w:r w:rsidRPr="0078038A">
        <w:rPr>
          <w:rFonts w:cs="Times New Roman"/>
          <w:szCs w:val="24"/>
          <w:lang w:val="pt-BR"/>
        </w:rPr>
        <w:t xml:space="preserve"> o melhor referencial para medir o grau de enraizamento da agenda. </w:t>
      </w:r>
      <w:r w:rsidR="00CA4334" w:rsidRPr="0078038A">
        <w:rPr>
          <w:rFonts w:cs="Times New Roman"/>
          <w:szCs w:val="24"/>
          <w:lang w:val="pt-BR"/>
        </w:rPr>
        <w:t xml:space="preserve">Terceiro, </w:t>
      </w:r>
      <w:r w:rsidRPr="0078038A">
        <w:rPr>
          <w:rFonts w:cs="Times New Roman"/>
          <w:szCs w:val="24"/>
          <w:lang w:val="pt-BR"/>
        </w:rPr>
        <w:t xml:space="preserve">avanços relevantes podem ocorrer em governos específicos, mas a ausência de rigidez normativa, orçamento e capilaridade administrativa os torna vulneráveis. </w:t>
      </w:r>
      <w:r w:rsidR="00CA4334" w:rsidRPr="0078038A">
        <w:rPr>
          <w:rFonts w:cs="Times New Roman"/>
          <w:szCs w:val="24"/>
          <w:lang w:val="pt-BR"/>
        </w:rPr>
        <w:t xml:space="preserve">Quarto, </w:t>
      </w:r>
      <w:r w:rsidRPr="0078038A">
        <w:rPr>
          <w:rFonts w:cs="Times New Roman"/>
          <w:szCs w:val="24"/>
          <w:lang w:val="pt-BR"/>
        </w:rPr>
        <w:t xml:space="preserve">a transversalidade ainda é baixa, de modo que a Secretaria Nacional segue acumulando tarefas que deveriam ser compartilhadas com outros ministérios. </w:t>
      </w:r>
      <w:r w:rsidR="00CA4334" w:rsidRPr="0078038A">
        <w:rPr>
          <w:rFonts w:cs="Times New Roman"/>
          <w:szCs w:val="24"/>
          <w:lang w:val="pt-BR"/>
        </w:rPr>
        <w:t xml:space="preserve">Quinta, </w:t>
      </w:r>
      <w:r w:rsidRPr="0078038A">
        <w:rPr>
          <w:rFonts w:cs="Times New Roman"/>
          <w:szCs w:val="24"/>
          <w:lang w:val="pt-BR"/>
        </w:rPr>
        <w:t xml:space="preserve">há proteção normativa relevante, mas ainda fragmentada e insuficientemente vinculante. </w:t>
      </w:r>
      <w:r w:rsidR="00CA4334" w:rsidRPr="0078038A">
        <w:rPr>
          <w:rFonts w:cs="Times New Roman"/>
          <w:szCs w:val="24"/>
          <w:lang w:val="pt-BR"/>
        </w:rPr>
        <w:t xml:space="preserve">Sexta, </w:t>
      </w:r>
      <w:r w:rsidRPr="0078038A">
        <w:rPr>
          <w:rFonts w:cs="Times New Roman"/>
          <w:szCs w:val="24"/>
          <w:lang w:val="pt-BR"/>
        </w:rPr>
        <w:t>sem dados contínuos, comparáveis e metodologicamente estáveis, o Estado brasileiro segue formulando políticas em ambiente de baixa inteligibilidade.</w:t>
      </w:r>
    </w:p>
    <w:p w14:paraId="55472024" w14:textId="2FE4AD31" w:rsidR="00650DE7" w:rsidRDefault="00000000" w:rsidP="0078038A">
      <w:pPr>
        <w:spacing w:before="120" w:after="120"/>
        <w:ind w:firstLine="0"/>
        <w:rPr>
          <w:rFonts w:cs="Times New Roman"/>
          <w:szCs w:val="24"/>
          <w:lang w:val="pt-BR"/>
        </w:rPr>
      </w:pPr>
      <w:r w:rsidRPr="0078038A">
        <w:rPr>
          <w:rFonts w:cs="Times New Roman"/>
          <w:szCs w:val="24"/>
          <w:lang w:val="pt-BR"/>
        </w:rPr>
        <w:t xml:space="preserve">Tomados em conjunto, esses achados sugerem que a agenda LGBTI+ vive um paradoxo. Ao mesmo tempo em que alcançou patamar inédito de reconhecimento institucional no nível federal, ainda não conseguiu converter esse reconhecimento em uma política estruturalmente protegida. A política existe, mas ainda é relativamente jovem, pouco estável, subfinanciada e desigualmente distribuída entre setores e territórios. O recomeço de 2023 é real, mas não </w:t>
      </w:r>
      <w:r w:rsidRPr="0078038A">
        <w:rPr>
          <w:rFonts w:cs="Times New Roman"/>
          <w:szCs w:val="24"/>
          <w:lang w:val="pt-BR"/>
        </w:rPr>
        <w:lastRenderedPageBreak/>
        <w:t xml:space="preserve">elimina a memória do inverno recente. </w:t>
      </w:r>
      <w:r w:rsidR="00CA4334" w:rsidRPr="0078038A">
        <w:rPr>
          <w:rFonts w:cs="Times New Roman"/>
          <w:szCs w:val="24"/>
          <w:lang w:val="pt-BR"/>
        </w:rPr>
        <w:t>A</w:t>
      </w:r>
      <w:r w:rsidRPr="0078038A">
        <w:rPr>
          <w:rFonts w:cs="Times New Roman"/>
          <w:szCs w:val="24"/>
          <w:lang w:val="pt-BR"/>
        </w:rPr>
        <w:t xml:space="preserve"> política pública LGBTI+ no Brasil ainda responde de forma muito sensível às mudanças de temperatura política.</w:t>
      </w:r>
    </w:p>
    <w:p w14:paraId="1EA8E532" w14:textId="77777777" w:rsidR="00CA4A71" w:rsidRDefault="00CA4A71" w:rsidP="0078038A">
      <w:pPr>
        <w:spacing w:before="120" w:after="120"/>
        <w:ind w:firstLine="0"/>
        <w:rPr>
          <w:rFonts w:cs="Times New Roman"/>
          <w:szCs w:val="24"/>
          <w:lang w:val="pt-BR"/>
        </w:rPr>
      </w:pPr>
    </w:p>
    <w:p w14:paraId="328434A2" w14:textId="3DFF6338" w:rsidR="00CA4A71" w:rsidRPr="0078038A" w:rsidRDefault="00CA4A71" w:rsidP="00CA4A71">
      <w:pPr>
        <w:spacing w:before="120" w:after="120"/>
        <w:ind w:firstLine="0"/>
        <w:jc w:val="center"/>
        <w:rPr>
          <w:rFonts w:cs="Times New Roman"/>
          <w:szCs w:val="24"/>
          <w:lang w:val="pt-BR"/>
        </w:rPr>
      </w:pPr>
      <w:r>
        <w:rPr>
          <w:rFonts w:cs="Times New Roman"/>
          <w:noProof/>
          <w:szCs w:val="24"/>
          <w:lang w:val="pt-BR"/>
        </w:rPr>
        <w:t>Figura 3 – Ciclo das estações nas políticas públicas LGBTI+ federais (1990-2025)</w:t>
      </w:r>
      <w:r>
        <w:rPr>
          <w:rFonts w:cs="Times New Roman"/>
          <w:noProof/>
          <w:szCs w:val="24"/>
          <w:lang w:val="pt-BR"/>
        </w:rPr>
        <w:drawing>
          <wp:inline distT="0" distB="0" distL="0" distR="0" wp14:anchorId="54A4E4AB" wp14:editId="575CF51C">
            <wp:extent cx="5753100" cy="4972050"/>
            <wp:effectExtent l="0" t="0" r="0" b="0"/>
            <wp:docPr id="170434885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972050"/>
                    </a:xfrm>
                    <a:prstGeom prst="rect">
                      <a:avLst/>
                    </a:prstGeom>
                    <a:noFill/>
                    <a:ln>
                      <a:noFill/>
                    </a:ln>
                  </pic:spPr>
                </pic:pic>
              </a:graphicData>
            </a:graphic>
          </wp:inline>
        </w:drawing>
      </w:r>
    </w:p>
    <w:p w14:paraId="24A8EF2E" w14:textId="706E5288" w:rsidR="00650DE7" w:rsidRPr="0078038A" w:rsidRDefault="00000000" w:rsidP="0078038A">
      <w:pPr>
        <w:spacing w:before="120" w:after="120"/>
        <w:ind w:firstLine="0"/>
        <w:rPr>
          <w:rFonts w:cs="Times New Roman"/>
          <w:szCs w:val="24"/>
          <w:lang w:val="pt-BR"/>
        </w:rPr>
      </w:pPr>
      <w:r w:rsidRPr="0078038A">
        <w:rPr>
          <w:rFonts w:cs="Times New Roman"/>
          <w:szCs w:val="24"/>
          <w:lang w:val="pt-BR"/>
        </w:rPr>
        <w:t xml:space="preserve">É justamente nesse ponto que o eixo “Políticas de Estado e de Governo” </w:t>
      </w:r>
      <w:r w:rsidR="00CA4334" w:rsidRPr="0078038A">
        <w:rPr>
          <w:rFonts w:cs="Times New Roman"/>
          <w:szCs w:val="24"/>
          <w:lang w:val="pt-BR"/>
        </w:rPr>
        <w:t xml:space="preserve">se enquadra. </w:t>
      </w:r>
      <w:r w:rsidRPr="0078038A">
        <w:rPr>
          <w:rFonts w:cs="Times New Roman"/>
          <w:szCs w:val="24"/>
          <w:lang w:val="pt-BR"/>
        </w:rPr>
        <w:t xml:space="preserve">A pesquisa mostra que o desafio contemporâneo não é apenas </w:t>
      </w:r>
      <w:proofErr w:type="gramStart"/>
      <w:r w:rsidRPr="0078038A">
        <w:rPr>
          <w:rFonts w:cs="Times New Roman"/>
          <w:szCs w:val="24"/>
          <w:lang w:val="pt-BR"/>
        </w:rPr>
        <w:t>criar novas</w:t>
      </w:r>
      <w:proofErr w:type="gramEnd"/>
      <w:r w:rsidRPr="0078038A">
        <w:rPr>
          <w:rFonts w:cs="Times New Roman"/>
          <w:szCs w:val="24"/>
          <w:lang w:val="pt-BR"/>
        </w:rPr>
        <w:t xml:space="preserve"> ações, mas estabilizar institucionalmente as conquistas já existentes. Não basta ter programas, é preciso ter programas permanentes. Não basta ter diretrizes, é preciso ter metas, indicadores e orçamento. Não basta ter um órgão gestor, é preciso que ele possua equipe, autoridade e coordenação sobre a política. Não basta ter normas protetivas, é preciso que elas sejam conhecidas, implementadas, monitoradas e defendidas. Em suma, não basta haver política pública; é preciso que ela se torne difícil de desmontar.</w:t>
      </w:r>
    </w:p>
    <w:p w14:paraId="710352E3" w14:textId="77777777" w:rsidR="00CA4334" w:rsidRPr="0078038A" w:rsidRDefault="00CA4334" w:rsidP="0078038A">
      <w:pPr>
        <w:spacing w:before="120" w:after="120"/>
        <w:ind w:firstLine="0"/>
        <w:rPr>
          <w:rFonts w:cs="Times New Roman"/>
          <w:b/>
          <w:szCs w:val="24"/>
          <w:lang w:val="pt-BR"/>
        </w:rPr>
      </w:pPr>
    </w:p>
    <w:p w14:paraId="7FEC72FA" w14:textId="278FC17B"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lastRenderedPageBreak/>
        <w:t>5</w:t>
      </w:r>
      <w:r w:rsidR="00CA4334" w:rsidRPr="0078038A">
        <w:rPr>
          <w:rFonts w:cs="Times New Roman"/>
          <w:b/>
          <w:szCs w:val="24"/>
          <w:lang w:val="pt-BR"/>
        </w:rPr>
        <w:t>.</w:t>
      </w:r>
      <w:r w:rsidRPr="0078038A">
        <w:rPr>
          <w:rFonts w:cs="Times New Roman"/>
          <w:b/>
          <w:szCs w:val="24"/>
          <w:lang w:val="pt-BR"/>
        </w:rPr>
        <w:t xml:space="preserve"> CONCLUSÕES / CONSIDERAÇÕES FINAIS</w:t>
      </w:r>
    </w:p>
    <w:p w14:paraId="2D03D4A9" w14:textId="77777777" w:rsidR="00650DE7" w:rsidRPr="0078038A" w:rsidRDefault="00000000" w:rsidP="0078038A">
      <w:pPr>
        <w:spacing w:before="120" w:after="120"/>
        <w:ind w:firstLine="0"/>
        <w:rPr>
          <w:rFonts w:cs="Times New Roman"/>
          <w:szCs w:val="24"/>
          <w:lang w:val="pt-BR"/>
        </w:rPr>
      </w:pPr>
      <w:r w:rsidRPr="0078038A">
        <w:rPr>
          <w:rFonts w:cs="Times New Roman"/>
          <w:szCs w:val="24"/>
          <w:lang w:val="pt-BR"/>
        </w:rPr>
        <w:t>O mapeamento nacional revela um cenário marcado por avanços significativos, mas estruturados em bases frágeis, desiguais e altamente vulneráveis a oscilações políticas. A nova primavera institucional inaugurada a partir de 2023 convive com legados de desmonte, dispersão normativa, baixa rigidez jurídica e subfinanciamento crônico. A consolidação da Secretaria Nacional dos Direitos das Pessoas LGBTQIA+ no âmbito do Ministério dos Direitos Humanos e da Cidadania deve ser afirmada como um dos avanços mais expressivos desse período. Pela primeira vez, a agenda LGBTQIA+ ocupa de forma explícita um órgão específico singular de segundo nível hierárquico na administração pública federal.</w:t>
      </w:r>
    </w:p>
    <w:p w14:paraId="07022A58" w14:textId="77777777" w:rsidR="00650DE7" w:rsidRPr="0078038A" w:rsidRDefault="00000000" w:rsidP="00CA4A71">
      <w:pPr>
        <w:spacing w:before="120" w:after="120"/>
        <w:ind w:firstLine="0"/>
        <w:rPr>
          <w:rFonts w:cs="Times New Roman"/>
          <w:szCs w:val="24"/>
          <w:lang w:val="pt-BR"/>
        </w:rPr>
      </w:pPr>
      <w:r w:rsidRPr="0078038A">
        <w:rPr>
          <w:rFonts w:cs="Times New Roman"/>
          <w:szCs w:val="24"/>
          <w:lang w:val="pt-BR"/>
        </w:rPr>
        <w:t>Contudo, a gestão federal carece de um sistema nacional de políticas públicas LGBTI+ consolidado. O que se observa é um mosaico de iniciativas: programas pontuais, experiências exitosas isoladas, estruturas incipientes e ações ancoradas quase sempre na vontade de gestões específicas, sem garantias suficientes de continuidade. Há profunda desigualdade regional e setorial na constituição do tripé matricial e setorial, com ausência de estratégia federal suficientemente robusta para indução e coordenação de estados e municípios.</w:t>
      </w:r>
    </w:p>
    <w:p w14:paraId="791F285D" w14:textId="77777777" w:rsidR="00650DE7" w:rsidRPr="0078038A" w:rsidRDefault="00000000" w:rsidP="00CA4A71">
      <w:pPr>
        <w:spacing w:before="120" w:after="120"/>
        <w:ind w:firstLine="0"/>
        <w:rPr>
          <w:rFonts w:cs="Times New Roman"/>
          <w:szCs w:val="24"/>
          <w:lang w:val="pt-BR"/>
        </w:rPr>
      </w:pPr>
      <w:r w:rsidRPr="0078038A">
        <w:rPr>
          <w:rFonts w:cs="Times New Roman"/>
          <w:szCs w:val="24"/>
          <w:lang w:val="pt-BR"/>
        </w:rPr>
        <w:t>No plano orçamentário, o orçamento destinado às políticas LGBTI+ é baixo, pouco estável e de difícil rastreamento. No desenho institucional, o órgão gestor federal especializado conta com equipe reduzida e orçamento limitado, incompatíveis com a extensão e a complexidade da agenda. Outro eixo crítico é a carência de políticas estruturantes para enfrentamento da vulnerabilidade socioeconômica e da violência. Em muitos casos, o que existe são diretrizes genéricas de não discriminação, não propriamente políticas estruturadas com metas, orçamento, monitoramento e capacidade de entrega.</w:t>
      </w:r>
    </w:p>
    <w:p w14:paraId="3B5C730B" w14:textId="131BD112" w:rsidR="00650DE7" w:rsidRPr="0078038A" w:rsidRDefault="00000000" w:rsidP="00CA4A71">
      <w:pPr>
        <w:spacing w:before="120" w:after="120"/>
        <w:ind w:firstLine="0"/>
        <w:rPr>
          <w:rFonts w:cs="Times New Roman"/>
          <w:szCs w:val="24"/>
          <w:lang w:val="pt-BR"/>
        </w:rPr>
      </w:pPr>
      <w:r w:rsidRPr="0078038A">
        <w:rPr>
          <w:rFonts w:cs="Times New Roman"/>
          <w:szCs w:val="24"/>
          <w:lang w:val="pt-BR"/>
        </w:rPr>
        <w:t xml:space="preserve">Do ponto de vista do problema de pesquisa, a resposta construída ao longo do trabalho </w:t>
      </w:r>
      <w:r w:rsidR="00CA4A71">
        <w:rPr>
          <w:rFonts w:cs="Times New Roman"/>
          <w:szCs w:val="24"/>
          <w:lang w:val="pt-BR"/>
        </w:rPr>
        <w:t xml:space="preserve">indica que </w:t>
      </w:r>
      <w:r w:rsidRPr="0078038A">
        <w:rPr>
          <w:rFonts w:cs="Times New Roman"/>
          <w:szCs w:val="24"/>
          <w:lang w:val="pt-BR"/>
        </w:rPr>
        <w:t>a oscilação histórica das políticas públicas LGBTI+ no governo federal decorre, em grande medida, da incompleta transformação dessa agenda em política de Estado. Houve períodos de forte protagonismo e centralidade, especialmente entre 2003 e 2015 e novamente a partir de 2023, mas os avanços não foram acompanhados, no mesmo ritmo, por rigidez normativa, coordenação federativa, estrutura permanente, produção de dados e orçamento rastreável em escala suficiente. Por isso, mudanças de governo geraram impactos tão profundos sobre a política.</w:t>
      </w:r>
    </w:p>
    <w:p w14:paraId="64B63F31" w14:textId="3AB12880" w:rsidR="00650DE7" w:rsidRPr="0078038A" w:rsidRDefault="00000000" w:rsidP="00CA4A71">
      <w:pPr>
        <w:spacing w:before="120" w:after="120"/>
        <w:ind w:firstLine="0"/>
        <w:rPr>
          <w:rFonts w:cs="Times New Roman"/>
          <w:szCs w:val="24"/>
          <w:lang w:val="pt-BR"/>
        </w:rPr>
      </w:pPr>
      <w:r w:rsidRPr="0078038A">
        <w:rPr>
          <w:rFonts w:cs="Times New Roman"/>
          <w:szCs w:val="24"/>
          <w:lang w:val="pt-BR"/>
        </w:rPr>
        <w:t xml:space="preserve">Assim, a principal conclusão é </w:t>
      </w:r>
      <w:r w:rsidR="00CA4A71">
        <w:rPr>
          <w:rFonts w:cs="Times New Roman"/>
          <w:szCs w:val="24"/>
          <w:lang w:val="pt-BR"/>
        </w:rPr>
        <w:t>que</w:t>
      </w:r>
      <w:r w:rsidRPr="0078038A">
        <w:rPr>
          <w:rFonts w:cs="Times New Roman"/>
          <w:szCs w:val="24"/>
          <w:lang w:val="pt-BR"/>
        </w:rPr>
        <w:t xml:space="preserve"> sem institucionalidade robusta, metas mensuráveis, orçamento rastreável e controle social qualificado, qualquer progresso na agenda LGBTI+ </w:t>
      </w:r>
      <w:r w:rsidRPr="0078038A">
        <w:rPr>
          <w:rFonts w:cs="Times New Roman"/>
          <w:szCs w:val="24"/>
          <w:lang w:val="pt-BR"/>
        </w:rPr>
        <w:lastRenderedPageBreak/>
        <w:t xml:space="preserve">permanece vulnerável aos ciclos políticos. </w:t>
      </w:r>
      <w:r w:rsidR="00CA4A71" w:rsidRPr="00CA4A71">
        <w:rPr>
          <w:rFonts w:cs="Times New Roman"/>
          <w:szCs w:val="24"/>
          <w:lang w:val="pt-BR"/>
        </w:rPr>
        <w:t>Para avançar com velocidade e solidez, propõe-se:</w:t>
      </w:r>
      <w:r w:rsidR="00CA4A71">
        <w:rPr>
          <w:rFonts w:cs="Times New Roman"/>
          <w:szCs w:val="24"/>
          <w:lang w:val="pt-BR"/>
        </w:rPr>
        <w:t xml:space="preserve"> </w:t>
      </w:r>
      <w:r w:rsidR="00CA4A71" w:rsidRPr="00CA4A71">
        <w:rPr>
          <w:rFonts w:cs="Times New Roman"/>
          <w:szCs w:val="24"/>
          <w:lang w:val="pt-BR"/>
        </w:rPr>
        <w:t xml:space="preserve">(i) criação de uma </w:t>
      </w:r>
      <w:r w:rsidR="00CA4A71" w:rsidRPr="004874FE">
        <w:rPr>
          <w:rFonts w:cs="Times New Roman"/>
          <w:b/>
          <w:bCs/>
          <w:szCs w:val="24"/>
          <w:lang w:val="pt-BR"/>
        </w:rPr>
        <w:t>Política Nacional de Desenvolvimento de</w:t>
      </w:r>
      <w:r w:rsidR="00CA4A71" w:rsidRPr="004874FE">
        <w:rPr>
          <w:rFonts w:cs="Times New Roman"/>
          <w:b/>
          <w:bCs/>
          <w:szCs w:val="24"/>
          <w:lang w:val="pt-BR"/>
        </w:rPr>
        <w:t xml:space="preserve"> </w:t>
      </w:r>
      <w:r w:rsidR="00CA4A71" w:rsidRPr="004874FE">
        <w:rPr>
          <w:rFonts w:cs="Times New Roman"/>
          <w:b/>
          <w:bCs/>
          <w:szCs w:val="24"/>
          <w:lang w:val="pt-BR"/>
        </w:rPr>
        <w:t>Políticas Públicas Matriciais LGBTI+</w:t>
      </w:r>
      <w:r w:rsidR="00CA4A71" w:rsidRPr="00CA4A71">
        <w:rPr>
          <w:rFonts w:cs="Times New Roman"/>
          <w:szCs w:val="24"/>
          <w:lang w:val="pt-BR"/>
        </w:rPr>
        <w:t>, voltada especialmente</w:t>
      </w:r>
      <w:r w:rsidR="00CA4A71">
        <w:rPr>
          <w:rFonts w:cs="Times New Roman"/>
          <w:szCs w:val="24"/>
          <w:lang w:val="pt-BR"/>
        </w:rPr>
        <w:t xml:space="preserve"> </w:t>
      </w:r>
      <w:r w:rsidR="00CA4A71" w:rsidRPr="00CA4A71">
        <w:rPr>
          <w:rFonts w:cs="Times New Roman"/>
          <w:szCs w:val="24"/>
          <w:lang w:val="pt-BR"/>
        </w:rPr>
        <w:t>à criação e estruturação de órgão gestor e conselho</w:t>
      </w:r>
      <w:r w:rsidR="00CA4A71">
        <w:rPr>
          <w:rFonts w:cs="Times New Roman"/>
          <w:szCs w:val="24"/>
          <w:lang w:val="pt-BR"/>
        </w:rPr>
        <w:t xml:space="preserve"> </w:t>
      </w:r>
      <w:r w:rsidR="00CA4A71" w:rsidRPr="00CA4A71">
        <w:rPr>
          <w:rFonts w:cs="Times New Roman"/>
          <w:szCs w:val="24"/>
          <w:lang w:val="pt-BR"/>
        </w:rPr>
        <w:t>em todas as unidades da federação; (</w:t>
      </w:r>
      <w:proofErr w:type="spellStart"/>
      <w:r w:rsidR="00CA4A71" w:rsidRPr="00CA4A71">
        <w:rPr>
          <w:rFonts w:cs="Times New Roman"/>
          <w:szCs w:val="24"/>
          <w:lang w:val="pt-BR"/>
        </w:rPr>
        <w:t>ii</w:t>
      </w:r>
      <w:proofErr w:type="spellEnd"/>
      <w:r w:rsidR="00CA4A71" w:rsidRPr="00CA4A71">
        <w:rPr>
          <w:rFonts w:cs="Times New Roman"/>
          <w:szCs w:val="24"/>
          <w:lang w:val="pt-BR"/>
        </w:rPr>
        <w:t xml:space="preserve">) </w:t>
      </w:r>
      <w:r w:rsidR="00CA4A71" w:rsidRPr="004874FE">
        <w:rPr>
          <w:rFonts w:cs="Times New Roman"/>
          <w:b/>
          <w:bCs/>
          <w:szCs w:val="24"/>
          <w:lang w:val="pt-BR"/>
        </w:rPr>
        <w:t>Fundo Nacional</w:t>
      </w:r>
      <w:r w:rsidR="00CA4A71">
        <w:rPr>
          <w:rFonts w:cs="Times New Roman"/>
          <w:szCs w:val="24"/>
          <w:lang w:val="pt-BR"/>
        </w:rPr>
        <w:t xml:space="preserve"> </w:t>
      </w:r>
      <w:r w:rsidR="00CA4A71" w:rsidRPr="00CA4A71">
        <w:rPr>
          <w:rFonts w:cs="Times New Roman"/>
          <w:szCs w:val="24"/>
          <w:lang w:val="pt-BR"/>
        </w:rPr>
        <w:t>dedicado à pauta, com regras de acesso e prestação</w:t>
      </w:r>
      <w:r w:rsidR="00CA4A71">
        <w:rPr>
          <w:rFonts w:cs="Times New Roman"/>
          <w:szCs w:val="24"/>
          <w:lang w:val="pt-BR"/>
        </w:rPr>
        <w:t xml:space="preserve"> </w:t>
      </w:r>
      <w:r w:rsidR="00CA4A71" w:rsidRPr="00CA4A71">
        <w:rPr>
          <w:rFonts w:cs="Times New Roman"/>
          <w:szCs w:val="24"/>
          <w:lang w:val="pt-BR"/>
        </w:rPr>
        <w:t>de contas; (</w:t>
      </w:r>
      <w:proofErr w:type="spellStart"/>
      <w:r w:rsidR="00CA4A71" w:rsidRPr="00CA4A71">
        <w:rPr>
          <w:rFonts w:cs="Times New Roman"/>
          <w:szCs w:val="24"/>
          <w:lang w:val="pt-BR"/>
        </w:rPr>
        <w:t>iii</w:t>
      </w:r>
      <w:proofErr w:type="spellEnd"/>
      <w:r w:rsidR="00CA4A71" w:rsidRPr="00CA4A71">
        <w:rPr>
          <w:rFonts w:cs="Times New Roman"/>
          <w:szCs w:val="24"/>
          <w:lang w:val="pt-BR"/>
        </w:rPr>
        <w:t xml:space="preserve">) </w:t>
      </w:r>
      <w:r w:rsidR="00CA4A71" w:rsidRPr="004874FE">
        <w:rPr>
          <w:rFonts w:cs="Times New Roman"/>
          <w:b/>
          <w:bCs/>
          <w:szCs w:val="24"/>
          <w:lang w:val="pt-BR"/>
        </w:rPr>
        <w:t>Plano Nacional LGBTI+</w:t>
      </w:r>
      <w:r w:rsidR="00CA4A71" w:rsidRPr="00CA4A71">
        <w:rPr>
          <w:rFonts w:cs="Times New Roman"/>
          <w:szCs w:val="24"/>
          <w:lang w:val="pt-BR"/>
        </w:rPr>
        <w:t>, com metas,</w:t>
      </w:r>
      <w:r w:rsidR="00CA4A71">
        <w:rPr>
          <w:rFonts w:cs="Times New Roman"/>
          <w:szCs w:val="24"/>
          <w:lang w:val="pt-BR"/>
        </w:rPr>
        <w:t xml:space="preserve"> </w:t>
      </w:r>
      <w:r w:rsidR="00CA4A71" w:rsidRPr="00CA4A71">
        <w:rPr>
          <w:rFonts w:cs="Times New Roman"/>
          <w:szCs w:val="24"/>
          <w:lang w:val="pt-BR"/>
        </w:rPr>
        <w:t>indicadores e governança no monitoramento; (</w:t>
      </w:r>
      <w:proofErr w:type="spellStart"/>
      <w:r w:rsidR="00CA4A71" w:rsidRPr="00CA4A71">
        <w:rPr>
          <w:rFonts w:cs="Times New Roman"/>
          <w:szCs w:val="24"/>
          <w:lang w:val="pt-BR"/>
        </w:rPr>
        <w:t>iv</w:t>
      </w:r>
      <w:proofErr w:type="spellEnd"/>
      <w:r w:rsidR="00CA4A71" w:rsidRPr="00CA4A71">
        <w:rPr>
          <w:rFonts w:cs="Times New Roman"/>
          <w:szCs w:val="24"/>
          <w:lang w:val="pt-BR"/>
        </w:rPr>
        <w:t xml:space="preserve">) </w:t>
      </w:r>
      <w:r w:rsidR="00CA4A71" w:rsidRPr="004874FE">
        <w:rPr>
          <w:rFonts w:cs="Times New Roman"/>
          <w:b/>
          <w:bCs/>
          <w:szCs w:val="24"/>
          <w:lang w:val="pt-BR"/>
        </w:rPr>
        <w:t>Política</w:t>
      </w:r>
      <w:r w:rsidR="00CA4A71" w:rsidRPr="004874FE">
        <w:rPr>
          <w:rFonts w:cs="Times New Roman"/>
          <w:b/>
          <w:bCs/>
          <w:szCs w:val="24"/>
          <w:lang w:val="pt-BR"/>
        </w:rPr>
        <w:t xml:space="preserve"> </w:t>
      </w:r>
      <w:r w:rsidR="00CA4A71" w:rsidRPr="004874FE">
        <w:rPr>
          <w:rFonts w:cs="Times New Roman"/>
          <w:b/>
          <w:bCs/>
          <w:szCs w:val="24"/>
          <w:lang w:val="pt-BR"/>
        </w:rPr>
        <w:t xml:space="preserve">de </w:t>
      </w:r>
      <w:r w:rsidR="00CA4A71" w:rsidRPr="004874FE">
        <w:rPr>
          <w:rFonts w:cs="Times New Roman"/>
          <w:b/>
          <w:bCs/>
          <w:szCs w:val="24"/>
          <w:lang w:val="pt-BR"/>
        </w:rPr>
        <w:t>coparticipação</w:t>
      </w:r>
      <w:r w:rsidR="00CA4A71" w:rsidRPr="00CA4A71">
        <w:rPr>
          <w:rFonts w:cs="Times New Roman"/>
          <w:szCs w:val="24"/>
          <w:lang w:val="pt-BR"/>
        </w:rPr>
        <w:t xml:space="preserve"> (cooperação técnica + participação</w:t>
      </w:r>
      <w:r w:rsidR="00CA4A71">
        <w:rPr>
          <w:rFonts w:cs="Times New Roman"/>
          <w:szCs w:val="24"/>
          <w:lang w:val="pt-BR"/>
        </w:rPr>
        <w:t xml:space="preserve"> </w:t>
      </w:r>
      <w:r w:rsidR="00CA4A71" w:rsidRPr="00CA4A71">
        <w:rPr>
          <w:rFonts w:cs="Times New Roman"/>
          <w:szCs w:val="24"/>
          <w:lang w:val="pt-BR"/>
        </w:rPr>
        <w:t>social), articulando união, estados, municípios e sociedade</w:t>
      </w:r>
      <w:r w:rsidR="00CA4A71">
        <w:rPr>
          <w:rFonts w:cs="Times New Roman"/>
          <w:szCs w:val="24"/>
          <w:lang w:val="pt-BR"/>
        </w:rPr>
        <w:t xml:space="preserve"> </w:t>
      </w:r>
      <w:r w:rsidR="00CA4A71" w:rsidRPr="00CA4A71">
        <w:rPr>
          <w:rFonts w:cs="Times New Roman"/>
          <w:szCs w:val="24"/>
          <w:lang w:val="pt-BR"/>
        </w:rPr>
        <w:t xml:space="preserve">civil; e (v) </w:t>
      </w:r>
      <w:r w:rsidR="00CA4A71" w:rsidRPr="00325CFA">
        <w:rPr>
          <w:rFonts w:cs="Times New Roman"/>
          <w:b/>
          <w:bCs/>
          <w:szCs w:val="24"/>
          <w:lang w:val="pt-BR"/>
        </w:rPr>
        <w:t>Mecanismo de cofinanciamento federativo</w:t>
      </w:r>
      <w:r w:rsidR="00CA4A71" w:rsidRPr="00CA4A71">
        <w:rPr>
          <w:rFonts w:cs="Times New Roman"/>
          <w:szCs w:val="24"/>
          <w:lang w:val="pt-BR"/>
        </w:rPr>
        <w:t>,</w:t>
      </w:r>
      <w:r w:rsidR="00CA4A71">
        <w:rPr>
          <w:rFonts w:cs="Times New Roman"/>
          <w:szCs w:val="24"/>
          <w:lang w:val="pt-BR"/>
        </w:rPr>
        <w:t xml:space="preserve"> </w:t>
      </w:r>
      <w:r w:rsidR="00CA4A71" w:rsidRPr="00CA4A71">
        <w:rPr>
          <w:rFonts w:cs="Times New Roman"/>
          <w:szCs w:val="24"/>
          <w:lang w:val="pt-BR"/>
        </w:rPr>
        <w:t>que premie adesão, desempenho e transparência.</w:t>
      </w:r>
    </w:p>
    <w:p w14:paraId="3EA31E9B" w14:textId="77777777" w:rsidR="00650DE7" w:rsidRPr="0078038A" w:rsidRDefault="00000000" w:rsidP="00CA4A71">
      <w:pPr>
        <w:spacing w:before="120" w:after="120"/>
        <w:ind w:firstLine="0"/>
        <w:rPr>
          <w:rFonts w:cs="Times New Roman"/>
          <w:szCs w:val="24"/>
          <w:lang w:val="pt-BR"/>
        </w:rPr>
      </w:pPr>
      <w:r w:rsidRPr="0078038A">
        <w:rPr>
          <w:rFonts w:cs="Times New Roman"/>
          <w:szCs w:val="24"/>
          <w:lang w:val="pt-BR"/>
        </w:rPr>
        <w:t>O desenvolvimento de políticas públicas LGBTI+ passa por uma jornada contínua e regular de amadurecimento. Nada nasce do zero. Mas a experiência histórica analisada mostra que amadurecer, nesse campo, significa transformar conquistas ainda muito dependentes da vontade governamental em estruturas públicas com maior rigidez, estabilidade e resiliência. É nessa passagem que se decide se a política pública LGBTI+ permanecerá sujeita ao ciclo das estações ou se, finalmente, criará raízes profundas como política de Estado.</w:t>
      </w:r>
    </w:p>
    <w:p w14:paraId="71BB9497" w14:textId="77777777" w:rsidR="0078038A" w:rsidRPr="0078038A" w:rsidRDefault="0078038A" w:rsidP="0078038A">
      <w:pPr>
        <w:spacing w:before="120" w:after="120"/>
        <w:rPr>
          <w:rFonts w:cs="Times New Roman"/>
          <w:szCs w:val="24"/>
          <w:lang w:val="pt-BR"/>
        </w:rPr>
      </w:pPr>
    </w:p>
    <w:p w14:paraId="12D9F80D" w14:textId="77777777" w:rsidR="00650DE7" w:rsidRPr="0078038A" w:rsidRDefault="00000000" w:rsidP="0078038A">
      <w:pPr>
        <w:spacing w:before="120" w:after="120"/>
        <w:ind w:firstLine="0"/>
        <w:rPr>
          <w:rFonts w:cs="Times New Roman"/>
          <w:szCs w:val="24"/>
          <w:lang w:val="pt-BR"/>
        </w:rPr>
      </w:pPr>
      <w:r w:rsidRPr="0078038A">
        <w:rPr>
          <w:rFonts w:cs="Times New Roman"/>
          <w:b/>
          <w:szCs w:val="24"/>
          <w:lang w:val="pt-BR"/>
        </w:rPr>
        <w:t>REFERÊNCIAS</w:t>
      </w:r>
    </w:p>
    <w:p w14:paraId="518B07DC"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ABGLT (Associação Brasileira de Lésbicas, Gays, Bissexuais, Travestis, Transexuais e Intersexos).</w:t>
      </w:r>
      <w:r w:rsidRPr="0078038A">
        <w:rPr>
          <w:rFonts w:cs="Times New Roman"/>
          <w:szCs w:val="24"/>
          <w:lang w:val="pt-BR"/>
        </w:rPr>
        <w:t xml:space="preserve"> Do luto à luta: assassinatos de pessoas defensoras de direitos humanos LGBTI+ em 2021. Brasília: ABGLT, 2021.</w:t>
      </w:r>
    </w:p>
    <w:p w14:paraId="5DB95498"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ABGLT (Associação Brasileira de Lésbicas, Gays, Bissexuais, Travestis, Transexuais e Intersexos); EMBAIXADA BRITÂNICA EM BRASÍLIA; FUNDO POSITIVO.</w:t>
      </w:r>
      <w:r w:rsidRPr="0078038A">
        <w:rPr>
          <w:rFonts w:cs="Times New Roman"/>
          <w:szCs w:val="24"/>
          <w:lang w:val="pt-BR"/>
        </w:rPr>
        <w:t xml:space="preserve"> Relatório de políticas públicas, v. 1: impactos da criminalização da violência contra LGBTI+ nas políticas de segurança pública. Organização: Gustavo Miranda Coutinho; </w:t>
      </w:r>
      <w:proofErr w:type="spellStart"/>
      <w:r w:rsidRPr="0078038A">
        <w:rPr>
          <w:rFonts w:cs="Times New Roman"/>
          <w:szCs w:val="24"/>
          <w:lang w:val="pt-BR"/>
        </w:rPr>
        <w:t>Symmy</w:t>
      </w:r>
      <w:proofErr w:type="spellEnd"/>
      <w:r w:rsidRPr="0078038A">
        <w:rPr>
          <w:rFonts w:cs="Times New Roman"/>
          <w:szCs w:val="24"/>
          <w:lang w:val="pt-BR"/>
        </w:rPr>
        <w:t xml:space="preserve"> </w:t>
      </w:r>
      <w:proofErr w:type="spellStart"/>
      <w:r w:rsidRPr="0078038A">
        <w:rPr>
          <w:rFonts w:cs="Times New Roman"/>
          <w:szCs w:val="24"/>
          <w:lang w:val="pt-BR"/>
        </w:rPr>
        <w:t>Larrat</w:t>
      </w:r>
      <w:proofErr w:type="spellEnd"/>
      <w:r w:rsidRPr="0078038A">
        <w:rPr>
          <w:rFonts w:cs="Times New Roman"/>
          <w:szCs w:val="24"/>
          <w:lang w:val="pt-BR"/>
        </w:rPr>
        <w:t>. Brasília: ABGLT; Embaixada Britânica; Fundo Positivo, 2022.</w:t>
      </w:r>
    </w:p>
    <w:p w14:paraId="29EF249C"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ABRANB (Articulação Brasileira Não-Binárie).</w:t>
      </w:r>
      <w:r w:rsidRPr="0078038A">
        <w:rPr>
          <w:rFonts w:cs="Times New Roman"/>
          <w:szCs w:val="24"/>
          <w:lang w:val="pt-BR"/>
        </w:rPr>
        <w:t xml:space="preserve"> Parecer sobre Registro Civil Não Binário. 1 ago. 2021. Revisado em 30 set. 2024.</w:t>
      </w:r>
    </w:p>
    <w:p w14:paraId="565C42E5"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ACNUDH (Alto Comissariado das Nações Unidas para os Direitos Humanos).</w:t>
      </w:r>
      <w:r w:rsidRPr="0078038A">
        <w:rPr>
          <w:rFonts w:cs="Times New Roman"/>
          <w:szCs w:val="24"/>
          <w:lang w:val="pt-BR"/>
        </w:rPr>
        <w:t xml:space="preserve"> Nota informativa sobre violações de direitos humanos contra pessoas intersexo. Genebra: ACNUDH, 2019. Disponível em:</w:t>
      </w:r>
      <w:hyperlink r:id="rId18" w:history="1">
        <w:r w:rsidRPr="0078038A">
          <w:rPr>
            <w:rStyle w:val="Hyperlink"/>
            <w:rFonts w:cs="Times New Roman"/>
            <w:szCs w:val="24"/>
            <w:lang w:val="pt-BR"/>
          </w:rPr>
          <w:t xml:space="preserve"> https://www.ohchr.org/sites/default/files/documents/issues/discrimination/lgbt/BackgroundNoteHumanRightsViolationsagainstIntersexPeople_PR.pdf</w:t>
        </w:r>
      </w:hyperlink>
      <w:r w:rsidRPr="0078038A">
        <w:rPr>
          <w:rFonts w:cs="Times New Roman"/>
          <w:szCs w:val="24"/>
          <w:lang w:val="pt-BR"/>
        </w:rPr>
        <w:t>. Acesso em: 10 jun. 2025.</w:t>
      </w:r>
    </w:p>
    <w:p w14:paraId="2C7F3D4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ACONTECE ARTE E POLÍTICA LGBTI+; ANTRA (Associação Nacional de Travestis e Transexuais); ABGLT (Associação Brasileira de Lésbicas, Gays, Bissexuais, Travestis, Transexuais e Intersexos).</w:t>
      </w:r>
      <w:r w:rsidRPr="0078038A">
        <w:rPr>
          <w:rFonts w:cs="Times New Roman"/>
          <w:szCs w:val="24"/>
          <w:lang w:val="pt-BR"/>
        </w:rPr>
        <w:t xml:space="preserve"> Mortes e violências contra LGBTI+ no Brasil: dossiê 2022. Florianópolis, SC: Acontece; ANTRA; ABGLT, 2023.</w:t>
      </w:r>
    </w:p>
    <w:p w14:paraId="285FCBA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AGÊNCIA BRASIL.</w:t>
      </w:r>
      <w:r w:rsidRPr="0078038A">
        <w:rPr>
          <w:rFonts w:cs="Times New Roman"/>
          <w:szCs w:val="24"/>
          <w:lang w:val="pt-BR"/>
        </w:rPr>
        <w:t xml:space="preserve"> </w:t>
      </w:r>
      <w:proofErr w:type="gramStart"/>
      <w:r w:rsidRPr="0078038A">
        <w:rPr>
          <w:rFonts w:cs="Times New Roman"/>
          <w:szCs w:val="24"/>
          <w:lang w:val="pt-BR"/>
        </w:rPr>
        <w:t>Junho</w:t>
      </w:r>
      <w:proofErr w:type="gramEnd"/>
      <w:r w:rsidRPr="0078038A">
        <w:rPr>
          <w:rFonts w:cs="Times New Roman"/>
          <w:szCs w:val="24"/>
          <w:lang w:val="pt-BR"/>
        </w:rPr>
        <w:t xml:space="preserve"> de 2013: entenda o cenário de insatisfação que levou a protestos. Brasília: Empresa Brasil de Comunicação (EBC), 10 jun. 2023. Disponível em:</w:t>
      </w:r>
      <w:hyperlink r:id="rId19" w:history="1">
        <w:r w:rsidRPr="0078038A">
          <w:rPr>
            <w:rStyle w:val="Hyperlink"/>
            <w:rFonts w:cs="Times New Roman"/>
            <w:szCs w:val="24"/>
            <w:lang w:val="pt-BR"/>
          </w:rPr>
          <w:t xml:space="preserve"> https://agenciabrasil.ebc.com.br/geral/noticia/2023-06/junho-de-2013-entenda-o-cenario-de-insatisfacao-que-levou-a-protestos</w:t>
        </w:r>
      </w:hyperlink>
      <w:r w:rsidRPr="0078038A">
        <w:rPr>
          <w:rFonts w:cs="Times New Roman"/>
          <w:szCs w:val="24"/>
          <w:lang w:val="pt-BR"/>
        </w:rPr>
        <w:t>. Acesso em: 5 out. 2025.</w:t>
      </w:r>
    </w:p>
    <w:p w14:paraId="7E158CB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ALIANÇA NACIONAL LGBTI+.</w:t>
      </w:r>
      <w:r w:rsidRPr="0078038A">
        <w:rPr>
          <w:rFonts w:cs="Times New Roman"/>
          <w:szCs w:val="24"/>
          <w:lang w:val="pt-BR"/>
        </w:rPr>
        <w:t xml:space="preserve"> Pesquisa Nacional sobre Bullying LGBTfóbico nas Escolas Brasileiras. Curitiba: Aliança Nacional LGBTI+, 2024. Disponível em:</w:t>
      </w:r>
      <w:hyperlink r:id="rId20" w:history="1">
        <w:r w:rsidRPr="0078038A">
          <w:rPr>
            <w:rStyle w:val="Hyperlink"/>
            <w:rFonts w:cs="Times New Roman"/>
            <w:szCs w:val="24"/>
            <w:lang w:val="pt-BR"/>
          </w:rPr>
          <w:t xml:space="preserve"> https://aliancalgbti.org.br/relatorio-pesquisa-nacional-sobre-o-bullying/</w:t>
        </w:r>
      </w:hyperlink>
      <w:r w:rsidRPr="0078038A">
        <w:rPr>
          <w:rFonts w:cs="Times New Roman"/>
          <w:szCs w:val="24"/>
          <w:lang w:val="pt-BR"/>
        </w:rPr>
        <w:t>. Acesso em: 8 nov. 2025.</w:t>
      </w:r>
    </w:p>
    <w:p w14:paraId="1BC4B675"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ALIANÇA NACIONAL LGBTI+; GRUPO ARCO-ÍRIS DE CIDADANIA LGBT.</w:t>
      </w:r>
      <w:r w:rsidRPr="0078038A">
        <w:rPr>
          <w:rFonts w:cs="Times New Roman"/>
          <w:szCs w:val="24"/>
          <w:lang w:val="pt-BR"/>
        </w:rPr>
        <w:t xml:space="preserve"> Dossiê da violência em razão da identidade de gênero e orientação sexual no estado do Rio de Janeiro: relatório final e pesquisa do Projeto Painel da Violência contra a População LGBTI+. Rio de Janeiro: Aliança Nacional LGBTI+; Grupo Arco-Íris de Cidadania LGBT, 2021.</w:t>
      </w:r>
    </w:p>
    <w:p w14:paraId="649855C8"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ALTO COMISSARIADO DAS NAÇÕES UNIDAS PARA OS DIREITOS HUMANOS (ONU).</w:t>
      </w:r>
      <w:r w:rsidRPr="0078038A">
        <w:rPr>
          <w:rFonts w:cs="Times New Roman"/>
          <w:szCs w:val="24"/>
          <w:lang w:val="pt-BR"/>
        </w:rPr>
        <w:t xml:space="preserve"> </w:t>
      </w:r>
      <w:proofErr w:type="spellStart"/>
      <w:r w:rsidRPr="0078038A">
        <w:rPr>
          <w:rFonts w:cs="Times New Roman"/>
          <w:szCs w:val="24"/>
          <w:lang w:val="pt-BR"/>
        </w:rPr>
        <w:t>Discriminación</w:t>
      </w:r>
      <w:proofErr w:type="spellEnd"/>
      <w:r w:rsidRPr="0078038A">
        <w:rPr>
          <w:rFonts w:cs="Times New Roman"/>
          <w:szCs w:val="24"/>
          <w:lang w:val="pt-BR"/>
        </w:rPr>
        <w:t xml:space="preserve"> y </w:t>
      </w:r>
      <w:proofErr w:type="spellStart"/>
      <w:r w:rsidRPr="0078038A">
        <w:rPr>
          <w:rFonts w:cs="Times New Roman"/>
          <w:szCs w:val="24"/>
          <w:lang w:val="pt-BR"/>
        </w:rPr>
        <w:t>violencia</w:t>
      </w:r>
      <w:proofErr w:type="spellEnd"/>
      <w:r w:rsidRPr="0078038A">
        <w:rPr>
          <w:rFonts w:cs="Times New Roman"/>
          <w:szCs w:val="24"/>
          <w:lang w:val="pt-BR"/>
        </w:rPr>
        <w:t xml:space="preserve"> contra </w:t>
      </w:r>
      <w:proofErr w:type="spellStart"/>
      <w:r w:rsidRPr="0078038A">
        <w:rPr>
          <w:rFonts w:cs="Times New Roman"/>
          <w:szCs w:val="24"/>
          <w:lang w:val="pt-BR"/>
        </w:rPr>
        <w:t>las</w:t>
      </w:r>
      <w:proofErr w:type="spellEnd"/>
      <w:r w:rsidRPr="0078038A">
        <w:rPr>
          <w:rFonts w:cs="Times New Roman"/>
          <w:szCs w:val="24"/>
          <w:lang w:val="pt-BR"/>
        </w:rPr>
        <w:t xml:space="preserve"> personas por motivos de </w:t>
      </w:r>
      <w:proofErr w:type="spellStart"/>
      <w:r w:rsidRPr="0078038A">
        <w:rPr>
          <w:rFonts w:cs="Times New Roman"/>
          <w:szCs w:val="24"/>
          <w:lang w:val="pt-BR"/>
        </w:rPr>
        <w:t>orientación</w:t>
      </w:r>
      <w:proofErr w:type="spellEnd"/>
      <w:r w:rsidRPr="0078038A">
        <w:rPr>
          <w:rFonts w:cs="Times New Roman"/>
          <w:szCs w:val="24"/>
          <w:lang w:val="pt-BR"/>
        </w:rPr>
        <w:t xml:space="preserve"> sexual e </w:t>
      </w:r>
      <w:proofErr w:type="spellStart"/>
      <w:r w:rsidRPr="0078038A">
        <w:rPr>
          <w:rFonts w:cs="Times New Roman"/>
          <w:szCs w:val="24"/>
          <w:lang w:val="pt-BR"/>
        </w:rPr>
        <w:t>identidad</w:t>
      </w:r>
      <w:proofErr w:type="spellEnd"/>
      <w:r w:rsidRPr="0078038A">
        <w:rPr>
          <w:rFonts w:cs="Times New Roman"/>
          <w:szCs w:val="24"/>
          <w:lang w:val="pt-BR"/>
        </w:rPr>
        <w:t xml:space="preserve"> de género: informe </w:t>
      </w:r>
      <w:proofErr w:type="spellStart"/>
      <w:r w:rsidRPr="0078038A">
        <w:rPr>
          <w:rFonts w:cs="Times New Roman"/>
          <w:szCs w:val="24"/>
          <w:lang w:val="pt-BR"/>
        </w:rPr>
        <w:t>del</w:t>
      </w:r>
      <w:proofErr w:type="spellEnd"/>
      <w:r w:rsidRPr="0078038A">
        <w:rPr>
          <w:rFonts w:cs="Times New Roman"/>
          <w:szCs w:val="24"/>
          <w:lang w:val="pt-BR"/>
        </w:rPr>
        <w:t xml:space="preserve"> Alto Comissariado; 29º período de </w:t>
      </w:r>
      <w:proofErr w:type="spellStart"/>
      <w:r w:rsidRPr="0078038A">
        <w:rPr>
          <w:rFonts w:cs="Times New Roman"/>
          <w:szCs w:val="24"/>
          <w:lang w:val="pt-BR"/>
        </w:rPr>
        <w:t>sesiones</w:t>
      </w:r>
      <w:proofErr w:type="spellEnd"/>
      <w:r w:rsidRPr="0078038A">
        <w:rPr>
          <w:rFonts w:cs="Times New Roman"/>
          <w:szCs w:val="24"/>
          <w:lang w:val="pt-BR"/>
        </w:rPr>
        <w:t xml:space="preserve"> </w:t>
      </w:r>
      <w:proofErr w:type="spellStart"/>
      <w:r w:rsidRPr="0078038A">
        <w:rPr>
          <w:rFonts w:cs="Times New Roman"/>
          <w:szCs w:val="24"/>
          <w:lang w:val="pt-BR"/>
        </w:rPr>
        <w:t>del</w:t>
      </w:r>
      <w:proofErr w:type="spellEnd"/>
      <w:r w:rsidRPr="0078038A">
        <w:rPr>
          <w:rFonts w:cs="Times New Roman"/>
          <w:szCs w:val="24"/>
          <w:lang w:val="pt-BR"/>
        </w:rPr>
        <w:t xml:space="preserve"> </w:t>
      </w:r>
      <w:proofErr w:type="spellStart"/>
      <w:r w:rsidRPr="0078038A">
        <w:rPr>
          <w:rFonts w:cs="Times New Roman"/>
          <w:szCs w:val="24"/>
          <w:lang w:val="pt-BR"/>
        </w:rPr>
        <w:t>Consejo</w:t>
      </w:r>
      <w:proofErr w:type="spellEnd"/>
      <w:r w:rsidRPr="0078038A">
        <w:rPr>
          <w:rFonts w:cs="Times New Roman"/>
          <w:szCs w:val="24"/>
          <w:lang w:val="pt-BR"/>
        </w:rPr>
        <w:t xml:space="preserve"> de </w:t>
      </w:r>
      <w:proofErr w:type="spellStart"/>
      <w:r w:rsidRPr="0078038A">
        <w:rPr>
          <w:rFonts w:cs="Times New Roman"/>
          <w:szCs w:val="24"/>
          <w:lang w:val="pt-BR"/>
        </w:rPr>
        <w:t>Derechos</w:t>
      </w:r>
      <w:proofErr w:type="spellEnd"/>
      <w:r w:rsidRPr="0078038A">
        <w:rPr>
          <w:rFonts w:cs="Times New Roman"/>
          <w:szCs w:val="24"/>
          <w:lang w:val="pt-BR"/>
        </w:rPr>
        <w:t xml:space="preserve"> Humanos. </w:t>
      </w:r>
      <w:proofErr w:type="spellStart"/>
      <w:r w:rsidRPr="0078038A">
        <w:rPr>
          <w:rFonts w:cs="Times New Roman"/>
          <w:szCs w:val="24"/>
          <w:lang w:val="pt-BR"/>
        </w:rPr>
        <w:t>Ginebra</w:t>
      </w:r>
      <w:proofErr w:type="spellEnd"/>
      <w:r w:rsidRPr="0078038A">
        <w:rPr>
          <w:rFonts w:cs="Times New Roman"/>
          <w:szCs w:val="24"/>
          <w:lang w:val="pt-BR"/>
        </w:rPr>
        <w:t>: ONU, 2015.</w:t>
      </w:r>
    </w:p>
    <w:p w14:paraId="431FCB19"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ALTO COMISSARIADO DAS NAÇÕES UNIDAS PARA OS DIREITOS HUMANOS (ONU).</w:t>
      </w:r>
      <w:r w:rsidRPr="0078038A">
        <w:rPr>
          <w:rFonts w:cs="Times New Roman"/>
          <w:szCs w:val="24"/>
          <w:lang w:val="pt-BR"/>
        </w:rPr>
        <w:t xml:space="preserve"> Declaração de especialistas regionais e da ONU, Dia de Visibilidade Intersexo, 26 de outubro de 2016. Publicada em: 24 out. 2016. Disponível em:</w:t>
      </w:r>
      <w:hyperlink r:id="rId21" w:history="1">
        <w:r w:rsidRPr="0078038A">
          <w:rPr>
            <w:rStyle w:val="Hyperlink"/>
            <w:rFonts w:cs="Times New Roman"/>
            <w:szCs w:val="24"/>
            <w:lang w:val="pt-BR"/>
          </w:rPr>
          <w:t xml:space="preserve"> http://www.ohchr.org/EN/NewsEvents/Pages/DisplayNews.aspx?</w:t>
        </w:r>
      </w:hyperlink>
      <w:r w:rsidRPr="0078038A">
        <w:rPr>
          <w:rFonts w:cs="Times New Roman"/>
          <w:szCs w:val="24"/>
          <w:lang w:val="pt-BR"/>
        </w:rPr>
        <w:t>.</w:t>
      </w:r>
    </w:p>
    <w:p w14:paraId="35BF5812"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ALTO COMISSARIADO DAS NAÇÕES UNIDAS PARA REFUGIADOS (ACNUR).</w:t>
      </w:r>
      <w:r w:rsidRPr="0078038A">
        <w:rPr>
          <w:rFonts w:cs="Times New Roman"/>
          <w:szCs w:val="24"/>
          <w:lang w:val="pt-BR"/>
        </w:rPr>
        <w:t xml:space="preserve"> Cartilha informativa sobre a proteção de pessoas refugiadas e solicitantes de refúgio LGBTI. Brasília: ACNUR, 2017. Disponível em:</w:t>
      </w:r>
      <w:hyperlink r:id="rId22" w:history="1">
        <w:r w:rsidRPr="0078038A">
          <w:rPr>
            <w:rStyle w:val="Hyperlink"/>
            <w:rFonts w:cs="Times New Roman"/>
            <w:szCs w:val="24"/>
            <w:lang w:val="pt-BR"/>
          </w:rPr>
          <w:t xml:space="preserve"> https://www.acnur.org/br/sites/br/files/2025-01/2017-cartilha-informativa-protecao-lgbti.pdf</w:t>
        </w:r>
      </w:hyperlink>
      <w:r w:rsidRPr="0078038A">
        <w:rPr>
          <w:rFonts w:cs="Times New Roman"/>
          <w:szCs w:val="24"/>
          <w:lang w:val="pt-BR"/>
        </w:rPr>
        <w:t>. Acesso em: 1 jun. 2025.</w:t>
      </w:r>
    </w:p>
    <w:p w14:paraId="08A28A27"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ANTRA (Associação Nacional de Travestis e Transexuais).</w:t>
      </w:r>
      <w:r w:rsidRPr="0078038A">
        <w:rPr>
          <w:rFonts w:cs="Times New Roman"/>
          <w:szCs w:val="24"/>
          <w:lang w:val="pt-BR"/>
        </w:rPr>
        <w:t xml:space="preserve"> Diagnóstico sobre o acesso à retificação de nome e gênero de travestis e demais pessoas trans no Brasil. Brasília, DF: Distrito Drag, 2022. 99 f.</w:t>
      </w:r>
    </w:p>
    <w:p w14:paraId="5E9AA4F3"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ANTRA (Associação Nacional de Travestis e Transexuais).</w:t>
      </w:r>
      <w:r w:rsidRPr="0078038A">
        <w:rPr>
          <w:rFonts w:cs="Times New Roman"/>
          <w:szCs w:val="24"/>
          <w:lang w:val="pt-BR"/>
        </w:rPr>
        <w:t xml:space="preserve"> Dossiê: assassinatos e violências contra travestis e transexuais brasileiras em 2024. Brasília, DF: Distrito Drag, 2025.</w:t>
      </w:r>
    </w:p>
    <w:p w14:paraId="6DB6F39D"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ANTRA (Associação Nacional de Travestis e Transexuais).</w:t>
      </w:r>
      <w:r w:rsidRPr="0078038A">
        <w:rPr>
          <w:rFonts w:cs="Times New Roman"/>
          <w:szCs w:val="24"/>
          <w:lang w:val="pt-BR"/>
        </w:rPr>
        <w:t xml:space="preserve"> Nota técnica sobre ações afirmativas para pessoas trans e travestis e o enfrentamento da transfobia no contexto da educação superior. Brasília, DF: ANTRA, 2024.</w:t>
      </w:r>
    </w:p>
    <w:p w14:paraId="1EACB91C"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ANTRA (Associação Nacional de Travestis e Transexuais).</w:t>
      </w:r>
      <w:r w:rsidRPr="0078038A">
        <w:rPr>
          <w:rFonts w:cs="Times New Roman"/>
          <w:szCs w:val="24"/>
          <w:lang w:val="pt-BR"/>
        </w:rPr>
        <w:t xml:space="preserve"> Nota Técnica sobre Acesso à Saúde de Crianças Trans: do modelo </w:t>
      </w:r>
      <w:proofErr w:type="spellStart"/>
      <w:r w:rsidRPr="0078038A">
        <w:rPr>
          <w:rFonts w:cs="Times New Roman"/>
          <w:szCs w:val="24"/>
          <w:lang w:val="pt-BR"/>
        </w:rPr>
        <w:t>transpatologizante</w:t>
      </w:r>
      <w:proofErr w:type="spellEnd"/>
      <w:r w:rsidRPr="0078038A">
        <w:rPr>
          <w:rFonts w:cs="Times New Roman"/>
          <w:szCs w:val="24"/>
          <w:lang w:val="pt-BR"/>
        </w:rPr>
        <w:t xml:space="preserve"> ao cuidado </w:t>
      </w:r>
      <w:proofErr w:type="spellStart"/>
      <w:r w:rsidRPr="0078038A">
        <w:rPr>
          <w:rFonts w:cs="Times New Roman"/>
          <w:szCs w:val="24"/>
          <w:lang w:val="pt-BR"/>
        </w:rPr>
        <w:t>transespecífico</w:t>
      </w:r>
      <w:proofErr w:type="spellEnd"/>
      <w:r w:rsidRPr="0078038A">
        <w:rPr>
          <w:rFonts w:cs="Times New Roman"/>
          <w:szCs w:val="24"/>
          <w:lang w:val="pt-BR"/>
        </w:rPr>
        <w:t>. Brasília, DF: ANTRA, 2021.</w:t>
      </w:r>
    </w:p>
    <w:p w14:paraId="63463060"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ANTRA (Associação Nacional de Travestis e Transexuais).</w:t>
      </w:r>
      <w:r w:rsidRPr="0078038A">
        <w:rPr>
          <w:rFonts w:cs="Times New Roman"/>
          <w:szCs w:val="24"/>
          <w:lang w:val="pt-BR"/>
        </w:rPr>
        <w:t xml:space="preserve"> Nota técnica sobre direitos humanos e o direito dos banheiros: vencendo a narrativa do apartheid de gênero que impede as pessoas transgêneras do acesso à cidadania no uso dos banheiros e demais espaços segregados por gênero. Brasília, DF: ANTRA, 2023.</w:t>
      </w:r>
    </w:p>
    <w:p w14:paraId="16BABE7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BAPTISTA, J. T.; CASTRO, T.; BOITA, T. W.; BRAGA, J. L.; VARGAS ESCOBAR, G.; TEDESCO, C.; … FARIA, K. Y. S. de.</w:t>
      </w:r>
      <w:r w:rsidRPr="0078038A">
        <w:rPr>
          <w:rFonts w:cs="Times New Roman"/>
          <w:szCs w:val="24"/>
          <w:lang w:val="pt-BR"/>
        </w:rPr>
        <w:t xml:space="preserve"> Ensino, pesquisa e extensão em museus e museologia LGBT+: recomendações queer à formação museológica. </w:t>
      </w:r>
      <w:r w:rsidRPr="0078038A">
        <w:rPr>
          <w:rFonts w:cs="Times New Roman"/>
          <w:i/>
          <w:iCs/>
          <w:szCs w:val="24"/>
          <w:lang w:val="pt-BR"/>
        </w:rPr>
        <w:t>Museologia &amp; Interdisciplinaridade</w:t>
      </w:r>
      <w:r w:rsidRPr="0078038A">
        <w:rPr>
          <w:rFonts w:cs="Times New Roman"/>
          <w:szCs w:val="24"/>
          <w:lang w:val="pt-BR"/>
        </w:rPr>
        <w:t>, v. 11, n. 21, p. 29–52, 2022.</w:t>
      </w:r>
    </w:p>
    <w:p w14:paraId="1529FB81"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BRASIL. Ministério da Justiça e Segurança Pública.</w:t>
      </w:r>
      <w:r w:rsidRPr="0078038A">
        <w:rPr>
          <w:rFonts w:cs="Times New Roman"/>
          <w:szCs w:val="24"/>
          <w:lang w:val="pt-BR"/>
        </w:rPr>
        <w:t xml:space="preserve"> Plano Nacional Pena Justa. Brasília: MJSP, 2025.</w:t>
      </w:r>
    </w:p>
    <w:p w14:paraId="06A24BA6"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BRASIL. Ministério da Mulher, da Família e dos Direitos Humanos.</w:t>
      </w:r>
      <w:r w:rsidRPr="0078038A">
        <w:rPr>
          <w:rFonts w:cs="Times New Roman"/>
          <w:szCs w:val="24"/>
          <w:lang w:val="pt-BR"/>
        </w:rPr>
        <w:t xml:space="preserve"> </w:t>
      </w:r>
      <w:r w:rsidRPr="0078038A">
        <w:rPr>
          <w:rFonts w:cs="Times New Roman"/>
          <w:i/>
          <w:iCs/>
          <w:szCs w:val="24"/>
          <w:lang w:val="pt-BR"/>
        </w:rPr>
        <w:t>LGBT nas prisões do Brasil: diagnóstico dos procedimentos institucionais e experiências de encarceramento</w:t>
      </w:r>
      <w:r w:rsidRPr="0078038A">
        <w:rPr>
          <w:rFonts w:cs="Times New Roman"/>
          <w:szCs w:val="24"/>
          <w:lang w:val="pt-BR"/>
        </w:rPr>
        <w:t xml:space="preserve"> [relatório técnico]. Brasília, DF: MMDH, fev. 2020.</w:t>
      </w:r>
    </w:p>
    <w:p w14:paraId="1B3CD33C"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BRASIL. Ministério da Saúde. Secretaria de Vigilância em Saúde e Ambiente. Departamento de HIV, Aids, Tuberculose, Hepatites Virais e Infecções Sexualmente Transmissíveis (DATHI).</w:t>
      </w:r>
      <w:r w:rsidRPr="0078038A">
        <w:rPr>
          <w:rFonts w:cs="Times New Roman"/>
          <w:szCs w:val="24"/>
          <w:lang w:val="pt-BR"/>
        </w:rPr>
        <w:t xml:space="preserve"> Resumo das ações e prioridades do DATHI. Brasília, DF: Ministério da Saúde, 2025. Disponível em:</w:t>
      </w:r>
      <w:hyperlink r:id="rId23" w:history="1">
        <w:r w:rsidRPr="0078038A">
          <w:rPr>
            <w:rStyle w:val="Hyperlink"/>
            <w:rFonts w:cs="Times New Roman"/>
            <w:szCs w:val="24"/>
            <w:lang w:val="pt-BR"/>
          </w:rPr>
          <w:t xml:space="preserve"> https://www.gov.br/aids/pt-br/central-de-conteudo/publicacoes/2025/resumo-das-acoes-e-prioridades-do-dathi.pdf</w:t>
        </w:r>
      </w:hyperlink>
      <w:r w:rsidRPr="0078038A">
        <w:rPr>
          <w:rFonts w:cs="Times New Roman"/>
          <w:szCs w:val="24"/>
          <w:lang w:val="pt-BR"/>
        </w:rPr>
        <w:t>.</w:t>
      </w:r>
    </w:p>
    <w:p w14:paraId="0780538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BRASIL. Presidência da República. Secretaria de Direitos Humanos.</w:t>
      </w:r>
      <w:r w:rsidRPr="0078038A">
        <w:rPr>
          <w:rFonts w:cs="Times New Roman"/>
          <w:szCs w:val="24"/>
          <w:lang w:val="pt-BR"/>
        </w:rPr>
        <w:t xml:space="preserve"> </w:t>
      </w:r>
      <w:r w:rsidRPr="0078038A">
        <w:rPr>
          <w:rFonts w:cs="Times New Roman"/>
          <w:i/>
          <w:iCs/>
          <w:szCs w:val="24"/>
          <w:lang w:val="pt-BR"/>
        </w:rPr>
        <w:t>Anais da II Conferência Nacional de Políticas Públicas e Direitos Humanos de LGBT.</w:t>
      </w:r>
      <w:r w:rsidRPr="0078038A">
        <w:rPr>
          <w:rFonts w:cs="Times New Roman"/>
          <w:szCs w:val="24"/>
          <w:lang w:val="pt-BR"/>
        </w:rPr>
        <w:t xml:space="preserve"> Brasília, DF: SDH, 2011.</w:t>
      </w:r>
    </w:p>
    <w:p w14:paraId="61122F3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BRASIL. Presidência da República. Secretaria Especial dos Direitos Humanos.</w:t>
      </w:r>
      <w:r w:rsidRPr="0078038A">
        <w:rPr>
          <w:rFonts w:cs="Times New Roman"/>
          <w:szCs w:val="24"/>
          <w:lang w:val="pt-BR"/>
        </w:rPr>
        <w:t xml:space="preserve"> </w:t>
      </w:r>
      <w:r w:rsidRPr="0078038A">
        <w:rPr>
          <w:rFonts w:cs="Times New Roman"/>
          <w:i/>
          <w:iCs/>
          <w:szCs w:val="24"/>
          <w:lang w:val="pt-BR"/>
        </w:rPr>
        <w:t>Anais da Conferência Nacional de Gays, Lésbicas, Bissexuais, Travestis e Transexuais – GLBT.</w:t>
      </w:r>
      <w:r w:rsidRPr="0078038A">
        <w:rPr>
          <w:rFonts w:cs="Times New Roman"/>
          <w:szCs w:val="24"/>
          <w:lang w:val="pt-BR"/>
        </w:rPr>
        <w:t xml:space="preserve"> Brasília, DF: SEDH, 2008.</w:t>
      </w:r>
    </w:p>
    <w:p w14:paraId="11AB7AB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 xml:space="preserve">CDC (Centers for </w:t>
      </w:r>
      <w:proofErr w:type="spellStart"/>
      <w:r w:rsidRPr="0078038A">
        <w:rPr>
          <w:rFonts w:cs="Times New Roman"/>
          <w:b/>
          <w:bCs/>
          <w:szCs w:val="24"/>
          <w:lang w:val="pt-BR"/>
        </w:rPr>
        <w:t>Disease</w:t>
      </w:r>
      <w:proofErr w:type="spellEnd"/>
      <w:r w:rsidRPr="0078038A">
        <w:rPr>
          <w:rFonts w:cs="Times New Roman"/>
          <w:b/>
          <w:bCs/>
          <w:szCs w:val="24"/>
          <w:lang w:val="pt-BR"/>
        </w:rPr>
        <w:t xml:space="preserve"> </w:t>
      </w:r>
      <w:proofErr w:type="spellStart"/>
      <w:r w:rsidRPr="0078038A">
        <w:rPr>
          <w:rFonts w:cs="Times New Roman"/>
          <w:b/>
          <w:bCs/>
          <w:szCs w:val="24"/>
          <w:lang w:val="pt-BR"/>
        </w:rPr>
        <w:t>Control</w:t>
      </w:r>
      <w:proofErr w:type="spellEnd"/>
      <w:r w:rsidRPr="0078038A">
        <w:rPr>
          <w:rFonts w:cs="Times New Roman"/>
          <w:b/>
          <w:bCs/>
          <w:szCs w:val="24"/>
          <w:lang w:val="pt-BR"/>
        </w:rPr>
        <w:t xml:space="preserve"> </w:t>
      </w:r>
      <w:proofErr w:type="spellStart"/>
      <w:r w:rsidRPr="0078038A">
        <w:rPr>
          <w:rFonts w:cs="Times New Roman"/>
          <w:b/>
          <w:bCs/>
          <w:szCs w:val="24"/>
          <w:lang w:val="pt-BR"/>
        </w:rPr>
        <w:t>and</w:t>
      </w:r>
      <w:proofErr w:type="spellEnd"/>
      <w:r w:rsidRPr="0078038A">
        <w:rPr>
          <w:rFonts w:cs="Times New Roman"/>
          <w:b/>
          <w:bCs/>
          <w:szCs w:val="24"/>
          <w:lang w:val="pt-BR"/>
        </w:rPr>
        <w:t xml:space="preserve"> </w:t>
      </w:r>
      <w:proofErr w:type="spellStart"/>
      <w:r w:rsidRPr="0078038A">
        <w:rPr>
          <w:rFonts w:cs="Times New Roman"/>
          <w:b/>
          <w:bCs/>
          <w:szCs w:val="24"/>
          <w:lang w:val="pt-BR"/>
        </w:rPr>
        <w:t>Prevention</w:t>
      </w:r>
      <w:proofErr w:type="spellEnd"/>
      <w:r w:rsidRPr="0078038A">
        <w:rPr>
          <w:rFonts w:cs="Times New Roman"/>
          <w:b/>
          <w:bCs/>
          <w:szCs w:val="24"/>
          <w:lang w:val="pt-BR"/>
        </w:rPr>
        <w:t>).</w:t>
      </w:r>
      <w:r w:rsidRPr="0078038A">
        <w:rPr>
          <w:rFonts w:cs="Times New Roman"/>
          <w:szCs w:val="24"/>
          <w:lang w:val="pt-BR"/>
        </w:rPr>
        <w:t xml:space="preserve"> </w:t>
      </w:r>
      <w:r w:rsidRPr="0078038A">
        <w:rPr>
          <w:rFonts w:cs="Times New Roman"/>
          <w:i/>
          <w:iCs/>
          <w:szCs w:val="24"/>
          <w:lang w:val="pt-BR"/>
        </w:rPr>
        <w:t xml:space="preserve">The </w:t>
      </w:r>
      <w:proofErr w:type="spellStart"/>
      <w:r w:rsidRPr="0078038A">
        <w:rPr>
          <w:rFonts w:cs="Times New Roman"/>
          <w:i/>
          <w:iCs/>
          <w:szCs w:val="24"/>
          <w:lang w:val="pt-BR"/>
        </w:rPr>
        <w:t>National</w:t>
      </w:r>
      <w:proofErr w:type="spellEnd"/>
      <w:r w:rsidRPr="0078038A">
        <w:rPr>
          <w:rFonts w:cs="Times New Roman"/>
          <w:i/>
          <w:iCs/>
          <w:szCs w:val="24"/>
          <w:lang w:val="pt-BR"/>
        </w:rPr>
        <w:t xml:space="preserve"> </w:t>
      </w:r>
      <w:proofErr w:type="spellStart"/>
      <w:r w:rsidRPr="0078038A">
        <w:rPr>
          <w:rFonts w:cs="Times New Roman"/>
          <w:i/>
          <w:iCs/>
          <w:szCs w:val="24"/>
          <w:lang w:val="pt-BR"/>
        </w:rPr>
        <w:t>Intimate</w:t>
      </w:r>
      <w:proofErr w:type="spellEnd"/>
      <w:r w:rsidRPr="0078038A">
        <w:rPr>
          <w:rFonts w:cs="Times New Roman"/>
          <w:i/>
          <w:iCs/>
          <w:szCs w:val="24"/>
          <w:lang w:val="pt-BR"/>
        </w:rPr>
        <w:t xml:space="preserve"> </w:t>
      </w:r>
      <w:proofErr w:type="spellStart"/>
      <w:r w:rsidRPr="0078038A">
        <w:rPr>
          <w:rFonts w:cs="Times New Roman"/>
          <w:i/>
          <w:iCs/>
          <w:szCs w:val="24"/>
          <w:lang w:val="pt-BR"/>
        </w:rPr>
        <w:t>Partner</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Sexual </w:t>
      </w:r>
      <w:proofErr w:type="spellStart"/>
      <w:r w:rsidRPr="0078038A">
        <w:rPr>
          <w:rFonts w:cs="Times New Roman"/>
          <w:i/>
          <w:iCs/>
          <w:szCs w:val="24"/>
          <w:lang w:val="pt-BR"/>
        </w:rPr>
        <w:t>Violence</w:t>
      </w:r>
      <w:proofErr w:type="spellEnd"/>
      <w:r w:rsidRPr="0078038A">
        <w:rPr>
          <w:rFonts w:cs="Times New Roman"/>
          <w:i/>
          <w:iCs/>
          <w:szCs w:val="24"/>
          <w:lang w:val="pt-BR"/>
        </w:rPr>
        <w:t xml:space="preserve"> </w:t>
      </w:r>
      <w:proofErr w:type="spellStart"/>
      <w:r w:rsidRPr="0078038A">
        <w:rPr>
          <w:rFonts w:cs="Times New Roman"/>
          <w:i/>
          <w:iCs/>
          <w:szCs w:val="24"/>
          <w:lang w:val="pt-BR"/>
        </w:rPr>
        <w:t>Survey</w:t>
      </w:r>
      <w:proofErr w:type="spellEnd"/>
      <w:r w:rsidRPr="0078038A">
        <w:rPr>
          <w:rFonts w:cs="Times New Roman"/>
          <w:i/>
          <w:iCs/>
          <w:szCs w:val="24"/>
          <w:lang w:val="pt-BR"/>
        </w:rPr>
        <w:t xml:space="preserve"> (NISVS): 2010 </w:t>
      </w:r>
      <w:proofErr w:type="spellStart"/>
      <w:r w:rsidRPr="0078038A">
        <w:rPr>
          <w:rFonts w:cs="Times New Roman"/>
          <w:i/>
          <w:iCs/>
          <w:szCs w:val="24"/>
          <w:lang w:val="pt-BR"/>
        </w:rPr>
        <w:t>Findings</w:t>
      </w:r>
      <w:proofErr w:type="spellEnd"/>
      <w:r w:rsidRPr="0078038A">
        <w:rPr>
          <w:rFonts w:cs="Times New Roman"/>
          <w:i/>
          <w:iCs/>
          <w:szCs w:val="24"/>
          <w:lang w:val="pt-BR"/>
        </w:rPr>
        <w:t xml:space="preserve"> </w:t>
      </w:r>
      <w:proofErr w:type="spellStart"/>
      <w:r w:rsidRPr="0078038A">
        <w:rPr>
          <w:rFonts w:cs="Times New Roman"/>
          <w:i/>
          <w:iCs/>
          <w:szCs w:val="24"/>
          <w:lang w:val="pt-BR"/>
        </w:rPr>
        <w:t>on</w:t>
      </w:r>
      <w:proofErr w:type="spellEnd"/>
      <w:r w:rsidRPr="0078038A">
        <w:rPr>
          <w:rFonts w:cs="Times New Roman"/>
          <w:i/>
          <w:iCs/>
          <w:szCs w:val="24"/>
          <w:lang w:val="pt-BR"/>
        </w:rPr>
        <w:t xml:space="preserve"> </w:t>
      </w:r>
      <w:proofErr w:type="spellStart"/>
      <w:r w:rsidRPr="0078038A">
        <w:rPr>
          <w:rFonts w:cs="Times New Roman"/>
          <w:i/>
          <w:iCs/>
          <w:szCs w:val="24"/>
          <w:lang w:val="pt-BR"/>
        </w:rPr>
        <w:t>Victimization</w:t>
      </w:r>
      <w:proofErr w:type="spellEnd"/>
      <w:r w:rsidRPr="0078038A">
        <w:rPr>
          <w:rFonts w:cs="Times New Roman"/>
          <w:i/>
          <w:iCs/>
          <w:szCs w:val="24"/>
          <w:lang w:val="pt-BR"/>
        </w:rPr>
        <w:t xml:space="preserve"> </w:t>
      </w:r>
      <w:proofErr w:type="spellStart"/>
      <w:r w:rsidRPr="0078038A">
        <w:rPr>
          <w:rFonts w:cs="Times New Roman"/>
          <w:i/>
          <w:iCs/>
          <w:szCs w:val="24"/>
          <w:lang w:val="pt-BR"/>
        </w:rPr>
        <w:t>by</w:t>
      </w:r>
      <w:proofErr w:type="spellEnd"/>
      <w:r w:rsidRPr="0078038A">
        <w:rPr>
          <w:rFonts w:cs="Times New Roman"/>
          <w:i/>
          <w:iCs/>
          <w:szCs w:val="24"/>
          <w:lang w:val="pt-BR"/>
        </w:rPr>
        <w:t xml:space="preserve"> Sexual </w:t>
      </w:r>
      <w:proofErr w:type="spellStart"/>
      <w:r w:rsidRPr="0078038A">
        <w:rPr>
          <w:rFonts w:cs="Times New Roman"/>
          <w:i/>
          <w:iCs/>
          <w:szCs w:val="24"/>
          <w:lang w:val="pt-BR"/>
        </w:rPr>
        <w:t>Orientation</w:t>
      </w:r>
      <w:proofErr w:type="spellEnd"/>
      <w:r w:rsidRPr="0078038A">
        <w:rPr>
          <w:rFonts w:cs="Times New Roman"/>
          <w:i/>
          <w:iCs/>
          <w:szCs w:val="24"/>
          <w:lang w:val="pt-BR"/>
        </w:rPr>
        <w:t>.</w:t>
      </w:r>
      <w:r w:rsidRPr="0078038A">
        <w:rPr>
          <w:rFonts w:cs="Times New Roman"/>
          <w:szCs w:val="24"/>
          <w:lang w:val="pt-BR"/>
        </w:rPr>
        <w:t xml:space="preserve"> Atlanta: </w:t>
      </w:r>
      <w:proofErr w:type="spellStart"/>
      <w:r w:rsidRPr="0078038A">
        <w:rPr>
          <w:rFonts w:cs="Times New Roman"/>
          <w:szCs w:val="24"/>
          <w:lang w:val="pt-BR"/>
        </w:rPr>
        <w:t>National</w:t>
      </w:r>
      <w:proofErr w:type="spellEnd"/>
      <w:r w:rsidRPr="0078038A">
        <w:rPr>
          <w:rFonts w:cs="Times New Roman"/>
          <w:szCs w:val="24"/>
          <w:lang w:val="pt-BR"/>
        </w:rPr>
        <w:t xml:space="preserve"> Center for </w:t>
      </w:r>
      <w:proofErr w:type="spellStart"/>
      <w:r w:rsidRPr="0078038A">
        <w:rPr>
          <w:rFonts w:cs="Times New Roman"/>
          <w:szCs w:val="24"/>
          <w:lang w:val="pt-BR"/>
        </w:rPr>
        <w:t>Injury</w:t>
      </w:r>
      <w:proofErr w:type="spellEnd"/>
      <w:r w:rsidRPr="0078038A">
        <w:rPr>
          <w:rFonts w:cs="Times New Roman"/>
          <w:szCs w:val="24"/>
          <w:lang w:val="pt-BR"/>
        </w:rPr>
        <w:t xml:space="preserve"> </w:t>
      </w:r>
      <w:proofErr w:type="spellStart"/>
      <w:r w:rsidRPr="0078038A">
        <w:rPr>
          <w:rFonts w:cs="Times New Roman"/>
          <w:szCs w:val="24"/>
          <w:lang w:val="pt-BR"/>
        </w:rPr>
        <w:t>Prevention</w:t>
      </w:r>
      <w:proofErr w:type="spellEnd"/>
      <w:r w:rsidRPr="0078038A">
        <w:rPr>
          <w:rFonts w:cs="Times New Roman"/>
          <w:szCs w:val="24"/>
          <w:lang w:val="pt-BR"/>
        </w:rPr>
        <w:t xml:space="preserve"> </w:t>
      </w:r>
      <w:proofErr w:type="spellStart"/>
      <w:r w:rsidRPr="0078038A">
        <w:rPr>
          <w:rFonts w:cs="Times New Roman"/>
          <w:szCs w:val="24"/>
          <w:lang w:val="pt-BR"/>
        </w:rPr>
        <w:t>and</w:t>
      </w:r>
      <w:proofErr w:type="spellEnd"/>
      <w:r w:rsidRPr="0078038A">
        <w:rPr>
          <w:rFonts w:cs="Times New Roman"/>
          <w:szCs w:val="24"/>
          <w:lang w:val="pt-BR"/>
        </w:rPr>
        <w:t xml:space="preserve"> </w:t>
      </w:r>
      <w:proofErr w:type="spellStart"/>
      <w:r w:rsidRPr="0078038A">
        <w:rPr>
          <w:rFonts w:cs="Times New Roman"/>
          <w:szCs w:val="24"/>
          <w:lang w:val="pt-BR"/>
        </w:rPr>
        <w:t>Control</w:t>
      </w:r>
      <w:proofErr w:type="spellEnd"/>
      <w:r w:rsidRPr="0078038A">
        <w:rPr>
          <w:rFonts w:cs="Times New Roman"/>
          <w:szCs w:val="24"/>
          <w:lang w:val="pt-BR"/>
        </w:rPr>
        <w:t>, 2013.</w:t>
      </w:r>
    </w:p>
    <w:p w14:paraId="7A8FE831"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CIDH (Comissão Interamericana de Direitos Humanos).</w:t>
      </w:r>
      <w:r w:rsidRPr="0078038A">
        <w:rPr>
          <w:rFonts w:cs="Times New Roman"/>
          <w:szCs w:val="24"/>
          <w:lang w:val="pt-BR"/>
        </w:rPr>
        <w:t xml:space="preserve"> Avances y </w:t>
      </w:r>
      <w:proofErr w:type="spellStart"/>
      <w:r w:rsidRPr="0078038A">
        <w:rPr>
          <w:rFonts w:cs="Times New Roman"/>
          <w:szCs w:val="24"/>
          <w:lang w:val="pt-BR"/>
        </w:rPr>
        <w:t>desafíos</w:t>
      </w:r>
      <w:proofErr w:type="spellEnd"/>
      <w:r w:rsidRPr="0078038A">
        <w:rPr>
          <w:rFonts w:cs="Times New Roman"/>
          <w:szCs w:val="24"/>
          <w:lang w:val="pt-BR"/>
        </w:rPr>
        <w:t xml:space="preserve"> </w:t>
      </w:r>
      <w:proofErr w:type="spellStart"/>
      <w:r w:rsidRPr="0078038A">
        <w:rPr>
          <w:rFonts w:cs="Times New Roman"/>
          <w:szCs w:val="24"/>
          <w:lang w:val="pt-BR"/>
        </w:rPr>
        <w:t>hacia</w:t>
      </w:r>
      <w:proofErr w:type="spellEnd"/>
      <w:r w:rsidRPr="0078038A">
        <w:rPr>
          <w:rFonts w:cs="Times New Roman"/>
          <w:szCs w:val="24"/>
          <w:lang w:val="pt-BR"/>
        </w:rPr>
        <w:t xml:space="preserve"> </w:t>
      </w:r>
      <w:proofErr w:type="spellStart"/>
      <w:r w:rsidRPr="0078038A">
        <w:rPr>
          <w:rFonts w:cs="Times New Roman"/>
          <w:szCs w:val="24"/>
          <w:lang w:val="pt-BR"/>
        </w:rPr>
        <w:t>el</w:t>
      </w:r>
      <w:proofErr w:type="spellEnd"/>
      <w:r w:rsidRPr="0078038A">
        <w:rPr>
          <w:rFonts w:cs="Times New Roman"/>
          <w:szCs w:val="24"/>
          <w:lang w:val="pt-BR"/>
        </w:rPr>
        <w:t xml:space="preserve"> </w:t>
      </w:r>
      <w:proofErr w:type="spellStart"/>
      <w:r w:rsidRPr="0078038A">
        <w:rPr>
          <w:rFonts w:cs="Times New Roman"/>
          <w:szCs w:val="24"/>
          <w:lang w:val="pt-BR"/>
        </w:rPr>
        <w:t>reconocimiento</w:t>
      </w:r>
      <w:proofErr w:type="spellEnd"/>
      <w:r w:rsidRPr="0078038A">
        <w:rPr>
          <w:rFonts w:cs="Times New Roman"/>
          <w:szCs w:val="24"/>
          <w:lang w:val="pt-BR"/>
        </w:rPr>
        <w:t xml:space="preserve"> de </w:t>
      </w:r>
      <w:proofErr w:type="spellStart"/>
      <w:r w:rsidRPr="0078038A">
        <w:rPr>
          <w:rFonts w:cs="Times New Roman"/>
          <w:szCs w:val="24"/>
          <w:lang w:val="pt-BR"/>
        </w:rPr>
        <w:t>los</w:t>
      </w:r>
      <w:proofErr w:type="spellEnd"/>
      <w:r w:rsidRPr="0078038A">
        <w:rPr>
          <w:rFonts w:cs="Times New Roman"/>
          <w:szCs w:val="24"/>
          <w:lang w:val="pt-BR"/>
        </w:rPr>
        <w:t xml:space="preserve"> </w:t>
      </w:r>
      <w:proofErr w:type="spellStart"/>
      <w:r w:rsidRPr="0078038A">
        <w:rPr>
          <w:rFonts w:cs="Times New Roman"/>
          <w:szCs w:val="24"/>
          <w:lang w:val="pt-BR"/>
        </w:rPr>
        <w:t>derechos</w:t>
      </w:r>
      <w:proofErr w:type="spellEnd"/>
      <w:r w:rsidRPr="0078038A">
        <w:rPr>
          <w:rFonts w:cs="Times New Roman"/>
          <w:szCs w:val="24"/>
          <w:lang w:val="pt-BR"/>
        </w:rPr>
        <w:t xml:space="preserve"> de </w:t>
      </w:r>
      <w:proofErr w:type="spellStart"/>
      <w:r w:rsidRPr="0078038A">
        <w:rPr>
          <w:rFonts w:cs="Times New Roman"/>
          <w:szCs w:val="24"/>
          <w:lang w:val="pt-BR"/>
        </w:rPr>
        <w:t>las</w:t>
      </w:r>
      <w:proofErr w:type="spellEnd"/>
      <w:r w:rsidRPr="0078038A">
        <w:rPr>
          <w:rFonts w:cs="Times New Roman"/>
          <w:szCs w:val="24"/>
          <w:lang w:val="pt-BR"/>
        </w:rPr>
        <w:t xml:space="preserve"> personas LGBTI </w:t>
      </w:r>
      <w:proofErr w:type="spellStart"/>
      <w:r w:rsidRPr="0078038A">
        <w:rPr>
          <w:rFonts w:cs="Times New Roman"/>
          <w:szCs w:val="24"/>
          <w:lang w:val="pt-BR"/>
        </w:rPr>
        <w:t>en</w:t>
      </w:r>
      <w:proofErr w:type="spellEnd"/>
      <w:r w:rsidRPr="0078038A">
        <w:rPr>
          <w:rFonts w:cs="Times New Roman"/>
          <w:szCs w:val="24"/>
          <w:lang w:val="pt-BR"/>
        </w:rPr>
        <w:t xml:space="preserve"> </w:t>
      </w:r>
      <w:proofErr w:type="spellStart"/>
      <w:r w:rsidRPr="0078038A">
        <w:rPr>
          <w:rFonts w:cs="Times New Roman"/>
          <w:szCs w:val="24"/>
          <w:lang w:val="pt-BR"/>
        </w:rPr>
        <w:t>las</w:t>
      </w:r>
      <w:proofErr w:type="spellEnd"/>
      <w:r w:rsidRPr="0078038A">
        <w:rPr>
          <w:rFonts w:cs="Times New Roman"/>
          <w:szCs w:val="24"/>
          <w:lang w:val="pt-BR"/>
        </w:rPr>
        <w:t xml:space="preserve"> Américas. Washington, DC: OAS, 2018.</w:t>
      </w:r>
    </w:p>
    <w:p w14:paraId="7DCB8999"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COLETIVO RPU BRASIL.</w:t>
      </w:r>
      <w:r w:rsidRPr="0078038A">
        <w:rPr>
          <w:rFonts w:cs="Times New Roman"/>
          <w:szCs w:val="24"/>
          <w:lang w:val="pt-BR"/>
        </w:rPr>
        <w:t xml:space="preserve"> 4º Ciclo da RPU: Relatório de Meio Período. [</w:t>
      </w:r>
      <w:proofErr w:type="spellStart"/>
      <w:r w:rsidRPr="0078038A">
        <w:rPr>
          <w:rFonts w:cs="Times New Roman"/>
          <w:szCs w:val="24"/>
          <w:lang w:val="pt-BR"/>
        </w:rPr>
        <w:t>S.l</w:t>
      </w:r>
      <w:proofErr w:type="spellEnd"/>
      <w:r w:rsidRPr="0078038A">
        <w:rPr>
          <w:rFonts w:cs="Times New Roman"/>
          <w:szCs w:val="24"/>
          <w:lang w:val="pt-BR"/>
        </w:rPr>
        <w:t>.]: Coletivo RPU Brasil, 2025. Disponível em:</w:t>
      </w:r>
      <w:hyperlink r:id="rId24" w:history="1">
        <w:r w:rsidRPr="0078038A">
          <w:rPr>
            <w:rStyle w:val="Hyperlink"/>
            <w:rFonts w:cs="Times New Roman"/>
            <w:szCs w:val="24"/>
            <w:lang w:val="pt-BR"/>
          </w:rPr>
          <w:t xml:space="preserve"> https://plataformarpu.org.br/storage/publications_documents/Dupa18p20S3FPfeg4dXedBdcuiWgKtqbaRjphu0m.pdf</w:t>
        </w:r>
      </w:hyperlink>
      <w:r w:rsidRPr="0078038A">
        <w:rPr>
          <w:rFonts w:cs="Times New Roman"/>
          <w:szCs w:val="24"/>
          <w:lang w:val="pt-BR"/>
        </w:rPr>
        <w:t>. Acesso em: 30 set. 2025.</w:t>
      </w:r>
    </w:p>
    <w:p w14:paraId="046A9EB5"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COMITÊ OLÍMPICO DO BRASIL (COB).</w:t>
      </w:r>
      <w:r w:rsidRPr="0078038A">
        <w:rPr>
          <w:rFonts w:cs="Times New Roman"/>
          <w:szCs w:val="24"/>
          <w:lang w:val="pt-BR"/>
        </w:rPr>
        <w:t xml:space="preserve"> Orientações a respeito da participação de atletas transgêneros nos Jogos da Juventude 2022. [</w:t>
      </w:r>
      <w:proofErr w:type="spellStart"/>
      <w:r w:rsidRPr="0078038A">
        <w:rPr>
          <w:rFonts w:cs="Times New Roman"/>
          <w:szCs w:val="24"/>
          <w:lang w:val="pt-BR"/>
        </w:rPr>
        <w:t>S.l</w:t>
      </w:r>
      <w:proofErr w:type="spellEnd"/>
      <w:r w:rsidRPr="0078038A">
        <w:rPr>
          <w:rFonts w:cs="Times New Roman"/>
          <w:szCs w:val="24"/>
          <w:lang w:val="pt-BR"/>
        </w:rPr>
        <w:t>.]: COB, 2022. Disponível em:</w:t>
      </w:r>
      <w:hyperlink r:id="rId25" w:history="1">
        <w:r w:rsidRPr="0078038A">
          <w:rPr>
            <w:rStyle w:val="Hyperlink"/>
            <w:rFonts w:cs="Times New Roman"/>
            <w:szCs w:val="24"/>
            <w:lang w:val="pt-BR"/>
          </w:rPr>
          <w:t xml:space="preserve"> https://admin.cob.org.br/uploads/1692_b65f9a809b_0d35636dd8.pdf</w:t>
        </w:r>
      </w:hyperlink>
      <w:r w:rsidRPr="0078038A">
        <w:rPr>
          <w:rFonts w:cs="Times New Roman"/>
          <w:szCs w:val="24"/>
          <w:lang w:val="pt-BR"/>
        </w:rPr>
        <w:t>. Acesso em: 11 jul. 2025.</w:t>
      </w:r>
    </w:p>
    <w:p w14:paraId="09573D6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COMITÊ OLÍMPICO INTERNACIONAL (COI).</w:t>
      </w:r>
      <w:r w:rsidRPr="0078038A">
        <w:rPr>
          <w:rFonts w:cs="Times New Roman"/>
          <w:szCs w:val="24"/>
          <w:lang w:val="pt-BR"/>
        </w:rPr>
        <w:t xml:space="preserve"> Quadro do COI sobre justiça, inclusão e não discriminação com base na identidade de gênero e variações de sexo. Lausanne: COI, 2021. Disponível em:</w:t>
      </w:r>
      <w:hyperlink r:id="rId26" w:history="1">
        <w:r w:rsidRPr="0078038A">
          <w:rPr>
            <w:rStyle w:val="Hyperlink"/>
            <w:rFonts w:cs="Times New Roman"/>
            <w:szCs w:val="24"/>
            <w:lang w:val="pt-BR"/>
          </w:rPr>
          <w:t xml:space="preserve"> https://stillmed.olympics.com/media/Documents/Beyond-the-Games/Human-Rights/IOC-Framework-Fairness-Inclusion-Non-discrimination-2021.pdf</w:t>
        </w:r>
      </w:hyperlink>
      <w:r w:rsidRPr="0078038A">
        <w:rPr>
          <w:rFonts w:cs="Times New Roman"/>
          <w:szCs w:val="24"/>
          <w:lang w:val="pt-BR"/>
        </w:rPr>
        <w:t>. Acesso em: 11 jul. 2025.</w:t>
      </w:r>
    </w:p>
    <w:p w14:paraId="72DC56DC"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CONARE (Comitê Nacional para os Refugiados).</w:t>
      </w:r>
      <w:r w:rsidRPr="0078038A">
        <w:rPr>
          <w:rFonts w:cs="Times New Roman"/>
          <w:szCs w:val="24"/>
          <w:lang w:val="pt-BR"/>
        </w:rPr>
        <w:t xml:space="preserve"> Interpretação estabelecida na 170ª Reunião Ordinária do Comitê Nacional para os Refugiados (CONARE). [</w:t>
      </w:r>
      <w:proofErr w:type="spellStart"/>
      <w:r w:rsidRPr="0078038A">
        <w:rPr>
          <w:rFonts w:cs="Times New Roman"/>
          <w:szCs w:val="24"/>
          <w:lang w:val="pt-BR"/>
        </w:rPr>
        <w:t>S.l</w:t>
      </w:r>
      <w:proofErr w:type="spellEnd"/>
      <w:r w:rsidRPr="0078038A">
        <w:rPr>
          <w:rFonts w:cs="Times New Roman"/>
          <w:szCs w:val="24"/>
          <w:lang w:val="pt-BR"/>
        </w:rPr>
        <w:t>.]: CONARE, [s.d.].</w:t>
      </w:r>
    </w:p>
    <w:p w14:paraId="09FD3514"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CONSELHO DE DIREITOS HUMANOS DAS NAÇÕES UNIDAS (ONU).</w:t>
      </w:r>
      <w:r w:rsidRPr="0078038A">
        <w:rPr>
          <w:rFonts w:cs="Times New Roman"/>
          <w:szCs w:val="24"/>
          <w:lang w:val="pt-BR"/>
        </w:rPr>
        <w:t xml:space="preserve"> </w:t>
      </w:r>
      <w:proofErr w:type="spellStart"/>
      <w:r w:rsidRPr="0078038A">
        <w:rPr>
          <w:rFonts w:cs="Times New Roman"/>
          <w:i/>
          <w:iCs/>
          <w:szCs w:val="24"/>
          <w:lang w:val="pt-BR"/>
        </w:rPr>
        <w:t>Freedom</w:t>
      </w:r>
      <w:proofErr w:type="spellEnd"/>
      <w:r w:rsidRPr="0078038A">
        <w:rPr>
          <w:rFonts w:cs="Times New Roman"/>
          <w:i/>
          <w:iCs/>
          <w:szCs w:val="24"/>
          <w:lang w:val="pt-BR"/>
        </w:rPr>
        <w:t xml:space="preserve"> </w:t>
      </w:r>
      <w:proofErr w:type="spellStart"/>
      <w:r w:rsidRPr="0078038A">
        <w:rPr>
          <w:rFonts w:cs="Times New Roman"/>
          <w:i/>
          <w:iCs/>
          <w:szCs w:val="24"/>
          <w:lang w:val="pt-BR"/>
        </w:rPr>
        <w:t>of</w:t>
      </w:r>
      <w:proofErr w:type="spellEnd"/>
      <w:r w:rsidRPr="0078038A">
        <w:rPr>
          <w:rFonts w:cs="Times New Roman"/>
          <w:i/>
          <w:iCs/>
          <w:szCs w:val="24"/>
          <w:lang w:val="pt-BR"/>
        </w:rPr>
        <w:t xml:space="preserve"> </w:t>
      </w:r>
      <w:proofErr w:type="spellStart"/>
      <w:r w:rsidRPr="0078038A">
        <w:rPr>
          <w:rFonts w:cs="Times New Roman"/>
          <w:i/>
          <w:iCs/>
          <w:szCs w:val="24"/>
          <w:lang w:val="pt-BR"/>
        </w:rPr>
        <w:t>religion</w:t>
      </w:r>
      <w:proofErr w:type="spellEnd"/>
      <w:r w:rsidRPr="0078038A">
        <w:rPr>
          <w:rFonts w:cs="Times New Roman"/>
          <w:i/>
          <w:iCs/>
          <w:szCs w:val="24"/>
          <w:lang w:val="pt-BR"/>
        </w:rPr>
        <w:t xml:space="preserve"> </w:t>
      </w:r>
      <w:proofErr w:type="spellStart"/>
      <w:r w:rsidRPr="0078038A">
        <w:rPr>
          <w:rFonts w:cs="Times New Roman"/>
          <w:i/>
          <w:iCs/>
          <w:szCs w:val="24"/>
          <w:lang w:val="pt-BR"/>
        </w:rPr>
        <w:t>or</w:t>
      </w:r>
      <w:proofErr w:type="spellEnd"/>
      <w:r w:rsidRPr="0078038A">
        <w:rPr>
          <w:rFonts w:cs="Times New Roman"/>
          <w:i/>
          <w:iCs/>
          <w:szCs w:val="24"/>
          <w:lang w:val="pt-BR"/>
        </w:rPr>
        <w:t xml:space="preserve"> </w:t>
      </w:r>
      <w:proofErr w:type="spellStart"/>
      <w:r w:rsidRPr="0078038A">
        <w:rPr>
          <w:rFonts w:cs="Times New Roman"/>
          <w:i/>
          <w:iCs/>
          <w:szCs w:val="24"/>
          <w:lang w:val="pt-BR"/>
        </w:rPr>
        <w:t>belief</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freedom</w:t>
      </w:r>
      <w:proofErr w:type="spellEnd"/>
      <w:r w:rsidRPr="0078038A">
        <w:rPr>
          <w:rFonts w:cs="Times New Roman"/>
          <w:i/>
          <w:iCs/>
          <w:szCs w:val="24"/>
          <w:lang w:val="pt-BR"/>
        </w:rPr>
        <w:t xml:space="preserve"> </w:t>
      </w:r>
      <w:proofErr w:type="spellStart"/>
      <w:r w:rsidRPr="0078038A">
        <w:rPr>
          <w:rFonts w:cs="Times New Roman"/>
          <w:i/>
          <w:iCs/>
          <w:szCs w:val="24"/>
          <w:lang w:val="pt-BR"/>
        </w:rPr>
        <w:t>from</w:t>
      </w:r>
      <w:proofErr w:type="spellEnd"/>
      <w:r w:rsidRPr="0078038A">
        <w:rPr>
          <w:rFonts w:cs="Times New Roman"/>
          <w:i/>
          <w:iCs/>
          <w:szCs w:val="24"/>
          <w:lang w:val="pt-BR"/>
        </w:rPr>
        <w:t xml:space="preserve"> </w:t>
      </w:r>
      <w:proofErr w:type="spellStart"/>
      <w:r w:rsidRPr="0078038A">
        <w:rPr>
          <w:rFonts w:cs="Times New Roman"/>
          <w:i/>
          <w:iCs/>
          <w:szCs w:val="24"/>
          <w:lang w:val="pt-BR"/>
        </w:rPr>
        <w:t>violence</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discrimination</w:t>
      </w:r>
      <w:proofErr w:type="spellEnd"/>
      <w:r w:rsidRPr="0078038A">
        <w:rPr>
          <w:rFonts w:cs="Times New Roman"/>
          <w:i/>
          <w:iCs/>
          <w:szCs w:val="24"/>
          <w:lang w:val="pt-BR"/>
        </w:rPr>
        <w:t xml:space="preserve"> </w:t>
      </w:r>
      <w:proofErr w:type="spellStart"/>
      <w:r w:rsidRPr="0078038A">
        <w:rPr>
          <w:rFonts w:cs="Times New Roman"/>
          <w:i/>
          <w:iCs/>
          <w:szCs w:val="24"/>
          <w:lang w:val="pt-BR"/>
        </w:rPr>
        <w:t>based</w:t>
      </w:r>
      <w:proofErr w:type="spellEnd"/>
      <w:r w:rsidRPr="0078038A">
        <w:rPr>
          <w:rFonts w:cs="Times New Roman"/>
          <w:i/>
          <w:iCs/>
          <w:szCs w:val="24"/>
          <w:lang w:val="pt-BR"/>
        </w:rPr>
        <w:t xml:space="preserve"> </w:t>
      </w:r>
      <w:proofErr w:type="spellStart"/>
      <w:r w:rsidRPr="0078038A">
        <w:rPr>
          <w:rFonts w:cs="Times New Roman"/>
          <w:i/>
          <w:iCs/>
          <w:szCs w:val="24"/>
          <w:lang w:val="pt-BR"/>
        </w:rPr>
        <w:t>on</w:t>
      </w:r>
      <w:proofErr w:type="spellEnd"/>
      <w:r w:rsidRPr="0078038A">
        <w:rPr>
          <w:rFonts w:cs="Times New Roman"/>
          <w:i/>
          <w:iCs/>
          <w:szCs w:val="24"/>
          <w:lang w:val="pt-BR"/>
        </w:rPr>
        <w:t xml:space="preserve"> sexual </w:t>
      </w:r>
      <w:proofErr w:type="spellStart"/>
      <w:r w:rsidRPr="0078038A">
        <w:rPr>
          <w:rFonts w:cs="Times New Roman"/>
          <w:i/>
          <w:iCs/>
          <w:szCs w:val="24"/>
          <w:lang w:val="pt-BR"/>
        </w:rPr>
        <w:t>orientation</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gender</w:t>
      </w:r>
      <w:proofErr w:type="spellEnd"/>
      <w:r w:rsidRPr="0078038A">
        <w:rPr>
          <w:rFonts w:cs="Times New Roman"/>
          <w:i/>
          <w:iCs/>
          <w:szCs w:val="24"/>
          <w:lang w:val="pt-BR"/>
        </w:rPr>
        <w:t xml:space="preserve"> </w:t>
      </w:r>
      <w:proofErr w:type="spellStart"/>
      <w:r w:rsidRPr="0078038A">
        <w:rPr>
          <w:rFonts w:cs="Times New Roman"/>
          <w:i/>
          <w:iCs/>
          <w:szCs w:val="24"/>
          <w:lang w:val="pt-BR"/>
        </w:rPr>
        <w:t>identity</w:t>
      </w:r>
      <w:proofErr w:type="spellEnd"/>
      <w:r w:rsidRPr="0078038A">
        <w:rPr>
          <w:rFonts w:cs="Times New Roman"/>
          <w:i/>
          <w:iCs/>
          <w:szCs w:val="24"/>
          <w:lang w:val="pt-BR"/>
        </w:rPr>
        <w:t xml:space="preserve">: </w:t>
      </w:r>
      <w:proofErr w:type="spellStart"/>
      <w:r w:rsidRPr="0078038A">
        <w:rPr>
          <w:rFonts w:cs="Times New Roman"/>
          <w:i/>
          <w:iCs/>
          <w:szCs w:val="24"/>
          <w:lang w:val="pt-BR"/>
        </w:rPr>
        <w:t>report</w:t>
      </w:r>
      <w:proofErr w:type="spellEnd"/>
      <w:r w:rsidRPr="0078038A">
        <w:rPr>
          <w:rFonts w:cs="Times New Roman"/>
          <w:i/>
          <w:iCs/>
          <w:szCs w:val="24"/>
          <w:lang w:val="pt-BR"/>
        </w:rPr>
        <w:t xml:space="preserve"> </w:t>
      </w:r>
      <w:proofErr w:type="spellStart"/>
      <w:r w:rsidRPr="0078038A">
        <w:rPr>
          <w:rFonts w:cs="Times New Roman"/>
          <w:i/>
          <w:iCs/>
          <w:szCs w:val="24"/>
          <w:lang w:val="pt-BR"/>
        </w:rPr>
        <w:t>of</w:t>
      </w:r>
      <w:proofErr w:type="spellEnd"/>
      <w:r w:rsidRPr="0078038A">
        <w:rPr>
          <w:rFonts w:cs="Times New Roman"/>
          <w:i/>
          <w:iCs/>
          <w:szCs w:val="24"/>
          <w:lang w:val="pt-BR"/>
        </w:rPr>
        <w:t xml:space="preserve"> </w:t>
      </w:r>
      <w:proofErr w:type="spellStart"/>
      <w:r w:rsidRPr="0078038A">
        <w:rPr>
          <w:rFonts w:cs="Times New Roman"/>
          <w:i/>
          <w:iCs/>
          <w:szCs w:val="24"/>
          <w:lang w:val="pt-BR"/>
        </w:rPr>
        <w:t>the</w:t>
      </w:r>
      <w:proofErr w:type="spellEnd"/>
      <w:r w:rsidRPr="0078038A">
        <w:rPr>
          <w:rFonts w:cs="Times New Roman"/>
          <w:i/>
          <w:iCs/>
          <w:szCs w:val="24"/>
          <w:lang w:val="pt-BR"/>
        </w:rPr>
        <w:t xml:space="preserve"> Independent Expert </w:t>
      </w:r>
      <w:proofErr w:type="spellStart"/>
      <w:r w:rsidRPr="0078038A">
        <w:rPr>
          <w:rFonts w:cs="Times New Roman"/>
          <w:i/>
          <w:iCs/>
          <w:szCs w:val="24"/>
          <w:lang w:val="pt-BR"/>
        </w:rPr>
        <w:t>on</w:t>
      </w:r>
      <w:proofErr w:type="spellEnd"/>
      <w:r w:rsidRPr="0078038A">
        <w:rPr>
          <w:rFonts w:cs="Times New Roman"/>
          <w:i/>
          <w:iCs/>
          <w:szCs w:val="24"/>
          <w:lang w:val="pt-BR"/>
        </w:rPr>
        <w:t xml:space="preserve"> </w:t>
      </w:r>
      <w:proofErr w:type="spellStart"/>
      <w:r w:rsidRPr="0078038A">
        <w:rPr>
          <w:rFonts w:cs="Times New Roman"/>
          <w:i/>
          <w:iCs/>
          <w:szCs w:val="24"/>
          <w:lang w:val="pt-BR"/>
        </w:rPr>
        <w:t>protection</w:t>
      </w:r>
      <w:proofErr w:type="spellEnd"/>
      <w:r w:rsidRPr="0078038A">
        <w:rPr>
          <w:rFonts w:cs="Times New Roman"/>
          <w:i/>
          <w:iCs/>
          <w:szCs w:val="24"/>
          <w:lang w:val="pt-BR"/>
        </w:rPr>
        <w:t xml:space="preserve"> </w:t>
      </w:r>
      <w:proofErr w:type="spellStart"/>
      <w:r w:rsidRPr="0078038A">
        <w:rPr>
          <w:rFonts w:cs="Times New Roman"/>
          <w:i/>
          <w:iCs/>
          <w:szCs w:val="24"/>
          <w:lang w:val="pt-BR"/>
        </w:rPr>
        <w:t>against</w:t>
      </w:r>
      <w:proofErr w:type="spellEnd"/>
      <w:r w:rsidRPr="0078038A">
        <w:rPr>
          <w:rFonts w:cs="Times New Roman"/>
          <w:i/>
          <w:iCs/>
          <w:szCs w:val="24"/>
          <w:lang w:val="pt-BR"/>
        </w:rPr>
        <w:t xml:space="preserve"> </w:t>
      </w:r>
      <w:proofErr w:type="spellStart"/>
      <w:r w:rsidRPr="0078038A">
        <w:rPr>
          <w:rFonts w:cs="Times New Roman"/>
          <w:i/>
          <w:iCs/>
          <w:szCs w:val="24"/>
          <w:lang w:val="pt-BR"/>
        </w:rPr>
        <w:t>violence</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discrimination</w:t>
      </w:r>
      <w:proofErr w:type="spellEnd"/>
      <w:r w:rsidRPr="0078038A">
        <w:rPr>
          <w:rFonts w:cs="Times New Roman"/>
          <w:i/>
          <w:iCs/>
          <w:szCs w:val="24"/>
          <w:lang w:val="pt-BR"/>
        </w:rPr>
        <w:t xml:space="preserve"> </w:t>
      </w:r>
      <w:proofErr w:type="spellStart"/>
      <w:r w:rsidRPr="0078038A">
        <w:rPr>
          <w:rFonts w:cs="Times New Roman"/>
          <w:i/>
          <w:iCs/>
          <w:szCs w:val="24"/>
          <w:lang w:val="pt-BR"/>
        </w:rPr>
        <w:t>based</w:t>
      </w:r>
      <w:proofErr w:type="spellEnd"/>
      <w:r w:rsidRPr="0078038A">
        <w:rPr>
          <w:rFonts w:cs="Times New Roman"/>
          <w:i/>
          <w:iCs/>
          <w:szCs w:val="24"/>
          <w:lang w:val="pt-BR"/>
        </w:rPr>
        <w:t xml:space="preserve"> </w:t>
      </w:r>
      <w:proofErr w:type="spellStart"/>
      <w:r w:rsidRPr="0078038A">
        <w:rPr>
          <w:rFonts w:cs="Times New Roman"/>
          <w:i/>
          <w:iCs/>
          <w:szCs w:val="24"/>
          <w:lang w:val="pt-BR"/>
        </w:rPr>
        <w:t>on</w:t>
      </w:r>
      <w:proofErr w:type="spellEnd"/>
      <w:r w:rsidRPr="0078038A">
        <w:rPr>
          <w:rFonts w:cs="Times New Roman"/>
          <w:i/>
          <w:iCs/>
          <w:szCs w:val="24"/>
          <w:lang w:val="pt-BR"/>
        </w:rPr>
        <w:t xml:space="preserve"> sexual </w:t>
      </w:r>
      <w:proofErr w:type="spellStart"/>
      <w:r w:rsidRPr="0078038A">
        <w:rPr>
          <w:rFonts w:cs="Times New Roman"/>
          <w:i/>
          <w:iCs/>
          <w:szCs w:val="24"/>
          <w:lang w:val="pt-BR"/>
        </w:rPr>
        <w:t>orientation</w:t>
      </w:r>
      <w:proofErr w:type="spellEnd"/>
      <w:r w:rsidRPr="0078038A">
        <w:rPr>
          <w:rFonts w:cs="Times New Roman"/>
          <w:i/>
          <w:iCs/>
          <w:szCs w:val="24"/>
          <w:lang w:val="pt-BR"/>
        </w:rPr>
        <w:t xml:space="preserv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gender</w:t>
      </w:r>
      <w:proofErr w:type="spellEnd"/>
      <w:r w:rsidRPr="0078038A">
        <w:rPr>
          <w:rFonts w:cs="Times New Roman"/>
          <w:i/>
          <w:iCs/>
          <w:szCs w:val="24"/>
          <w:lang w:val="pt-BR"/>
        </w:rPr>
        <w:t xml:space="preserve"> </w:t>
      </w:r>
      <w:proofErr w:type="spellStart"/>
      <w:r w:rsidRPr="0078038A">
        <w:rPr>
          <w:rFonts w:cs="Times New Roman"/>
          <w:i/>
          <w:iCs/>
          <w:szCs w:val="24"/>
          <w:lang w:val="pt-BR"/>
        </w:rPr>
        <w:t>identity</w:t>
      </w:r>
      <w:proofErr w:type="spellEnd"/>
      <w:r w:rsidRPr="0078038A">
        <w:rPr>
          <w:rFonts w:cs="Times New Roman"/>
          <w:i/>
          <w:iCs/>
          <w:szCs w:val="24"/>
          <w:lang w:val="pt-BR"/>
        </w:rPr>
        <w:t>;</w:t>
      </w:r>
      <w:r w:rsidRPr="0078038A">
        <w:rPr>
          <w:rFonts w:cs="Times New Roman"/>
          <w:szCs w:val="24"/>
          <w:lang w:val="pt-BR"/>
        </w:rPr>
        <w:t xml:space="preserve"> 53rd </w:t>
      </w:r>
      <w:proofErr w:type="spellStart"/>
      <w:r w:rsidRPr="0078038A">
        <w:rPr>
          <w:rFonts w:cs="Times New Roman"/>
          <w:szCs w:val="24"/>
          <w:lang w:val="pt-BR"/>
        </w:rPr>
        <w:t>session</w:t>
      </w:r>
      <w:proofErr w:type="spellEnd"/>
      <w:r w:rsidRPr="0078038A">
        <w:rPr>
          <w:rFonts w:cs="Times New Roman"/>
          <w:szCs w:val="24"/>
          <w:lang w:val="pt-BR"/>
        </w:rPr>
        <w:t xml:space="preserve">, 19 </w:t>
      </w:r>
      <w:proofErr w:type="gramStart"/>
      <w:r w:rsidRPr="0078038A">
        <w:rPr>
          <w:rFonts w:cs="Times New Roman"/>
          <w:szCs w:val="24"/>
          <w:lang w:val="pt-BR"/>
        </w:rPr>
        <w:t>Jun.</w:t>
      </w:r>
      <w:proofErr w:type="gramEnd"/>
      <w:r w:rsidRPr="0078038A">
        <w:rPr>
          <w:rFonts w:cs="Times New Roman"/>
          <w:szCs w:val="24"/>
          <w:lang w:val="pt-BR"/>
        </w:rPr>
        <w:t xml:space="preserve">–14 </w:t>
      </w:r>
      <w:proofErr w:type="gramStart"/>
      <w:r w:rsidRPr="0078038A">
        <w:rPr>
          <w:rFonts w:cs="Times New Roman"/>
          <w:szCs w:val="24"/>
          <w:lang w:val="pt-BR"/>
        </w:rPr>
        <w:t>Jul.</w:t>
      </w:r>
      <w:proofErr w:type="gramEnd"/>
      <w:r w:rsidRPr="0078038A">
        <w:rPr>
          <w:rFonts w:cs="Times New Roman"/>
          <w:szCs w:val="24"/>
          <w:lang w:val="pt-BR"/>
        </w:rPr>
        <w:t xml:space="preserve"> 2023. Geneva: UN, 2023.</w:t>
      </w:r>
    </w:p>
    <w:p w14:paraId="51E9FD2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CONSELHO DE DIREITOS HUMANOS DAS NAÇÕES UNIDAS (ONU).</w:t>
      </w:r>
      <w:r w:rsidRPr="0078038A">
        <w:rPr>
          <w:rFonts w:cs="Times New Roman"/>
          <w:szCs w:val="24"/>
          <w:lang w:val="pt-BR"/>
        </w:rPr>
        <w:t xml:space="preserve"> Práticas das chamadas “terapias de conversão”: informe do Especialista Independente sobre a Proteção contra a Violência e a Discriminação por Motivos de Orientação Sexual e Identidade de Gênero. Genebra: ONU, 2020.</w:t>
      </w:r>
    </w:p>
    <w:p w14:paraId="18A2C167"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CORTE INTERAMERICANA DE DIREITOS HUMANOS (Corte IDH).</w:t>
      </w:r>
      <w:r w:rsidRPr="0078038A">
        <w:rPr>
          <w:rFonts w:cs="Times New Roman"/>
          <w:szCs w:val="24"/>
          <w:lang w:val="pt-BR"/>
        </w:rPr>
        <w:t xml:space="preserve"> Caso 13.021: Luiza Melinho vs. Brasil. Em trâmite. Disponível em:</w:t>
      </w:r>
      <w:hyperlink r:id="rId27" w:history="1">
        <w:r w:rsidRPr="0078038A">
          <w:rPr>
            <w:rStyle w:val="Hyperlink"/>
            <w:rFonts w:cs="Times New Roman"/>
            <w:szCs w:val="24"/>
            <w:lang w:val="pt-BR"/>
          </w:rPr>
          <w:t xml:space="preserve"> https://www.oas.org/pt/cidh/jsForm/?File=/pt/cidh/prensa/notas/2023/190.asp</w:t>
        </w:r>
      </w:hyperlink>
      <w:r w:rsidRPr="0078038A">
        <w:rPr>
          <w:rFonts w:cs="Times New Roman"/>
          <w:szCs w:val="24"/>
          <w:lang w:val="pt-BR"/>
        </w:rPr>
        <w:t>.</w:t>
      </w:r>
    </w:p>
    <w:p w14:paraId="36E25147"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CORTE INTERAMERICANA DE DIREITOS HUMANOS (CIDH).</w:t>
      </w:r>
      <w:r w:rsidRPr="0078038A">
        <w:rPr>
          <w:rFonts w:cs="Times New Roman"/>
          <w:szCs w:val="24"/>
          <w:lang w:val="pt-BR"/>
        </w:rPr>
        <w:t xml:space="preserve"> Opinião Consultiva OC-24/17, de 24 de novembro de 2017: identidade de gênero, igualdade e não discriminação a casais do mesmo sexo. San José: CIDH, 2017. Disponível em:</w:t>
      </w:r>
      <w:hyperlink r:id="rId28" w:history="1">
        <w:r w:rsidRPr="0078038A">
          <w:rPr>
            <w:rStyle w:val="Hyperlink"/>
            <w:rFonts w:cs="Times New Roman"/>
            <w:szCs w:val="24"/>
            <w:lang w:val="pt-BR"/>
          </w:rPr>
          <w:t xml:space="preserve"> https://www.corteidh.or.cr/docs/opiniones/seriea_24_esp.pdf</w:t>
        </w:r>
      </w:hyperlink>
      <w:r w:rsidRPr="0078038A">
        <w:rPr>
          <w:rFonts w:cs="Times New Roman"/>
          <w:szCs w:val="24"/>
          <w:lang w:val="pt-BR"/>
        </w:rPr>
        <w:t>. Acesso em: 1 jun. 2025.</w:t>
      </w:r>
    </w:p>
    <w:p w14:paraId="2354E7DD"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DIRETRIZ DA ONU SOBRE PROTEÇÃO INTERNACIONAL n. 09.</w:t>
      </w:r>
      <w:r w:rsidRPr="0078038A">
        <w:rPr>
          <w:rFonts w:cs="Times New Roman"/>
          <w:szCs w:val="24"/>
          <w:lang w:val="pt-BR"/>
        </w:rPr>
        <w:t xml:space="preserve"> Solicitações de refúgio baseadas na orientação sexual e/ou identidade de gênero no contexto do Art. 1</w:t>
      </w:r>
      <w:proofErr w:type="gramStart"/>
      <w:r w:rsidRPr="0078038A">
        <w:rPr>
          <w:rFonts w:cs="Times New Roman"/>
          <w:szCs w:val="24"/>
          <w:lang w:val="pt-BR"/>
        </w:rPr>
        <w:t>A(</w:t>
      </w:r>
      <w:proofErr w:type="gramEnd"/>
      <w:r w:rsidRPr="0078038A">
        <w:rPr>
          <w:rFonts w:cs="Times New Roman"/>
          <w:szCs w:val="24"/>
          <w:lang w:val="pt-BR"/>
        </w:rPr>
        <w:t>2) da Convenção de 1951 e/ou Protocolo de 1967 relativo ao Estatuto dos Refugiados. [</w:t>
      </w:r>
      <w:proofErr w:type="spellStart"/>
      <w:r w:rsidRPr="0078038A">
        <w:rPr>
          <w:rFonts w:cs="Times New Roman"/>
          <w:szCs w:val="24"/>
          <w:lang w:val="pt-BR"/>
        </w:rPr>
        <w:t>S.l</w:t>
      </w:r>
      <w:proofErr w:type="spellEnd"/>
      <w:r w:rsidRPr="0078038A">
        <w:rPr>
          <w:rFonts w:cs="Times New Roman"/>
          <w:szCs w:val="24"/>
          <w:lang w:val="pt-BR"/>
        </w:rPr>
        <w:t>.]: ACNUR/ONU, [s.d.].</w:t>
      </w:r>
    </w:p>
    <w:p w14:paraId="0B4FBF50"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FERREIRA, Ewerton da Silva; et al.</w:t>
      </w:r>
      <w:r w:rsidRPr="0078038A">
        <w:rPr>
          <w:rFonts w:cs="Times New Roman"/>
          <w:szCs w:val="24"/>
          <w:lang w:val="pt-BR"/>
        </w:rPr>
        <w:t xml:space="preserve"> Políticas públicas e a democratização do acesso e permanência de alunos/as LGBTTIQ+. </w:t>
      </w:r>
      <w:proofErr w:type="spellStart"/>
      <w:r w:rsidRPr="0078038A">
        <w:rPr>
          <w:rFonts w:cs="Times New Roman"/>
          <w:i/>
          <w:iCs/>
          <w:szCs w:val="24"/>
          <w:lang w:val="pt-BR"/>
        </w:rPr>
        <w:t>RELACult</w:t>
      </w:r>
      <w:proofErr w:type="spellEnd"/>
      <w:r w:rsidRPr="0078038A">
        <w:rPr>
          <w:rFonts w:cs="Times New Roman"/>
          <w:i/>
          <w:iCs/>
          <w:szCs w:val="24"/>
          <w:lang w:val="pt-BR"/>
        </w:rPr>
        <w:t xml:space="preserve"> – Revista Latino-Americana de Estudos em Cultura e Sociedade</w:t>
      </w:r>
      <w:r w:rsidRPr="0078038A">
        <w:rPr>
          <w:rFonts w:cs="Times New Roman"/>
          <w:szCs w:val="24"/>
          <w:lang w:val="pt-BR"/>
        </w:rPr>
        <w:t>, v. 6, n. 4, p. 1-16, 2020.</w:t>
      </w:r>
    </w:p>
    <w:p w14:paraId="0D6B121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FONATRANS (Fórum Nacional de Travestis e Transexuais Negras e Negros).</w:t>
      </w:r>
      <w:r w:rsidRPr="0078038A">
        <w:rPr>
          <w:rFonts w:cs="Times New Roman"/>
          <w:szCs w:val="24"/>
          <w:lang w:val="pt-BR"/>
        </w:rPr>
        <w:t xml:space="preserve"> Travestilidades negras: movimento social, ativismo e políticas públicas. Coord.: </w:t>
      </w:r>
      <w:proofErr w:type="spellStart"/>
      <w:r w:rsidRPr="0078038A">
        <w:rPr>
          <w:rFonts w:cs="Times New Roman"/>
          <w:szCs w:val="24"/>
          <w:lang w:val="pt-BR"/>
        </w:rPr>
        <w:t>Jovanna</w:t>
      </w:r>
      <w:proofErr w:type="spellEnd"/>
      <w:r w:rsidRPr="0078038A">
        <w:rPr>
          <w:rFonts w:cs="Times New Roman"/>
          <w:szCs w:val="24"/>
          <w:lang w:val="pt-BR"/>
        </w:rPr>
        <w:t xml:space="preserve"> Baby; </w:t>
      </w:r>
      <w:proofErr w:type="spellStart"/>
      <w:r w:rsidRPr="0078038A">
        <w:rPr>
          <w:rFonts w:cs="Times New Roman"/>
          <w:szCs w:val="24"/>
          <w:lang w:val="pt-BR"/>
        </w:rPr>
        <w:t>Jessyka</w:t>
      </w:r>
      <w:proofErr w:type="spellEnd"/>
      <w:r w:rsidRPr="0078038A">
        <w:rPr>
          <w:rFonts w:cs="Times New Roman"/>
          <w:szCs w:val="24"/>
          <w:lang w:val="pt-BR"/>
        </w:rPr>
        <w:t xml:space="preserve"> Rodrigues. Picos, PI: Ed. dos Autores, 2024.</w:t>
      </w:r>
    </w:p>
    <w:p w14:paraId="5FA2C943"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FRÓES, Anelise; BULGARELLI, Lucas; FONTGALAND, Arthur.</w:t>
      </w:r>
      <w:r w:rsidRPr="0078038A">
        <w:rPr>
          <w:rFonts w:cs="Times New Roman"/>
          <w:szCs w:val="24"/>
          <w:lang w:val="pt-BR"/>
        </w:rPr>
        <w:t xml:space="preserve"> Entre curas e terapias: práticas de conversão sexual e de gênero no Brasil. São Paulo: </w:t>
      </w:r>
      <w:proofErr w:type="spellStart"/>
      <w:r w:rsidRPr="0078038A">
        <w:rPr>
          <w:rFonts w:cs="Times New Roman"/>
          <w:szCs w:val="24"/>
          <w:lang w:val="pt-BR"/>
        </w:rPr>
        <w:t>All</w:t>
      </w:r>
      <w:proofErr w:type="spellEnd"/>
      <w:r w:rsidRPr="0078038A">
        <w:rPr>
          <w:rFonts w:cs="Times New Roman"/>
          <w:szCs w:val="24"/>
          <w:lang w:val="pt-BR"/>
        </w:rPr>
        <w:t xml:space="preserve"> Out; Instituto Matizes, 2022.</w:t>
      </w:r>
    </w:p>
    <w:p w14:paraId="030FEA4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FUNDO POSITIVO; INSTITUTO MATIZES.</w:t>
      </w:r>
      <w:r w:rsidRPr="0078038A">
        <w:rPr>
          <w:rFonts w:cs="Times New Roman"/>
          <w:szCs w:val="24"/>
          <w:lang w:val="pt-BR"/>
        </w:rPr>
        <w:t xml:space="preserve"> Inclusão econômica e geração de renda da população LGBTQIA+ no Brasil: desafios, iniciativas e financiamentos. São Paulo: Fundo Positivo; Instituto Matizes, 2024.</w:t>
      </w:r>
    </w:p>
    <w:p w14:paraId="149C7972"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GALOP.</w:t>
      </w:r>
      <w:r w:rsidRPr="0078038A">
        <w:rPr>
          <w:rFonts w:cs="Times New Roman"/>
          <w:szCs w:val="24"/>
          <w:lang w:val="pt-BR"/>
        </w:rPr>
        <w:t xml:space="preserve"> LGBT+ </w:t>
      </w:r>
      <w:proofErr w:type="spellStart"/>
      <w:r w:rsidRPr="0078038A">
        <w:rPr>
          <w:rFonts w:cs="Times New Roman"/>
          <w:szCs w:val="24"/>
          <w:lang w:val="pt-BR"/>
        </w:rPr>
        <w:t>People’s</w:t>
      </w:r>
      <w:proofErr w:type="spellEnd"/>
      <w:r w:rsidRPr="0078038A">
        <w:rPr>
          <w:rFonts w:cs="Times New Roman"/>
          <w:szCs w:val="24"/>
          <w:lang w:val="pt-BR"/>
        </w:rPr>
        <w:t xml:space="preserve"> </w:t>
      </w:r>
      <w:proofErr w:type="spellStart"/>
      <w:r w:rsidRPr="0078038A">
        <w:rPr>
          <w:rFonts w:cs="Times New Roman"/>
          <w:szCs w:val="24"/>
          <w:lang w:val="pt-BR"/>
        </w:rPr>
        <w:t>Experiences</w:t>
      </w:r>
      <w:proofErr w:type="spellEnd"/>
      <w:r w:rsidRPr="0078038A">
        <w:rPr>
          <w:rFonts w:cs="Times New Roman"/>
          <w:szCs w:val="24"/>
          <w:lang w:val="pt-BR"/>
        </w:rPr>
        <w:t xml:space="preserve"> </w:t>
      </w:r>
      <w:proofErr w:type="spellStart"/>
      <w:r w:rsidRPr="0078038A">
        <w:rPr>
          <w:rFonts w:cs="Times New Roman"/>
          <w:szCs w:val="24"/>
          <w:lang w:val="pt-BR"/>
        </w:rPr>
        <w:t>of</w:t>
      </w:r>
      <w:proofErr w:type="spellEnd"/>
      <w:r w:rsidRPr="0078038A">
        <w:rPr>
          <w:rFonts w:cs="Times New Roman"/>
          <w:szCs w:val="24"/>
          <w:lang w:val="pt-BR"/>
        </w:rPr>
        <w:t xml:space="preserve"> </w:t>
      </w:r>
      <w:proofErr w:type="spellStart"/>
      <w:r w:rsidRPr="0078038A">
        <w:rPr>
          <w:rFonts w:cs="Times New Roman"/>
          <w:szCs w:val="24"/>
          <w:lang w:val="pt-BR"/>
        </w:rPr>
        <w:t>Domestic</w:t>
      </w:r>
      <w:proofErr w:type="spellEnd"/>
      <w:r w:rsidRPr="0078038A">
        <w:rPr>
          <w:rFonts w:cs="Times New Roman"/>
          <w:szCs w:val="24"/>
          <w:lang w:val="pt-BR"/>
        </w:rPr>
        <w:t xml:space="preserve"> Abuse: a </w:t>
      </w:r>
      <w:proofErr w:type="spellStart"/>
      <w:r w:rsidRPr="0078038A">
        <w:rPr>
          <w:rFonts w:cs="Times New Roman"/>
          <w:szCs w:val="24"/>
          <w:lang w:val="pt-BR"/>
        </w:rPr>
        <w:t>report</w:t>
      </w:r>
      <w:proofErr w:type="spellEnd"/>
      <w:r w:rsidRPr="0078038A">
        <w:rPr>
          <w:rFonts w:cs="Times New Roman"/>
          <w:szCs w:val="24"/>
          <w:lang w:val="pt-BR"/>
        </w:rPr>
        <w:t xml:space="preserve"> </w:t>
      </w:r>
      <w:proofErr w:type="spellStart"/>
      <w:r w:rsidRPr="0078038A">
        <w:rPr>
          <w:rFonts w:cs="Times New Roman"/>
          <w:szCs w:val="24"/>
          <w:lang w:val="pt-BR"/>
        </w:rPr>
        <w:t>on</w:t>
      </w:r>
      <w:proofErr w:type="spellEnd"/>
      <w:r w:rsidRPr="0078038A">
        <w:rPr>
          <w:rFonts w:cs="Times New Roman"/>
          <w:szCs w:val="24"/>
          <w:lang w:val="pt-BR"/>
        </w:rPr>
        <w:t xml:space="preserve"> </w:t>
      </w:r>
      <w:proofErr w:type="spellStart"/>
      <w:r w:rsidRPr="0078038A">
        <w:rPr>
          <w:rFonts w:cs="Times New Roman"/>
          <w:szCs w:val="24"/>
          <w:lang w:val="pt-BR"/>
        </w:rPr>
        <w:t>Galop’s</w:t>
      </w:r>
      <w:proofErr w:type="spellEnd"/>
      <w:r w:rsidRPr="0078038A">
        <w:rPr>
          <w:rFonts w:cs="Times New Roman"/>
          <w:szCs w:val="24"/>
          <w:lang w:val="pt-BR"/>
        </w:rPr>
        <w:t xml:space="preserve"> </w:t>
      </w:r>
      <w:proofErr w:type="spellStart"/>
      <w:r w:rsidRPr="0078038A">
        <w:rPr>
          <w:rFonts w:cs="Times New Roman"/>
          <w:szCs w:val="24"/>
          <w:lang w:val="pt-BR"/>
        </w:rPr>
        <w:t>Domestic</w:t>
      </w:r>
      <w:proofErr w:type="spellEnd"/>
      <w:r w:rsidRPr="0078038A">
        <w:rPr>
          <w:rFonts w:cs="Times New Roman"/>
          <w:szCs w:val="24"/>
          <w:lang w:val="pt-BR"/>
        </w:rPr>
        <w:t xml:space="preserve"> Abuse Advocacy Service. London: </w:t>
      </w:r>
      <w:proofErr w:type="spellStart"/>
      <w:r w:rsidRPr="0078038A">
        <w:rPr>
          <w:rFonts w:cs="Times New Roman"/>
          <w:szCs w:val="24"/>
          <w:lang w:val="pt-BR"/>
        </w:rPr>
        <w:t>Galop</w:t>
      </w:r>
      <w:proofErr w:type="spellEnd"/>
      <w:r w:rsidRPr="0078038A">
        <w:rPr>
          <w:rFonts w:cs="Times New Roman"/>
          <w:szCs w:val="24"/>
          <w:lang w:val="pt-BR"/>
        </w:rPr>
        <w:t>, 2019.</w:t>
      </w:r>
    </w:p>
    <w:p w14:paraId="51EBCC5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GALOP; DOMESTIC ABUSE COMMISSIONER FOR ENGLAND AND WALES.</w:t>
      </w:r>
      <w:r w:rsidRPr="0078038A">
        <w:rPr>
          <w:rFonts w:cs="Times New Roman"/>
          <w:szCs w:val="24"/>
          <w:lang w:val="pt-BR"/>
        </w:rPr>
        <w:t xml:space="preserve"> LGBT+ </w:t>
      </w:r>
      <w:proofErr w:type="spellStart"/>
      <w:r w:rsidRPr="0078038A">
        <w:rPr>
          <w:rFonts w:cs="Times New Roman"/>
          <w:szCs w:val="24"/>
          <w:lang w:val="pt-BR"/>
        </w:rPr>
        <w:t>Domestic</w:t>
      </w:r>
      <w:proofErr w:type="spellEnd"/>
      <w:r w:rsidRPr="0078038A">
        <w:rPr>
          <w:rFonts w:cs="Times New Roman"/>
          <w:szCs w:val="24"/>
          <w:lang w:val="pt-BR"/>
        </w:rPr>
        <w:t xml:space="preserve"> Abuse Service </w:t>
      </w:r>
      <w:proofErr w:type="spellStart"/>
      <w:r w:rsidRPr="0078038A">
        <w:rPr>
          <w:rFonts w:cs="Times New Roman"/>
          <w:szCs w:val="24"/>
          <w:lang w:val="pt-BR"/>
        </w:rPr>
        <w:t>Provision</w:t>
      </w:r>
      <w:proofErr w:type="spellEnd"/>
      <w:r w:rsidRPr="0078038A">
        <w:rPr>
          <w:rFonts w:cs="Times New Roman"/>
          <w:szCs w:val="24"/>
          <w:lang w:val="pt-BR"/>
        </w:rPr>
        <w:t xml:space="preserve">: Mapping </w:t>
      </w:r>
      <w:proofErr w:type="spellStart"/>
      <w:r w:rsidRPr="0078038A">
        <w:rPr>
          <w:rFonts w:cs="Times New Roman"/>
          <w:szCs w:val="24"/>
          <w:lang w:val="pt-BR"/>
        </w:rPr>
        <w:t>Study</w:t>
      </w:r>
      <w:proofErr w:type="spellEnd"/>
      <w:r w:rsidRPr="0078038A">
        <w:rPr>
          <w:rFonts w:cs="Times New Roman"/>
          <w:szCs w:val="24"/>
          <w:lang w:val="pt-BR"/>
        </w:rPr>
        <w:t>. London, 2021.</w:t>
      </w:r>
    </w:p>
    <w:p w14:paraId="5E0B838B"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GRUPO GAY DA BAHIA (GGB).</w:t>
      </w:r>
      <w:r w:rsidRPr="0078038A">
        <w:rPr>
          <w:rFonts w:cs="Times New Roman"/>
          <w:szCs w:val="24"/>
          <w:lang w:val="pt-BR"/>
        </w:rPr>
        <w:t xml:space="preserve"> Observatório 2024 de Mortes Violentas de LGBT+ no Brasil. Salvador, BA: Grupo Gay da Bahia, 2024.</w:t>
      </w:r>
    </w:p>
    <w:p w14:paraId="7AC24615"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GUILHERME, [s.n.]; FELIPE, [s.n.]; ANA CLAUDIA, [s.n.].</w:t>
      </w:r>
      <w:r w:rsidRPr="0078038A">
        <w:rPr>
          <w:rFonts w:cs="Times New Roman"/>
          <w:szCs w:val="24"/>
          <w:lang w:val="pt-BR"/>
        </w:rPr>
        <w:t xml:space="preserve"> Institucionalização e descentralização do movimento LGBT no Brasil. </w:t>
      </w:r>
      <w:r w:rsidRPr="0078038A">
        <w:rPr>
          <w:rFonts w:cs="Times New Roman"/>
          <w:i/>
          <w:iCs/>
          <w:szCs w:val="24"/>
          <w:lang w:val="pt-BR"/>
        </w:rPr>
        <w:t>Revista Psicologia Política</w:t>
      </w:r>
      <w:r w:rsidRPr="0078038A">
        <w:rPr>
          <w:rFonts w:cs="Times New Roman"/>
          <w:szCs w:val="24"/>
          <w:lang w:val="pt-BR"/>
        </w:rPr>
        <w:t>, São Paulo, v. 15, n. 34, p. 563-585, dez. 2015. Disponível em:</w:t>
      </w:r>
      <w:hyperlink r:id="rId29" w:history="1">
        <w:r w:rsidRPr="0078038A">
          <w:rPr>
            <w:rStyle w:val="Hyperlink"/>
            <w:rFonts w:cs="Times New Roman"/>
            <w:szCs w:val="24"/>
            <w:lang w:val="pt-BR"/>
          </w:rPr>
          <w:t xml:space="preserve"> http://pepsic.bvsalud.org/scielo.php?script=sci_arttext&amp;pid=S1519-549X2015000300008&amp;lng=pt&amp;nrm=iso</w:t>
        </w:r>
      </w:hyperlink>
      <w:r w:rsidRPr="0078038A">
        <w:rPr>
          <w:rFonts w:cs="Times New Roman"/>
          <w:szCs w:val="24"/>
          <w:lang w:val="pt-BR"/>
        </w:rPr>
        <w:t>. Acesso em: 30 set. 2025.</w:t>
      </w:r>
    </w:p>
    <w:p w14:paraId="0A0784A0"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 xml:space="preserve">IBRAT (Instituto Brasileiro de </w:t>
      </w:r>
      <w:proofErr w:type="spellStart"/>
      <w:r w:rsidRPr="0078038A">
        <w:rPr>
          <w:rFonts w:cs="Times New Roman"/>
          <w:b/>
          <w:bCs/>
          <w:szCs w:val="24"/>
          <w:lang w:val="pt-BR"/>
        </w:rPr>
        <w:t>Transmasculinidades</w:t>
      </w:r>
      <w:proofErr w:type="spellEnd"/>
      <w:r w:rsidRPr="0078038A">
        <w:rPr>
          <w:rFonts w:cs="Times New Roman"/>
          <w:b/>
          <w:bCs/>
          <w:szCs w:val="24"/>
          <w:lang w:val="pt-BR"/>
        </w:rPr>
        <w:t>).</w:t>
      </w:r>
      <w:r w:rsidRPr="0078038A">
        <w:rPr>
          <w:rFonts w:cs="Times New Roman"/>
          <w:szCs w:val="24"/>
          <w:lang w:val="pt-BR"/>
        </w:rPr>
        <w:t xml:space="preserve"> Mapeamento de saúde das </w:t>
      </w:r>
      <w:proofErr w:type="spellStart"/>
      <w:r w:rsidRPr="0078038A">
        <w:rPr>
          <w:rFonts w:cs="Times New Roman"/>
          <w:szCs w:val="24"/>
          <w:lang w:val="pt-BR"/>
        </w:rPr>
        <w:t>transmasculinidades</w:t>
      </w:r>
      <w:proofErr w:type="spellEnd"/>
      <w:r w:rsidRPr="0078038A">
        <w:rPr>
          <w:rFonts w:cs="Times New Roman"/>
          <w:szCs w:val="24"/>
          <w:lang w:val="pt-BR"/>
        </w:rPr>
        <w:t xml:space="preserve"> vivendo no Brasil. Curitiba, PR: IBRAT, 2024. (Livro eletrônico).</w:t>
      </w:r>
    </w:p>
    <w:p w14:paraId="5D779E4D"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 xml:space="preserve">IBRAT (Instituto Brasileiro de </w:t>
      </w:r>
      <w:proofErr w:type="spellStart"/>
      <w:r w:rsidRPr="0078038A">
        <w:rPr>
          <w:rFonts w:cs="Times New Roman"/>
          <w:b/>
          <w:bCs/>
          <w:szCs w:val="24"/>
          <w:lang w:val="pt-BR"/>
        </w:rPr>
        <w:t>Transmasculinidade</w:t>
      </w:r>
      <w:proofErr w:type="spellEnd"/>
      <w:r w:rsidRPr="0078038A">
        <w:rPr>
          <w:rFonts w:cs="Times New Roman"/>
          <w:b/>
          <w:bCs/>
          <w:szCs w:val="24"/>
          <w:lang w:val="pt-BR"/>
        </w:rPr>
        <w:t>).</w:t>
      </w:r>
      <w:r w:rsidRPr="0078038A">
        <w:rPr>
          <w:rFonts w:cs="Times New Roman"/>
          <w:szCs w:val="24"/>
          <w:lang w:val="pt-BR"/>
        </w:rPr>
        <w:t xml:space="preserve"> Observatório Anderson </w:t>
      </w:r>
      <w:proofErr w:type="spellStart"/>
      <w:r w:rsidRPr="0078038A">
        <w:rPr>
          <w:rFonts w:cs="Times New Roman"/>
          <w:szCs w:val="24"/>
          <w:lang w:val="pt-BR"/>
        </w:rPr>
        <w:t>Herzer</w:t>
      </w:r>
      <w:proofErr w:type="spellEnd"/>
      <w:r w:rsidRPr="0078038A">
        <w:rPr>
          <w:rFonts w:cs="Times New Roman"/>
          <w:szCs w:val="24"/>
          <w:lang w:val="pt-BR"/>
        </w:rPr>
        <w:t xml:space="preserve"> (OAH): relatório das mortes e violências contra as </w:t>
      </w:r>
      <w:proofErr w:type="spellStart"/>
      <w:r w:rsidRPr="0078038A">
        <w:rPr>
          <w:rFonts w:cs="Times New Roman"/>
          <w:szCs w:val="24"/>
          <w:lang w:val="pt-BR"/>
        </w:rPr>
        <w:t>transmasculinidades</w:t>
      </w:r>
      <w:proofErr w:type="spellEnd"/>
      <w:r w:rsidRPr="0078038A">
        <w:rPr>
          <w:rFonts w:cs="Times New Roman"/>
          <w:szCs w:val="24"/>
          <w:lang w:val="pt-BR"/>
        </w:rPr>
        <w:t xml:space="preserve"> em 2023. Curitiba, PR: IBRAT, 2024. (Livro eletrônico).</w:t>
      </w:r>
    </w:p>
    <w:p w14:paraId="5100E84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IEPS (Instituto de Estudos para Políticas de Saúde).</w:t>
      </w:r>
      <w:r w:rsidRPr="0078038A">
        <w:rPr>
          <w:rFonts w:cs="Times New Roman"/>
          <w:szCs w:val="24"/>
          <w:lang w:val="pt-BR"/>
        </w:rPr>
        <w:t xml:space="preserve"> Saúde da população LGBTQIA+: relatório técnico n.º 3/2023. São Paulo: IEPS, 2023.</w:t>
      </w:r>
    </w:p>
    <w:p w14:paraId="2ADCED9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IEPS; UMANE; INSTITUTO VEREDAS.</w:t>
      </w:r>
      <w:r w:rsidRPr="0078038A">
        <w:rPr>
          <w:rFonts w:cs="Times New Roman"/>
          <w:szCs w:val="24"/>
          <w:lang w:val="pt-BR"/>
        </w:rPr>
        <w:t xml:space="preserve"> Saúde da População LGBTQIA+: relatório técnico n. 3/2023. Rio de Janeiro: IEPS; </w:t>
      </w:r>
      <w:proofErr w:type="spellStart"/>
      <w:r w:rsidRPr="0078038A">
        <w:rPr>
          <w:rFonts w:cs="Times New Roman"/>
          <w:szCs w:val="24"/>
          <w:lang w:val="pt-BR"/>
        </w:rPr>
        <w:t>Umane</w:t>
      </w:r>
      <w:proofErr w:type="spellEnd"/>
      <w:r w:rsidRPr="0078038A">
        <w:rPr>
          <w:rFonts w:cs="Times New Roman"/>
          <w:szCs w:val="24"/>
          <w:lang w:val="pt-BR"/>
        </w:rPr>
        <w:t>; Instituto Veredas, 2023.</w:t>
      </w:r>
    </w:p>
    <w:p w14:paraId="7893EAA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INSTITUTO DE SEGURANÇA PÚBLICA (ISP/RJ).</w:t>
      </w:r>
      <w:r w:rsidRPr="0078038A">
        <w:rPr>
          <w:rFonts w:cs="Times New Roman"/>
          <w:szCs w:val="24"/>
          <w:lang w:val="pt-BR"/>
        </w:rPr>
        <w:t xml:space="preserve"> Dossiê LGBT+ 2018 (ano-base 2017). Rio de Janeiro: </w:t>
      </w:r>
      <w:proofErr w:type="spellStart"/>
      <w:r w:rsidRPr="0078038A">
        <w:rPr>
          <w:rFonts w:cs="Times New Roman"/>
          <w:szCs w:val="24"/>
          <w:lang w:val="pt-BR"/>
        </w:rPr>
        <w:t>RioSegurança</w:t>
      </w:r>
      <w:proofErr w:type="spellEnd"/>
      <w:r w:rsidRPr="0078038A">
        <w:rPr>
          <w:rFonts w:cs="Times New Roman"/>
          <w:szCs w:val="24"/>
          <w:lang w:val="pt-BR"/>
        </w:rPr>
        <w:t>, 2018.</w:t>
      </w:r>
    </w:p>
    <w:p w14:paraId="5D9F2F30"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INSTITUTO INTERNACIONAL SOBRE RAÇA, IGUALDADE E DIREITOS HUMANOS.</w:t>
      </w:r>
      <w:r w:rsidRPr="0078038A">
        <w:rPr>
          <w:rFonts w:cs="Times New Roman"/>
          <w:szCs w:val="24"/>
          <w:lang w:val="pt-BR"/>
        </w:rPr>
        <w:t xml:space="preserve"> Qual é a cor do invisível? A situação de direitos humanos da população LGBTI negra no Brasil. Rio de Janeiro: Instituto Internacional sobre Raça, Igualdade e Direitos Humanos, 2020.</w:t>
      </w:r>
    </w:p>
    <w:p w14:paraId="3EE228C4"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INSTITUTO MATIZES.</w:t>
      </w:r>
      <w:r w:rsidRPr="0078038A">
        <w:rPr>
          <w:rFonts w:cs="Times New Roman"/>
          <w:szCs w:val="24"/>
          <w:lang w:val="pt-BR"/>
        </w:rPr>
        <w:t xml:space="preserve"> Nota Técnica 01/2023: pontos de destaque sobre o desmonte de políticas LGBTI+ para o Relatório do Grupo Técnico de Direitos Humanos do Gabinete de Transição do Novo Governo Federal (2023-2026). 2023.</w:t>
      </w:r>
    </w:p>
    <w:p w14:paraId="0542C95D"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INSTITUTO MATIZES.</w:t>
      </w:r>
      <w:r w:rsidRPr="0078038A">
        <w:rPr>
          <w:rFonts w:cs="Times New Roman"/>
          <w:szCs w:val="24"/>
          <w:lang w:val="pt-BR"/>
        </w:rPr>
        <w:t xml:space="preserve"> Nota Técnica: Retificação de Nome e Gênero de Travestis e Pessoas Trans no Brasil. 2022.</w:t>
      </w:r>
    </w:p>
    <w:p w14:paraId="6E33A64F"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LEI n.º 9.474, de 22 de julho de 1997.</w:t>
      </w:r>
      <w:r w:rsidRPr="0078038A">
        <w:rPr>
          <w:rFonts w:cs="Times New Roman"/>
          <w:szCs w:val="24"/>
          <w:lang w:val="pt-BR"/>
        </w:rPr>
        <w:t xml:space="preserve"> Define mecanismos para a implementação do Estatuto dos Refugiados de 1951 no Brasil e institui o CONARE. Brasília, DF: Presidência da República, 1997.</w:t>
      </w:r>
    </w:p>
    <w:p w14:paraId="4E802760"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 xml:space="preserve">LIGA TRANSMASCULINA JOÃO NERY (Oliveira, Aron Giovanni; Silva, Francisco; Van, </w:t>
      </w:r>
      <w:proofErr w:type="spellStart"/>
      <w:r w:rsidRPr="0078038A">
        <w:rPr>
          <w:rFonts w:cs="Times New Roman"/>
          <w:b/>
          <w:bCs/>
          <w:szCs w:val="24"/>
          <w:lang w:val="pt-BR"/>
        </w:rPr>
        <w:t>Gab</w:t>
      </w:r>
      <w:proofErr w:type="spellEnd"/>
      <w:r w:rsidRPr="0078038A">
        <w:rPr>
          <w:rFonts w:cs="Times New Roman"/>
          <w:b/>
          <w:bCs/>
          <w:szCs w:val="24"/>
          <w:lang w:val="pt-BR"/>
        </w:rPr>
        <w:t>).</w:t>
      </w:r>
      <w:r w:rsidRPr="0078038A">
        <w:rPr>
          <w:rFonts w:cs="Times New Roman"/>
          <w:szCs w:val="24"/>
          <w:lang w:val="pt-BR"/>
        </w:rPr>
        <w:t xml:space="preserve"> </w:t>
      </w:r>
      <w:r w:rsidRPr="0078038A">
        <w:rPr>
          <w:rFonts w:cs="Times New Roman"/>
          <w:i/>
          <w:iCs/>
          <w:szCs w:val="24"/>
          <w:lang w:val="pt-BR"/>
        </w:rPr>
        <w:t>Agenda de políticas públicas para pessoas trans: Rio 2030.</w:t>
      </w:r>
      <w:r w:rsidRPr="0078038A">
        <w:rPr>
          <w:rFonts w:cs="Times New Roman"/>
          <w:szCs w:val="24"/>
          <w:lang w:val="pt-BR"/>
        </w:rPr>
        <w:t xml:space="preserve"> 1. ed. Rio de Janeiro: Ed. dos Autores, 2025.</w:t>
      </w:r>
    </w:p>
    <w:p w14:paraId="25735F53"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MEMORIAL DA RESISTÊNCIA DE SÃO PAULO; MUSEU DA DIVERSIDADE SEXUAL; CASA 1.</w:t>
      </w:r>
      <w:r w:rsidRPr="0078038A">
        <w:rPr>
          <w:rFonts w:cs="Times New Roman"/>
          <w:szCs w:val="24"/>
          <w:lang w:val="pt-BR"/>
        </w:rPr>
        <w:t xml:space="preserve"> </w:t>
      </w:r>
      <w:r w:rsidRPr="0078038A">
        <w:rPr>
          <w:rFonts w:cs="Times New Roman"/>
          <w:i/>
          <w:iCs/>
          <w:szCs w:val="24"/>
          <w:lang w:val="pt-BR"/>
        </w:rPr>
        <w:t>Orgulho e Resistências: LGBT na ditadura – Catálogo da exposição.</w:t>
      </w:r>
      <w:r w:rsidRPr="0078038A">
        <w:rPr>
          <w:rFonts w:cs="Times New Roman"/>
          <w:szCs w:val="24"/>
          <w:lang w:val="pt-BR"/>
        </w:rPr>
        <w:t xml:space="preserve"> São Paulo: Memorial da Resistência de São Paulo; Museu da Diversidade Sexual; Casa 1, 2021.</w:t>
      </w:r>
    </w:p>
    <w:p w14:paraId="561CB7A3"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MNPCT (Mecanismo Nacional de Prevenção e Combate à Tortura).</w:t>
      </w:r>
      <w:r w:rsidRPr="0078038A">
        <w:rPr>
          <w:rFonts w:cs="Times New Roman"/>
          <w:szCs w:val="24"/>
          <w:lang w:val="pt-BR"/>
        </w:rPr>
        <w:t xml:space="preserve"> Relatório Anual 2023. Brasília: MNPCT, 2025.</w:t>
      </w:r>
    </w:p>
    <w:p w14:paraId="26BDC2CE"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MNPCT (Mecanismo Nacional de Prevenção e Combate à Tortura).</w:t>
      </w:r>
      <w:r w:rsidRPr="0078038A">
        <w:rPr>
          <w:rFonts w:cs="Times New Roman"/>
          <w:szCs w:val="24"/>
          <w:lang w:val="pt-BR"/>
        </w:rPr>
        <w:t xml:space="preserve"> Relatório Nacional de Inspeções da População LGBTI+ Privada de Liberdade no Brasil. Brasília: MNPCT, set. 2023.</w:t>
      </w:r>
    </w:p>
    <w:p w14:paraId="58E72377"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MUSEU DA DIVERSIDADE SEXUAL.</w:t>
      </w:r>
      <w:r w:rsidRPr="0078038A">
        <w:rPr>
          <w:rFonts w:cs="Times New Roman"/>
          <w:szCs w:val="24"/>
          <w:lang w:val="pt-BR"/>
        </w:rPr>
        <w:t xml:space="preserve"> </w:t>
      </w:r>
      <w:r w:rsidRPr="0078038A">
        <w:rPr>
          <w:rFonts w:cs="Times New Roman"/>
          <w:i/>
          <w:iCs/>
          <w:szCs w:val="24"/>
          <w:lang w:val="pt-BR"/>
        </w:rPr>
        <w:t>Guia para pensar junto: como acolher estudantes LGBTQIA+?</w:t>
      </w:r>
      <w:r w:rsidRPr="0078038A">
        <w:rPr>
          <w:rFonts w:cs="Times New Roman"/>
          <w:szCs w:val="24"/>
          <w:lang w:val="pt-BR"/>
        </w:rPr>
        <w:t xml:space="preserve"> Texto: Val Chagas. 1. ed. São Paulo: Museu da Diversidade Sexual, 2022.</w:t>
      </w:r>
    </w:p>
    <w:p w14:paraId="364862C6"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NAÇÕES UNIDAS. Escritório do Alto Comissariado das Nações Unidas para os Direitos Humanos (ACNUDH).</w:t>
      </w:r>
      <w:r w:rsidRPr="0078038A">
        <w:rPr>
          <w:rFonts w:cs="Times New Roman"/>
          <w:szCs w:val="24"/>
          <w:lang w:val="pt-BR"/>
        </w:rPr>
        <w:t xml:space="preserve"> Nota Informativa sobre Violações de Direitos Humanos contra Pessoas Intersexo. Genebra: ACNUDH, 2019. Disponível em:</w:t>
      </w:r>
      <w:hyperlink r:id="rId30" w:history="1">
        <w:r w:rsidRPr="0078038A">
          <w:rPr>
            <w:rStyle w:val="Hyperlink"/>
            <w:rFonts w:cs="Times New Roman"/>
            <w:szCs w:val="24"/>
            <w:lang w:val="pt-BR"/>
          </w:rPr>
          <w:t xml:space="preserve"> https://www.ohchr.org/sites/default/files/documents/issues/discrimination/lgbt/BackgroundNoteHumanRightsViolationsagainstIntersexPeople_PR.pdf</w:t>
        </w:r>
      </w:hyperlink>
      <w:r w:rsidRPr="0078038A">
        <w:rPr>
          <w:rFonts w:cs="Times New Roman"/>
          <w:szCs w:val="24"/>
          <w:lang w:val="pt-BR"/>
        </w:rPr>
        <w:t>. Acesso em: 10 jun. 2025.</w:t>
      </w:r>
      <w:r w:rsidRPr="0078038A">
        <w:rPr>
          <w:rFonts w:cs="Times New Roman"/>
          <w:szCs w:val="24"/>
          <w:lang w:val="pt-BR"/>
        </w:rPr>
        <w:br/>
        <w:t xml:space="preserve"> </w:t>
      </w:r>
      <w:r w:rsidRPr="0078038A">
        <w:rPr>
          <w:rFonts w:cs="Times New Roman"/>
          <w:i/>
          <w:iCs/>
          <w:szCs w:val="24"/>
          <w:lang w:val="pt-BR"/>
        </w:rPr>
        <w:t>(Mesma obra que ACNUDH, 2019 — mantida aqui apenas se desejar citar sob a entrada “Nações Unidas”.)</w:t>
      </w:r>
    </w:p>
    <w:p w14:paraId="120217E8"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NIX DIVERSIDADE E ECONOMIA SOCIAL (Org.).</w:t>
      </w:r>
      <w:r w:rsidRPr="0078038A">
        <w:rPr>
          <w:rFonts w:cs="Times New Roman"/>
          <w:szCs w:val="24"/>
          <w:lang w:val="pt-BR"/>
        </w:rPr>
        <w:t xml:space="preserve"> Diversidade &amp; inclusão no esporte: estudo sobre as conquistas e os desafios da comunidade LGBTQIA+ no Brasil. Coord. geral: Fabricio </w:t>
      </w:r>
      <w:proofErr w:type="spellStart"/>
      <w:r w:rsidRPr="0078038A">
        <w:rPr>
          <w:rFonts w:cs="Times New Roman"/>
          <w:szCs w:val="24"/>
          <w:lang w:val="pt-BR"/>
        </w:rPr>
        <w:t>Addêo</w:t>
      </w:r>
      <w:proofErr w:type="spellEnd"/>
      <w:r w:rsidRPr="0078038A">
        <w:rPr>
          <w:rFonts w:cs="Times New Roman"/>
          <w:szCs w:val="24"/>
          <w:lang w:val="pt-BR"/>
        </w:rPr>
        <w:t xml:space="preserve"> Ramos. 2. ed. São Paulo: Nix Diversidade e Economia Social, 2023.</w:t>
      </w:r>
    </w:p>
    <w:p w14:paraId="755BC7D1"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NIX DIVERSIDADE E ECONOMIA SOCIAL (Org.).</w:t>
      </w:r>
      <w:r w:rsidRPr="0078038A">
        <w:rPr>
          <w:rFonts w:cs="Times New Roman"/>
          <w:szCs w:val="24"/>
          <w:lang w:val="pt-BR"/>
        </w:rPr>
        <w:t xml:space="preserve"> Levantamento LGBTQIA+ no esporte: experiências, percepções e hábitos de atividade física e esportiva. Coord. geral: Fabricio </w:t>
      </w:r>
      <w:proofErr w:type="spellStart"/>
      <w:r w:rsidRPr="0078038A">
        <w:rPr>
          <w:rFonts w:cs="Times New Roman"/>
          <w:szCs w:val="24"/>
          <w:lang w:val="pt-BR"/>
        </w:rPr>
        <w:t>Addêo</w:t>
      </w:r>
      <w:proofErr w:type="spellEnd"/>
      <w:r w:rsidRPr="0078038A">
        <w:rPr>
          <w:rFonts w:cs="Times New Roman"/>
          <w:szCs w:val="24"/>
          <w:lang w:val="pt-BR"/>
        </w:rPr>
        <w:t xml:space="preserve"> Ramos. São Paulo: Nix Diversidade e Economia Social, 2022.</w:t>
      </w:r>
    </w:p>
    <w:p w14:paraId="5D0D8107"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OBSERVATÓRIO DA DISCRIMINAÇÃO RACIAL NO FUTEBOL.</w:t>
      </w:r>
      <w:r w:rsidRPr="0078038A">
        <w:rPr>
          <w:rFonts w:cs="Times New Roman"/>
          <w:szCs w:val="24"/>
          <w:lang w:val="pt-BR"/>
        </w:rPr>
        <w:t xml:space="preserve"> Relatório da Discriminação Racial no Futebol 2023. Rio de Janeiro: Observatório da Discriminação Racial no Futebol, 2024.</w:t>
      </w:r>
    </w:p>
    <w:p w14:paraId="6A1BDD28"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 xml:space="preserve">OLIVEIRA, Aron Giovanni; SILVA, Francisco; VAN, </w:t>
      </w:r>
      <w:proofErr w:type="spellStart"/>
      <w:r w:rsidRPr="0078038A">
        <w:rPr>
          <w:rFonts w:cs="Times New Roman"/>
          <w:b/>
          <w:bCs/>
          <w:szCs w:val="24"/>
          <w:lang w:val="pt-BR"/>
        </w:rPr>
        <w:t>Gab</w:t>
      </w:r>
      <w:proofErr w:type="spellEnd"/>
      <w:r w:rsidRPr="0078038A">
        <w:rPr>
          <w:rFonts w:cs="Times New Roman"/>
          <w:b/>
          <w:bCs/>
          <w:szCs w:val="24"/>
          <w:lang w:val="pt-BR"/>
        </w:rPr>
        <w:t>.</w:t>
      </w:r>
      <w:r w:rsidRPr="0078038A">
        <w:rPr>
          <w:rFonts w:cs="Times New Roman"/>
          <w:szCs w:val="24"/>
          <w:lang w:val="pt-BR"/>
        </w:rPr>
        <w:t xml:space="preserve"> </w:t>
      </w:r>
      <w:r w:rsidRPr="0078038A">
        <w:rPr>
          <w:rFonts w:cs="Times New Roman"/>
          <w:i/>
          <w:iCs/>
          <w:szCs w:val="24"/>
          <w:lang w:val="pt-BR"/>
        </w:rPr>
        <w:t>Agenda de políticas públicas para pessoas trans: Rio 2030.</w:t>
      </w:r>
      <w:r w:rsidRPr="0078038A">
        <w:rPr>
          <w:rFonts w:cs="Times New Roman"/>
          <w:szCs w:val="24"/>
          <w:lang w:val="pt-BR"/>
        </w:rPr>
        <w:t xml:space="preserve"> 1. ed. Rio de Janeiro: Ed. dos Autores, 2025.</w:t>
      </w:r>
    </w:p>
    <w:p w14:paraId="4A002BC9"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OUTRIGHT ACTION INTERNATIONAL.</w:t>
      </w:r>
      <w:r w:rsidRPr="0078038A">
        <w:rPr>
          <w:rFonts w:cs="Times New Roman"/>
          <w:szCs w:val="24"/>
          <w:lang w:val="pt-BR"/>
        </w:rPr>
        <w:t xml:space="preserve"> </w:t>
      </w:r>
      <w:proofErr w:type="spellStart"/>
      <w:r w:rsidRPr="0078038A">
        <w:rPr>
          <w:rFonts w:cs="Times New Roman"/>
          <w:i/>
          <w:iCs/>
          <w:szCs w:val="24"/>
          <w:lang w:val="pt-BR"/>
        </w:rPr>
        <w:t>Vulnerability</w:t>
      </w:r>
      <w:proofErr w:type="spellEnd"/>
      <w:r w:rsidRPr="0078038A">
        <w:rPr>
          <w:rFonts w:cs="Times New Roman"/>
          <w:i/>
          <w:iCs/>
          <w:szCs w:val="24"/>
          <w:lang w:val="pt-BR"/>
        </w:rPr>
        <w:t xml:space="preserve"> </w:t>
      </w:r>
      <w:proofErr w:type="spellStart"/>
      <w:r w:rsidRPr="0078038A">
        <w:rPr>
          <w:rFonts w:cs="Times New Roman"/>
          <w:i/>
          <w:iCs/>
          <w:szCs w:val="24"/>
          <w:lang w:val="pt-BR"/>
        </w:rPr>
        <w:t>Amplified</w:t>
      </w:r>
      <w:proofErr w:type="spellEnd"/>
      <w:r w:rsidRPr="0078038A">
        <w:rPr>
          <w:rFonts w:cs="Times New Roman"/>
          <w:i/>
          <w:iCs/>
          <w:szCs w:val="24"/>
          <w:lang w:val="pt-BR"/>
        </w:rPr>
        <w:t xml:space="preserve">: The </w:t>
      </w:r>
      <w:proofErr w:type="spellStart"/>
      <w:r w:rsidRPr="0078038A">
        <w:rPr>
          <w:rFonts w:cs="Times New Roman"/>
          <w:i/>
          <w:iCs/>
          <w:szCs w:val="24"/>
          <w:lang w:val="pt-BR"/>
        </w:rPr>
        <w:t>Impact</w:t>
      </w:r>
      <w:proofErr w:type="spellEnd"/>
      <w:r w:rsidRPr="0078038A">
        <w:rPr>
          <w:rFonts w:cs="Times New Roman"/>
          <w:i/>
          <w:iCs/>
          <w:szCs w:val="24"/>
          <w:lang w:val="pt-BR"/>
        </w:rPr>
        <w:t xml:space="preserve"> </w:t>
      </w:r>
      <w:proofErr w:type="spellStart"/>
      <w:r w:rsidRPr="0078038A">
        <w:rPr>
          <w:rFonts w:cs="Times New Roman"/>
          <w:i/>
          <w:iCs/>
          <w:szCs w:val="24"/>
          <w:lang w:val="pt-BR"/>
        </w:rPr>
        <w:t>of</w:t>
      </w:r>
      <w:proofErr w:type="spellEnd"/>
      <w:r w:rsidRPr="0078038A">
        <w:rPr>
          <w:rFonts w:cs="Times New Roman"/>
          <w:i/>
          <w:iCs/>
          <w:szCs w:val="24"/>
          <w:lang w:val="pt-BR"/>
        </w:rPr>
        <w:t xml:space="preserve"> </w:t>
      </w:r>
      <w:proofErr w:type="spellStart"/>
      <w:r w:rsidRPr="0078038A">
        <w:rPr>
          <w:rFonts w:cs="Times New Roman"/>
          <w:i/>
          <w:iCs/>
          <w:szCs w:val="24"/>
          <w:lang w:val="pt-BR"/>
        </w:rPr>
        <w:t>the</w:t>
      </w:r>
      <w:proofErr w:type="spellEnd"/>
      <w:r w:rsidRPr="0078038A">
        <w:rPr>
          <w:rFonts w:cs="Times New Roman"/>
          <w:i/>
          <w:iCs/>
          <w:szCs w:val="24"/>
          <w:lang w:val="pt-BR"/>
        </w:rPr>
        <w:t xml:space="preserve"> COVID-19 </w:t>
      </w:r>
      <w:proofErr w:type="spellStart"/>
      <w:r w:rsidRPr="0078038A">
        <w:rPr>
          <w:rFonts w:cs="Times New Roman"/>
          <w:i/>
          <w:iCs/>
          <w:szCs w:val="24"/>
          <w:lang w:val="pt-BR"/>
        </w:rPr>
        <w:t>Pandemic</w:t>
      </w:r>
      <w:proofErr w:type="spellEnd"/>
      <w:r w:rsidRPr="0078038A">
        <w:rPr>
          <w:rFonts w:cs="Times New Roman"/>
          <w:i/>
          <w:iCs/>
          <w:szCs w:val="24"/>
          <w:lang w:val="pt-BR"/>
        </w:rPr>
        <w:t xml:space="preserve"> </w:t>
      </w:r>
      <w:proofErr w:type="spellStart"/>
      <w:r w:rsidRPr="0078038A">
        <w:rPr>
          <w:rFonts w:cs="Times New Roman"/>
          <w:i/>
          <w:iCs/>
          <w:szCs w:val="24"/>
          <w:lang w:val="pt-BR"/>
        </w:rPr>
        <w:t>on</w:t>
      </w:r>
      <w:proofErr w:type="spellEnd"/>
      <w:r w:rsidRPr="0078038A">
        <w:rPr>
          <w:rFonts w:cs="Times New Roman"/>
          <w:i/>
          <w:iCs/>
          <w:szCs w:val="24"/>
          <w:lang w:val="pt-BR"/>
        </w:rPr>
        <w:t xml:space="preserve"> LGBTIQ People.</w:t>
      </w:r>
      <w:r w:rsidRPr="0078038A">
        <w:rPr>
          <w:rFonts w:cs="Times New Roman"/>
          <w:szCs w:val="24"/>
          <w:lang w:val="pt-BR"/>
        </w:rPr>
        <w:t xml:space="preserve"> New York: </w:t>
      </w:r>
      <w:proofErr w:type="spellStart"/>
      <w:r w:rsidRPr="0078038A">
        <w:rPr>
          <w:rFonts w:cs="Times New Roman"/>
          <w:szCs w:val="24"/>
          <w:lang w:val="pt-BR"/>
        </w:rPr>
        <w:t>OutRight</w:t>
      </w:r>
      <w:proofErr w:type="spellEnd"/>
      <w:r w:rsidRPr="0078038A">
        <w:rPr>
          <w:rFonts w:cs="Times New Roman"/>
          <w:szCs w:val="24"/>
          <w:lang w:val="pt-BR"/>
        </w:rPr>
        <w:t xml:space="preserve"> </w:t>
      </w:r>
      <w:proofErr w:type="spellStart"/>
      <w:r w:rsidRPr="0078038A">
        <w:rPr>
          <w:rFonts w:cs="Times New Roman"/>
          <w:szCs w:val="24"/>
          <w:lang w:val="pt-BR"/>
        </w:rPr>
        <w:t>Action</w:t>
      </w:r>
      <w:proofErr w:type="spellEnd"/>
      <w:r w:rsidRPr="0078038A">
        <w:rPr>
          <w:rFonts w:cs="Times New Roman"/>
          <w:szCs w:val="24"/>
          <w:lang w:val="pt-BR"/>
        </w:rPr>
        <w:t xml:space="preserve"> </w:t>
      </w:r>
      <w:proofErr w:type="spellStart"/>
      <w:r w:rsidRPr="0078038A">
        <w:rPr>
          <w:rFonts w:cs="Times New Roman"/>
          <w:szCs w:val="24"/>
          <w:lang w:val="pt-BR"/>
        </w:rPr>
        <w:t>International</w:t>
      </w:r>
      <w:proofErr w:type="spellEnd"/>
      <w:r w:rsidRPr="0078038A">
        <w:rPr>
          <w:rFonts w:cs="Times New Roman"/>
          <w:szCs w:val="24"/>
          <w:lang w:val="pt-BR"/>
        </w:rPr>
        <w:t>, 2020.</w:t>
      </w:r>
    </w:p>
    <w:p w14:paraId="039C9936"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PEREIRA, M. M.</w:t>
      </w:r>
      <w:r w:rsidRPr="0078038A">
        <w:rPr>
          <w:rFonts w:cs="Times New Roman"/>
          <w:szCs w:val="24"/>
          <w:lang w:val="pt-BR"/>
        </w:rPr>
        <w:t xml:space="preserve"> Trazendo os governos de volta: a chefia do executivo e os resultados do ativismo institucional LGBT (2003–2014). </w:t>
      </w:r>
      <w:r w:rsidRPr="0078038A">
        <w:rPr>
          <w:rFonts w:cs="Times New Roman"/>
          <w:i/>
          <w:iCs/>
          <w:szCs w:val="24"/>
          <w:lang w:val="pt-BR"/>
        </w:rPr>
        <w:t>Sociologias</w:t>
      </w:r>
      <w:r w:rsidRPr="0078038A">
        <w:rPr>
          <w:rFonts w:cs="Times New Roman"/>
          <w:szCs w:val="24"/>
          <w:lang w:val="pt-BR"/>
        </w:rPr>
        <w:t>, v. 22, n. 53, p. 228–263, jan. 2020.</w:t>
      </w:r>
    </w:p>
    <w:p w14:paraId="29AE6244"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PIRES, Barbara Gomes; LAURENTINO, Arnaldo Cezar; NASCIMENTO SILVA, Claudio.</w:t>
      </w:r>
      <w:r w:rsidRPr="0078038A">
        <w:rPr>
          <w:rFonts w:cs="Times New Roman"/>
          <w:szCs w:val="24"/>
          <w:lang w:val="pt-BR"/>
        </w:rPr>
        <w:t xml:space="preserve"> Relatório final da Pesquisa de Mapeamento do Projeto Observatório de Políticas Públicas LGBTI+ no Estado do Rio de Janeiro. Aliança Nacional LGBTI+; Grupo Arco-Íris de Cidadania LGBT, 2021.</w:t>
      </w:r>
    </w:p>
    <w:p w14:paraId="21FCA6A4"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PNUD (Programa das Nações Unidas para o Desenvolvimento); CNJ (Conselho Nacional de Justiça).</w:t>
      </w:r>
      <w:r w:rsidRPr="0078038A">
        <w:rPr>
          <w:rFonts w:cs="Times New Roman"/>
          <w:szCs w:val="24"/>
          <w:lang w:val="pt-BR"/>
        </w:rPr>
        <w:t xml:space="preserve"> </w:t>
      </w:r>
      <w:r w:rsidRPr="0078038A">
        <w:rPr>
          <w:rFonts w:cs="Times New Roman"/>
          <w:i/>
          <w:iCs/>
          <w:szCs w:val="24"/>
          <w:lang w:val="pt-BR"/>
        </w:rPr>
        <w:t>Discriminação e violência contra a população LGBTQIA+: relatório da pesquisa.</w:t>
      </w:r>
      <w:r w:rsidRPr="0078038A">
        <w:rPr>
          <w:rFonts w:cs="Times New Roman"/>
          <w:szCs w:val="24"/>
          <w:lang w:val="pt-BR"/>
        </w:rPr>
        <w:t xml:space="preserve"> Brasília: PNUD; CNJ, 2022. Disponível em:</w:t>
      </w:r>
      <w:hyperlink r:id="rId31" w:history="1">
        <w:r w:rsidRPr="0078038A">
          <w:rPr>
            <w:rStyle w:val="Hyperlink"/>
            <w:rFonts w:cs="Times New Roman"/>
            <w:szCs w:val="24"/>
            <w:lang w:val="pt-BR"/>
          </w:rPr>
          <w:t xml:space="preserve"> https://www.cnj.jus.br/wp-content/uploads/2022/08/relatorio-pesquisa-discriminacao-e-violencia-contra-lgbtqia.pdf</w:t>
        </w:r>
      </w:hyperlink>
      <w:r w:rsidRPr="0078038A">
        <w:rPr>
          <w:rFonts w:cs="Times New Roman"/>
          <w:szCs w:val="24"/>
          <w:lang w:val="pt-BR"/>
        </w:rPr>
        <w:t>.</w:t>
      </w:r>
    </w:p>
    <w:p w14:paraId="7491B68B"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RAÇA E IGUALDADE (Instituto Internacional sobre Raça, Igualdade e Direitos Humanos).</w:t>
      </w:r>
      <w:r w:rsidRPr="0078038A">
        <w:rPr>
          <w:rFonts w:cs="Times New Roman"/>
          <w:szCs w:val="24"/>
          <w:lang w:val="pt-BR"/>
        </w:rPr>
        <w:t xml:space="preserve"> Qual é a cor do </w:t>
      </w:r>
      <w:proofErr w:type="gramStart"/>
      <w:r w:rsidRPr="0078038A">
        <w:rPr>
          <w:rFonts w:cs="Times New Roman"/>
          <w:szCs w:val="24"/>
          <w:lang w:val="pt-BR"/>
        </w:rPr>
        <w:t>invisível?:</w:t>
      </w:r>
      <w:proofErr w:type="gramEnd"/>
      <w:r w:rsidRPr="0078038A">
        <w:rPr>
          <w:rFonts w:cs="Times New Roman"/>
          <w:szCs w:val="24"/>
          <w:lang w:val="pt-BR"/>
        </w:rPr>
        <w:t xml:space="preserve"> a situação de direitos humanos da população LGBTI negra no Brasil. Rio de Janeiro: Instituto Internacional sobre Raça, Igualdade e Direitos Humanos, 2020.</w:t>
      </w:r>
    </w:p>
    <w:p w14:paraId="1514F1F4"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RAÇA E IGUALDADE; REVISTA ESTUDOS TRANSVIADES.</w:t>
      </w:r>
      <w:r w:rsidRPr="0078038A">
        <w:rPr>
          <w:rFonts w:cs="Times New Roman"/>
          <w:szCs w:val="24"/>
          <w:lang w:val="pt-BR"/>
        </w:rPr>
        <w:t xml:space="preserve"> A dor e a delícia das </w:t>
      </w:r>
      <w:proofErr w:type="spellStart"/>
      <w:r w:rsidRPr="0078038A">
        <w:rPr>
          <w:rFonts w:cs="Times New Roman"/>
          <w:szCs w:val="24"/>
          <w:lang w:val="pt-BR"/>
        </w:rPr>
        <w:t>transmasculinidades</w:t>
      </w:r>
      <w:proofErr w:type="spellEnd"/>
      <w:r w:rsidRPr="0078038A">
        <w:rPr>
          <w:rFonts w:cs="Times New Roman"/>
          <w:szCs w:val="24"/>
          <w:lang w:val="pt-BR"/>
        </w:rPr>
        <w:t xml:space="preserve"> no Brasil: das invisibilidades às demandas. Organização: Bruno Pfeil; Kaio Lemos. Rio de Janeiro: Instituto Internacional sobre Raça, Igualdade e Direitos Humanos, 2021.</w:t>
      </w:r>
    </w:p>
    <w:p w14:paraId="5F92D011"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REDE NACIONAL DE PESSOAS VIVENDO COM HIV E AIDS (RNP+); UNAIDS BRASIL; PONTIFÍCIA UNIVERSIDADE CATÓLICA DO RIO GRANDE DO SUL (PUC-RS).</w:t>
      </w:r>
      <w:r w:rsidRPr="0078038A">
        <w:rPr>
          <w:rFonts w:cs="Times New Roman"/>
          <w:szCs w:val="24"/>
          <w:lang w:val="pt-BR"/>
        </w:rPr>
        <w:t xml:space="preserve"> </w:t>
      </w:r>
      <w:r w:rsidRPr="0078038A">
        <w:rPr>
          <w:rFonts w:cs="Times New Roman"/>
          <w:i/>
          <w:iCs/>
          <w:szCs w:val="24"/>
          <w:lang w:val="pt-BR"/>
        </w:rPr>
        <w:t>Índice de estigma em relação às pessoas vivendo com HIV/AIDS – Brasil 2025: Sumário Executivo.</w:t>
      </w:r>
      <w:r w:rsidRPr="0078038A">
        <w:rPr>
          <w:rFonts w:cs="Times New Roman"/>
          <w:szCs w:val="24"/>
          <w:lang w:val="pt-BR"/>
        </w:rPr>
        <w:t xml:space="preserve"> Coord.: João Cavalcante et al. Porto Alegre: UNAIDS Brasil; PUC-RS, 2025.</w:t>
      </w:r>
    </w:p>
    <w:p w14:paraId="1E44FF62"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REDE TRANS.</w:t>
      </w:r>
      <w:r w:rsidRPr="0078038A">
        <w:rPr>
          <w:rFonts w:cs="Times New Roman"/>
          <w:szCs w:val="24"/>
          <w:lang w:val="pt-BR"/>
        </w:rPr>
        <w:t xml:space="preserve"> Plano Nacional de Incidência Política do Censo Trans: recomendação de implementação e aprimoramento de políticas públicas para travestis e mulheres transexuais a partir dos dados do Censo Trans. Organização: </w:t>
      </w:r>
      <w:proofErr w:type="spellStart"/>
      <w:r w:rsidRPr="0078038A">
        <w:rPr>
          <w:rFonts w:cs="Times New Roman"/>
          <w:szCs w:val="24"/>
          <w:lang w:val="pt-BR"/>
        </w:rPr>
        <w:t>Dediane</w:t>
      </w:r>
      <w:proofErr w:type="spellEnd"/>
      <w:r w:rsidRPr="0078038A">
        <w:rPr>
          <w:rFonts w:cs="Times New Roman"/>
          <w:szCs w:val="24"/>
          <w:lang w:val="pt-BR"/>
        </w:rPr>
        <w:t xml:space="preserve"> Souza; </w:t>
      </w:r>
      <w:proofErr w:type="spellStart"/>
      <w:r w:rsidRPr="0078038A">
        <w:rPr>
          <w:rFonts w:cs="Times New Roman"/>
          <w:szCs w:val="24"/>
          <w:lang w:val="pt-BR"/>
        </w:rPr>
        <w:t>Tathiane</w:t>
      </w:r>
      <w:proofErr w:type="spellEnd"/>
      <w:r w:rsidRPr="0078038A">
        <w:rPr>
          <w:rFonts w:cs="Times New Roman"/>
          <w:szCs w:val="24"/>
          <w:lang w:val="pt-BR"/>
        </w:rPr>
        <w:t xml:space="preserve"> Araújo. Projeto gráfico: Eduardo Lins. Rede Trans, 2022.</w:t>
      </w:r>
    </w:p>
    <w:p w14:paraId="580618F5"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lastRenderedPageBreak/>
        <w:t>RELATÓRIO DO RELATOR ESPECIAL DA ONU SOBRE TORTURA (Méndez, Juan E.).</w:t>
      </w:r>
      <w:r w:rsidRPr="0078038A">
        <w:rPr>
          <w:rFonts w:cs="Times New Roman"/>
          <w:szCs w:val="24"/>
          <w:lang w:val="pt-BR"/>
        </w:rPr>
        <w:t xml:space="preserve"> Recomendação para revogação de normas que permitam intervenções médicas irreversíveis sem consentimento da pessoa intersexo. Genebra: ONU, 2013.</w:t>
      </w:r>
    </w:p>
    <w:p w14:paraId="7CF85E58"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 xml:space="preserve">RIOS, Roger Raupp; SANTOS, </w:t>
      </w:r>
      <w:proofErr w:type="spellStart"/>
      <w:r w:rsidRPr="0078038A">
        <w:rPr>
          <w:rFonts w:cs="Times New Roman"/>
          <w:b/>
          <w:bCs/>
          <w:szCs w:val="24"/>
          <w:lang w:val="pt-BR"/>
        </w:rPr>
        <w:t>Wederson</w:t>
      </w:r>
      <w:proofErr w:type="spellEnd"/>
      <w:r w:rsidRPr="0078038A">
        <w:rPr>
          <w:rFonts w:cs="Times New Roman"/>
          <w:b/>
          <w:bCs/>
          <w:szCs w:val="24"/>
          <w:lang w:val="pt-BR"/>
        </w:rPr>
        <w:t xml:space="preserve"> Rufino dos.</w:t>
      </w:r>
      <w:r w:rsidRPr="0078038A">
        <w:rPr>
          <w:rFonts w:cs="Times New Roman"/>
          <w:szCs w:val="24"/>
          <w:lang w:val="pt-BR"/>
        </w:rPr>
        <w:t xml:space="preserve"> Diversidade sexual, educação e sociedade: reflexões a partir do Programa Nacional do Livro Didático. </w:t>
      </w:r>
      <w:r w:rsidRPr="0078038A">
        <w:rPr>
          <w:rFonts w:cs="Times New Roman"/>
          <w:i/>
          <w:iCs/>
          <w:szCs w:val="24"/>
          <w:lang w:val="pt-BR"/>
        </w:rPr>
        <w:t>Revista Psicologia Política</w:t>
      </w:r>
      <w:r w:rsidRPr="0078038A">
        <w:rPr>
          <w:rFonts w:cs="Times New Roman"/>
          <w:szCs w:val="24"/>
          <w:lang w:val="pt-BR"/>
        </w:rPr>
        <w:t>, São Paulo, v. 8, n. 16, dez. 2008.</w:t>
      </w:r>
    </w:p>
    <w:p w14:paraId="5F485306"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SGANZERLA, Rogerio; LIMA, Stephanie; NASCIMENTO SILVA, Claudio.</w:t>
      </w:r>
      <w:r w:rsidRPr="0078038A">
        <w:rPr>
          <w:rFonts w:cs="Times New Roman"/>
          <w:szCs w:val="24"/>
          <w:lang w:val="pt-BR"/>
        </w:rPr>
        <w:t xml:space="preserve"> Dossiê da violência em razão da identidade de gênero e orientação sexual no estado do Rio de Janeiro. Aliança Nacional LGBTI+; Grupo Arco-Íris de Cidadania LGBT, 2021.</w:t>
      </w:r>
    </w:p>
    <w:p w14:paraId="74A5ED29"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STONEWALL.</w:t>
      </w:r>
      <w:r w:rsidRPr="0078038A">
        <w:rPr>
          <w:rFonts w:cs="Times New Roman"/>
          <w:szCs w:val="24"/>
          <w:lang w:val="pt-BR"/>
        </w:rPr>
        <w:t xml:space="preserve"> </w:t>
      </w:r>
      <w:r w:rsidRPr="0078038A">
        <w:rPr>
          <w:rFonts w:cs="Times New Roman"/>
          <w:i/>
          <w:iCs/>
          <w:szCs w:val="24"/>
          <w:lang w:val="pt-BR"/>
        </w:rPr>
        <w:t xml:space="preserve">LGBT in </w:t>
      </w:r>
      <w:proofErr w:type="spellStart"/>
      <w:r w:rsidRPr="0078038A">
        <w:rPr>
          <w:rFonts w:cs="Times New Roman"/>
          <w:i/>
          <w:iCs/>
          <w:szCs w:val="24"/>
          <w:lang w:val="pt-BR"/>
        </w:rPr>
        <w:t>Britain</w:t>
      </w:r>
      <w:proofErr w:type="spellEnd"/>
      <w:r w:rsidRPr="0078038A">
        <w:rPr>
          <w:rFonts w:cs="Times New Roman"/>
          <w:i/>
          <w:iCs/>
          <w:szCs w:val="24"/>
          <w:lang w:val="pt-BR"/>
        </w:rPr>
        <w:t xml:space="preserve">: Home </w:t>
      </w:r>
      <w:proofErr w:type="spellStart"/>
      <w:r w:rsidRPr="0078038A">
        <w:rPr>
          <w:rFonts w:cs="Times New Roman"/>
          <w:i/>
          <w:iCs/>
          <w:szCs w:val="24"/>
          <w:lang w:val="pt-BR"/>
        </w:rPr>
        <w:t>and</w:t>
      </w:r>
      <w:proofErr w:type="spellEnd"/>
      <w:r w:rsidRPr="0078038A">
        <w:rPr>
          <w:rFonts w:cs="Times New Roman"/>
          <w:i/>
          <w:iCs/>
          <w:szCs w:val="24"/>
          <w:lang w:val="pt-BR"/>
        </w:rPr>
        <w:t xml:space="preserve"> </w:t>
      </w:r>
      <w:proofErr w:type="spellStart"/>
      <w:r w:rsidRPr="0078038A">
        <w:rPr>
          <w:rFonts w:cs="Times New Roman"/>
          <w:i/>
          <w:iCs/>
          <w:szCs w:val="24"/>
          <w:lang w:val="pt-BR"/>
        </w:rPr>
        <w:t>Communities</w:t>
      </w:r>
      <w:proofErr w:type="spellEnd"/>
      <w:r w:rsidRPr="0078038A">
        <w:rPr>
          <w:rFonts w:cs="Times New Roman"/>
          <w:i/>
          <w:iCs/>
          <w:szCs w:val="24"/>
          <w:lang w:val="pt-BR"/>
        </w:rPr>
        <w:t>.</w:t>
      </w:r>
      <w:r w:rsidRPr="0078038A">
        <w:rPr>
          <w:rFonts w:cs="Times New Roman"/>
          <w:szCs w:val="24"/>
          <w:lang w:val="pt-BR"/>
        </w:rPr>
        <w:t xml:space="preserve"> London: Stonewall, 2018.</w:t>
      </w:r>
    </w:p>
    <w:p w14:paraId="1C8831E3"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 xml:space="preserve">STRECK, </w:t>
      </w:r>
      <w:proofErr w:type="spellStart"/>
      <w:r w:rsidRPr="0078038A">
        <w:rPr>
          <w:rFonts w:cs="Times New Roman"/>
          <w:b/>
          <w:bCs/>
          <w:szCs w:val="24"/>
          <w:lang w:val="pt-BR"/>
        </w:rPr>
        <w:t>Lenio</w:t>
      </w:r>
      <w:proofErr w:type="spellEnd"/>
      <w:r w:rsidRPr="0078038A">
        <w:rPr>
          <w:rFonts w:cs="Times New Roman"/>
          <w:b/>
          <w:bCs/>
          <w:szCs w:val="24"/>
          <w:lang w:val="pt-BR"/>
        </w:rPr>
        <w:t xml:space="preserve"> Luiz.</w:t>
      </w:r>
      <w:r w:rsidRPr="0078038A">
        <w:rPr>
          <w:rFonts w:cs="Times New Roman"/>
          <w:szCs w:val="24"/>
          <w:lang w:val="pt-BR"/>
        </w:rPr>
        <w:t xml:space="preserve"> </w:t>
      </w:r>
      <w:r w:rsidRPr="0078038A">
        <w:rPr>
          <w:rFonts w:cs="Times New Roman"/>
          <w:i/>
          <w:iCs/>
          <w:szCs w:val="24"/>
          <w:lang w:val="pt-BR"/>
        </w:rPr>
        <w:t>Jurisdição constitucional e hermenêutica: uma nova crítica do direito.</w:t>
      </w:r>
      <w:r w:rsidRPr="0078038A">
        <w:rPr>
          <w:rFonts w:cs="Times New Roman"/>
          <w:szCs w:val="24"/>
          <w:lang w:val="pt-BR"/>
        </w:rPr>
        <w:t xml:space="preserve"> 2. ed. Rio de Janeiro: Forense, 2004.</w:t>
      </w:r>
    </w:p>
    <w:p w14:paraId="2FEE8BD6"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SUN TZU.</w:t>
      </w:r>
      <w:r w:rsidRPr="0078038A">
        <w:rPr>
          <w:rFonts w:cs="Times New Roman"/>
          <w:szCs w:val="24"/>
          <w:lang w:val="pt-BR"/>
        </w:rPr>
        <w:t xml:space="preserve"> </w:t>
      </w:r>
      <w:r w:rsidRPr="0078038A">
        <w:rPr>
          <w:rFonts w:cs="Times New Roman"/>
          <w:i/>
          <w:iCs/>
          <w:szCs w:val="24"/>
          <w:lang w:val="pt-BR"/>
        </w:rPr>
        <w:t>A arte da guerra.</w:t>
      </w:r>
      <w:r w:rsidRPr="0078038A">
        <w:rPr>
          <w:rFonts w:cs="Times New Roman"/>
          <w:szCs w:val="24"/>
          <w:lang w:val="pt-BR"/>
        </w:rPr>
        <w:t xml:space="preserve"> Tradução: André Bueno. São Paulo: </w:t>
      </w:r>
      <w:proofErr w:type="spellStart"/>
      <w:r w:rsidRPr="0078038A">
        <w:rPr>
          <w:rFonts w:cs="Times New Roman"/>
          <w:szCs w:val="24"/>
          <w:lang w:val="pt-BR"/>
        </w:rPr>
        <w:t>Edipro</w:t>
      </w:r>
      <w:proofErr w:type="spellEnd"/>
      <w:r w:rsidRPr="0078038A">
        <w:rPr>
          <w:rFonts w:cs="Times New Roman"/>
          <w:szCs w:val="24"/>
          <w:lang w:val="pt-BR"/>
        </w:rPr>
        <w:t>, 2017.</w:t>
      </w:r>
    </w:p>
    <w:p w14:paraId="6D775752"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UNAIDS (Programa Conjunto das Nações Unidas sobre HIV/AIDS).</w:t>
      </w:r>
      <w:r w:rsidRPr="0078038A">
        <w:rPr>
          <w:rFonts w:cs="Times New Roman"/>
          <w:szCs w:val="24"/>
          <w:lang w:val="pt-BR"/>
        </w:rPr>
        <w:t xml:space="preserve"> Agenda para zero discriminação nos serviços de saúde. Genebra: UNAIDS, 2017.</w:t>
      </w:r>
    </w:p>
    <w:p w14:paraId="165DE90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VIEIRA, Leonardo (org.).</w:t>
      </w:r>
      <w:r w:rsidRPr="0078038A">
        <w:rPr>
          <w:rFonts w:cs="Times New Roman"/>
          <w:szCs w:val="24"/>
          <w:lang w:val="pt-BR"/>
        </w:rPr>
        <w:t xml:space="preserve"> </w:t>
      </w:r>
      <w:r w:rsidRPr="0078038A">
        <w:rPr>
          <w:rFonts w:cs="Times New Roman"/>
          <w:i/>
          <w:iCs/>
          <w:szCs w:val="24"/>
          <w:lang w:val="pt-BR"/>
        </w:rPr>
        <w:t>Acervos e referências de memória LGBTIP+.</w:t>
      </w:r>
      <w:r w:rsidRPr="0078038A">
        <w:rPr>
          <w:rFonts w:cs="Times New Roman"/>
          <w:szCs w:val="24"/>
          <w:lang w:val="pt-BR"/>
        </w:rPr>
        <w:t xml:space="preserve"> 1. ed. São Paulo: Museu da Diversidade Sexual, 2023.</w:t>
      </w:r>
    </w:p>
    <w:p w14:paraId="2BC1EF0A" w14:textId="77777777" w:rsidR="0078038A" w:rsidRPr="0078038A" w:rsidRDefault="0078038A" w:rsidP="0078038A">
      <w:pPr>
        <w:spacing w:before="120" w:after="120"/>
        <w:ind w:firstLine="0"/>
        <w:rPr>
          <w:rFonts w:cs="Times New Roman"/>
          <w:szCs w:val="24"/>
          <w:lang w:val="pt-BR"/>
        </w:rPr>
      </w:pPr>
      <w:r w:rsidRPr="0078038A">
        <w:rPr>
          <w:rFonts w:cs="Times New Roman"/>
          <w:b/>
          <w:bCs/>
          <w:szCs w:val="24"/>
          <w:lang w:val="pt-BR"/>
        </w:rPr>
        <w:t>VOTE LGBT.</w:t>
      </w:r>
      <w:r w:rsidRPr="0078038A">
        <w:rPr>
          <w:rFonts w:cs="Times New Roman"/>
          <w:szCs w:val="24"/>
          <w:lang w:val="pt-BR"/>
        </w:rPr>
        <w:t xml:space="preserve"> </w:t>
      </w:r>
      <w:r w:rsidRPr="0078038A">
        <w:rPr>
          <w:rFonts w:cs="Times New Roman"/>
          <w:i/>
          <w:iCs/>
          <w:szCs w:val="24"/>
          <w:lang w:val="pt-BR"/>
        </w:rPr>
        <w:t>A Política LGBT+ Brasileira: entre potências e pagamentos.</w:t>
      </w:r>
      <w:r w:rsidRPr="0078038A">
        <w:rPr>
          <w:rFonts w:cs="Times New Roman"/>
          <w:szCs w:val="24"/>
          <w:lang w:val="pt-BR"/>
        </w:rPr>
        <w:t xml:space="preserve"> 2022.</w:t>
      </w:r>
    </w:p>
    <w:p w14:paraId="39E7F6C0" w14:textId="25E15BC9" w:rsidR="00650DE7" w:rsidRPr="0078038A" w:rsidRDefault="00650DE7" w:rsidP="0078038A">
      <w:pPr>
        <w:spacing w:before="120" w:after="120"/>
        <w:ind w:firstLine="0"/>
        <w:rPr>
          <w:rFonts w:cs="Times New Roman"/>
          <w:szCs w:val="24"/>
          <w:lang w:val="pt-BR"/>
        </w:rPr>
      </w:pPr>
    </w:p>
    <w:sectPr w:rsidR="00650DE7" w:rsidRPr="0078038A" w:rsidSect="006F4063">
      <w:footerReference w:type="default" r:id="rId32"/>
      <w:pgSz w:w="11906" w:h="16838"/>
      <w:pgMar w:top="1701" w:right="1134" w:bottom="1134" w:left="170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1A92" w14:textId="77777777" w:rsidR="00870336" w:rsidRDefault="00870336">
      <w:pPr>
        <w:spacing w:line="240" w:lineRule="auto"/>
      </w:pPr>
      <w:r>
        <w:separator/>
      </w:r>
    </w:p>
  </w:endnote>
  <w:endnote w:type="continuationSeparator" w:id="0">
    <w:p w14:paraId="3C31DB57" w14:textId="77777777" w:rsidR="00870336" w:rsidRDefault="008703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C944" w14:textId="77777777" w:rsidR="00650DE7" w:rsidRDefault="00000000" w:rsidP="006F4063">
    <w:pPr>
      <w:pStyle w:val="Rodap"/>
      <w:jc w:val="right"/>
    </w:pPr>
    <w:r>
      <w:fldChar w:fldCharType="begin"/>
    </w:r>
    <w:r>
      <w:instrText xml:space="preserve"> PAGE </w:instrText>
    </w:r>
    <w:r w:rsidR="006F4063">
      <w:fldChar w:fldCharType="separate"/>
    </w:r>
    <w:r w:rsidR="006F40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046B" w14:textId="77777777" w:rsidR="00870336" w:rsidRDefault="00870336">
      <w:pPr>
        <w:spacing w:line="240" w:lineRule="auto"/>
      </w:pPr>
      <w:r>
        <w:separator/>
      </w:r>
    </w:p>
  </w:footnote>
  <w:footnote w:type="continuationSeparator" w:id="0">
    <w:p w14:paraId="72CF5930" w14:textId="77777777" w:rsidR="00870336" w:rsidRDefault="008703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15:restartNumberingAfterBreak="0">
    <w:nsid w:val="085004EE"/>
    <w:multiLevelType w:val="multilevel"/>
    <w:tmpl w:val="903E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69176E"/>
    <w:multiLevelType w:val="multilevel"/>
    <w:tmpl w:val="22DA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F6AE1"/>
    <w:multiLevelType w:val="multilevel"/>
    <w:tmpl w:val="0EC2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C15BC"/>
    <w:multiLevelType w:val="multilevel"/>
    <w:tmpl w:val="E69E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B7579"/>
    <w:multiLevelType w:val="multilevel"/>
    <w:tmpl w:val="C2826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A34B83"/>
    <w:multiLevelType w:val="multilevel"/>
    <w:tmpl w:val="3DBE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161825">
    <w:abstractNumId w:val="8"/>
  </w:num>
  <w:num w:numId="2" w16cid:durableId="304942165">
    <w:abstractNumId w:val="6"/>
  </w:num>
  <w:num w:numId="3" w16cid:durableId="1180967159">
    <w:abstractNumId w:val="5"/>
  </w:num>
  <w:num w:numId="4" w16cid:durableId="1198129597">
    <w:abstractNumId w:val="4"/>
  </w:num>
  <w:num w:numId="5" w16cid:durableId="102699617">
    <w:abstractNumId w:val="7"/>
  </w:num>
  <w:num w:numId="6" w16cid:durableId="430588616">
    <w:abstractNumId w:val="3"/>
  </w:num>
  <w:num w:numId="7" w16cid:durableId="356002656">
    <w:abstractNumId w:val="2"/>
  </w:num>
  <w:num w:numId="8" w16cid:durableId="774905354">
    <w:abstractNumId w:val="1"/>
  </w:num>
  <w:num w:numId="9" w16cid:durableId="1367178530">
    <w:abstractNumId w:val="0"/>
  </w:num>
  <w:num w:numId="10" w16cid:durableId="2034259761">
    <w:abstractNumId w:val="9"/>
  </w:num>
  <w:num w:numId="11" w16cid:durableId="842627468">
    <w:abstractNumId w:val="14"/>
  </w:num>
  <w:num w:numId="12" w16cid:durableId="1292007599">
    <w:abstractNumId w:val="12"/>
  </w:num>
  <w:num w:numId="13" w16cid:durableId="18700888">
    <w:abstractNumId w:val="11"/>
  </w:num>
  <w:num w:numId="14" w16cid:durableId="1436318414">
    <w:abstractNumId w:val="10"/>
  </w:num>
  <w:num w:numId="15" w16cid:durableId="8316816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534"/>
    <w:rsid w:val="00034616"/>
    <w:rsid w:val="000514BE"/>
    <w:rsid w:val="0006063C"/>
    <w:rsid w:val="00070A07"/>
    <w:rsid w:val="0015074B"/>
    <w:rsid w:val="00155E94"/>
    <w:rsid w:val="001E57C0"/>
    <w:rsid w:val="0029639D"/>
    <w:rsid w:val="0030608F"/>
    <w:rsid w:val="00325CFA"/>
    <w:rsid w:val="00326F90"/>
    <w:rsid w:val="00350857"/>
    <w:rsid w:val="00384A87"/>
    <w:rsid w:val="003D5BE3"/>
    <w:rsid w:val="004874FE"/>
    <w:rsid w:val="004F7E14"/>
    <w:rsid w:val="00650DE7"/>
    <w:rsid w:val="006517EE"/>
    <w:rsid w:val="006F4063"/>
    <w:rsid w:val="00773DE2"/>
    <w:rsid w:val="0078038A"/>
    <w:rsid w:val="007F715C"/>
    <w:rsid w:val="00870336"/>
    <w:rsid w:val="0099424E"/>
    <w:rsid w:val="00AA1D8D"/>
    <w:rsid w:val="00B07917"/>
    <w:rsid w:val="00B47730"/>
    <w:rsid w:val="00C73682"/>
    <w:rsid w:val="00CA4334"/>
    <w:rsid w:val="00CA4A71"/>
    <w:rsid w:val="00CB0664"/>
    <w:rsid w:val="00D21648"/>
    <w:rsid w:val="00DE7A5E"/>
    <w:rsid w:val="00EB54ED"/>
    <w:rsid w:val="00F21277"/>
    <w:rsid w:val="00F6130A"/>
    <w:rsid w:val="00F615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34732D"/>
  <w14:defaultImageDpi w14:val="300"/>
  <w15:docId w15:val="{B086D838-AE33-4CAA-BA8B-09896275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ind w:firstLine="709"/>
      <w:jc w:val="both"/>
    </w:pPr>
    <w:rPr>
      <w:rFonts w:ascii="Times New Roman" w:eastAsia="Times New Roman" w:hAnsi="Times New Roman"/>
      <w:sz w:val="24"/>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epargpadro"/>
    <w:uiPriority w:val="99"/>
    <w:unhideWhenUsed/>
    <w:rsid w:val="0099424E"/>
    <w:rPr>
      <w:color w:val="0000FF" w:themeColor="hyperlink"/>
      <w:u w:val="single"/>
    </w:rPr>
  </w:style>
  <w:style w:type="character" w:styleId="MenoPendente">
    <w:name w:val="Unresolved Mention"/>
    <w:basedOn w:val="Fontepargpadro"/>
    <w:uiPriority w:val="99"/>
    <w:semiHidden/>
    <w:unhideWhenUsed/>
    <w:rsid w:val="00994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ohchr.org/sites/default/files/documents/issues/discrimination/lgbt/BackgroundNoteHumanRightsViolationsagainstIntersexPeople_PR.pdf" TargetMode="External"/><Relationship Id="rId26" Type="http://schemas.openxmlformats.org/officeDocument/2006/relationships/hyperlink" Target="https://stillmed.olympics.com/media/Documents/Beyond-the-Games/Human-Rights/IOC-Framework-Fairness-Inclusion-Non-discrimination-2021.pdf" TargetMode="External"/><Relationship Id="rId3" Type="http://schemas.openxmlformats.org/officeDocument/2006/relationships/styles" Target="styles.xml"/><Relationship Id="rId21" Type="http://schemas.openxmlformats.org/officeDocument/2006/relationships/hyperlink" Target="http://www.ohchr.org/EN/NewsEvents/Pages/DisplayNews.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ooks.scielo.org/id/k8vc4/pdf/aguiao-9788575115152.pdf" TargetMode="External"/><Relationship Id="rId17" Type="http://schemas.openxmlformats.org/officeDocument/2006/relationships/image" Target="media/image5.png"/><Relationship Id="rId25" Type="http://schemas.openxmlformats.org/officeDocument/2006/relationships/hyperlink" Target="https://admin.cob.org.br/uploads/1692_b65f9a809b_0d35636dd8.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aliancalgbti.org.br/relatorio-pesquisa-nacional-sobre-o-bullying/" TargetMode="External"/><Relationship Id="rId29" Type="http://schemas.openxmlformats.org/officeDocument/2006/relationships/hyperlink" Target="http://pepsic.bvsalud.org/scielo.php?script=sci_arttext&amp;pid=S1519-549X2015000300008&amp;lng=pt&amp;nrm=i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participamaisbrasil/anais-da-2-conferencia-lgbtqia1" TargetMode="External"/><Relationship Id="rId24" Type="http://schemas.openxmlformats.org/officeDocument/2006/relationships/hyperlink" Target="https://plataformarpu.org.br/storage/publications_documents/Dupa18p20S3FPfeg4dXedBdcuiWgKtqbaRjphu0m.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2.senado.leg.br/bdsf/bitstream/handle/id/70444/Constituicao_Estado_MT.pdf?sequence=5&amp;isAllowed=y" TargetMode="External"/><Relationship Id="rId23" Type="http://schemas.openxmlformats.org/officeDocument/2006/relationships/hyperlink" Target="https://www.gov.br/aids/pt-br/central-de-conteudo/publicacoes/2025/resumo-das-acoes-e-prioridades-do-dathi.pdf" TargetMode="External"/><Relationship Id="rId28" Type="http://schemas.openxmlformats.org/officeDocument/2006/relationships/hyperlink" Target="https://www.corteidh.or.cr/docs/opiniones/seriea_24_esp.pdf" TargetMode="External"/><Relationship Id="rId10" Type="http://schemas.openxmlformats.org/officeDocument/2006/relationships/hyperlink" Target="https://www.gov.br/mdh/pt-br/acesso-a-informacao/participacao-social/old/cncd-lgbt/conferencias/anais-1a-conferencia-nacional-lgbt-2/view" TargetMode="External"/><Relationship Id="rId19" Type="http://schemas.openxmlformats.org/officeDocument/2006/relationships/hyperlink" Target="https://agenciabrasil.ebc.com.br/geral/noticia/2023-06/junho-de-2013-entenda-o-cenario-de-insatisfacao-que-levou-a-protestos" TargetMode="External"/><Relationship Id="rId31" Type="http://schemas.openxmlformats.org/officeDocument/2006/relationships/hyperlink" Target="https://www.cnj.jus.br/wp-content/uploads/2022/08/relatorio-pesquisa-discriminacao-e-violencia-contra-lgbtqia.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gov.br/anexos/uploads/download/filename_novo/1460/462b6783ff2df0ed928ceb79410fc06b.pdf" TargetMode="External"/><Relationship Id="rId22" Type="http://schemas.openxmlformats.org/officeDocument/2006/relationships/hyperlink" Target="https://www.acnur.org/br/sites/br/files/2025-01/2017-cartilha-informativa-protecao-lgbti.pdf" TargetMode="External"/><Relationship Id="rId27" Type="http://schemas.openxmlformats.org/officeDocument/2006/relationships/hyperlink" Target="https://www.oas.org/pt/cidh/jsForm/?File=/pt/cidh/prensa/notas/2023/190.asp" TargetMode="External"/><Relationship Id="rId30" Type="http://schemas.openxmlformats.org/officeDocument/2006/relationships/hyperlink" Target="https://www.ohchr.org/sites/default/files/documents/issues/discrimination/lgbt/BackgroundNoteHumanRightsViolationsagainstIntersexPeople_P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36</Pages>
  <Words>12815</Words>
  <Characters>69204</Characters>
  <Application>Microsoft Office Word</Application>
  <DocSecurity>0</DocSecurity>
  <Lines>576</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81856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Rogerio Barros Sganzerla</cp:lastModifiedBy>
  <cp:revision>11</cp:revision>
  <dcterms:created xsi:type="dcterms:W3CDTF">2013-12-23T23:15:00Z</dcterms:created>
  <dcterms:modified xsi:type="dcterms:W3CDTF">2026-03-31T22:27:00Z</dcterms:modified>
  <cp:category/>
</cp:coreProperties>
</file>