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EB4F" w14:textId="77777777" w:rsidR="00A24043" w:rsidRDefault="00000000">
      <w:pPr>
        <w:spacing w:after="240" w:line="360" w:lineRule="auto"/>
        <w:jc w:val="center"/>
        <w:rPr>
          <w:b/>
          <w:szCs w:val="24"/>
          <w:lang w:val="pt-BR"/>
        </w:rPr>
      </w:pPr>
      <w:r w:rsidRPr="00FE2937">
        <w:rPr>
          <w:b/>
          <w:szCs w:val="24"/>
          <w:lang w:val="pt-BR"/>
        </w:rPr>
        <w:t>PROPOSTA DE POLÍTICA PÚBLICA JUDICIÁRIA DE LEILÕES UNIFICADOS A PARTIR DAS EVIDÊNCIAS DA PESQUISA-AÇÃO SOBRE O ATO CONCERTADO N. 01/2024</w:t>
      </w:r>
    </w:p>
    <w:p w14:paraId="65DD369D" w14:textId="77777777" w:rsidR="00F1076B" w:rsidRPr="00FE2937" w:rsidRDefault="00F1076B">
      <w:pPr>
        <w:spacing w:after="240" w:line="360" w:lineRule="auto"/>
        <w:jc w:val="center"/>
        <w:rPr>
          <w:szCs w:val="24"/>
          <w:lang w:val="pt-BR"/>
        </w:rPr>
      </w:pPr>
    </w:p>
    <w:p w14:paraId="5C6537EC" w14:textId="2EF1A726" w:rsidR="00A24043" w:rsidRPr="00FE2937" w:rsidRDefault="00000000" w:rsidP="00FE2937">
      <w:pPr>
        <w:spacing w:after="0" w:line="360" w:lineRule="auto"/>
        <w:jc w:val="both"/>
        <w:rPr>
          <w:lang w:val="pt-BR"/>
        </w:rPr>
      </w:pPr>
      <w:r w:rsidRPr="00FE2937">
        <w:rPr>
          <w:b/>
          <w:lang w:val="pt-BR"/>
        </w:rPr>
        <w:t>Resumo:</w:t>
      </w:r>
      <w:r w:rsidRPr="00FE2937">
        <w:rPr>
          <w:lang w:val="pt-BR"/>
        </w:rPr>
        <w:t xml:space="preserve"> Este estudo analisa o gargalo da fase de expropriação no processo civil brasileiro e seus impactos na eficiência da prestação jurisdicional. Parte-se dos diagnósticos dos relatórios “Justiça em Números” do Conselho Nacional de Justiça (CNJ), os quais apontam que mais da metade dos casos pendentes de julgamento concentra-se na fase de execução (52,3% em 2022; 56,5% em 2023; 55,5% em 2024), do Relatório Anual CNJ/2009, que recomendou “Aperfeiçoar os mecanismos de alienação judicial de bens (leilão eletrônico, leilão unificado etc.)” apreendidos nos processos criminais (CNJ, 2009, p. 297) e do relatório de pesquisa do Instituto de Ensino e Pesquisa (Insper) que concluiu ter havido “expropriação de bens em apenas 2% das execuções fiscais” e “que o modelo de cobrança por execução fiscal é uma das causas do elevado contencioso judicial tributário” (CNJ, 2022, p. 273). A pesquisa adota uma abordagem metodológica qualitativa e descritivo-analítica, fundamentada em revisão bibliográfica sobre cooperação judiciária, direito e políticas públicas, articulando categorias como capacidade estatal, arranjos jurídico-institucionais, governança e inovação no setor público, alinhada à pesquisa-ação sobre o Ato Concertado n. 01/2024 da Comarca de Pau dos Ferros/RN. Os resultados preliminares do projeto-piloto demonstram o êxito da centralização local dos leilões judiciais, alcançando a arrematação de todos os lotes de bens criminais ofertados e a alienação quase integral dos bens cíveis, o que ampliou a arrecadação e racionalizou os trabalhos cartorários. Contudo, a experiência evidenciou limitações estruturais do modelo, em razão da dependência de adesão voluntária dos magistrados e da insuficiência de escala em comarcas de vara única para a formação de lotes atrativos. Conclui-se pela necessidade de implementação de uma política pública judiciária nacional, coordenada pelo CNJ, com governança multinível, Núcleos de Expropriação e plataforma eletrônica unificada, capaz de padronizar procedimentos e elevar a efetividade da tutela executiva.</w:t>
      </w:r>
    </w:p>
    <w:p w14:paraId="321F4D40" w14:textId="77777777" w:rsidR="00A24043" w:rsidRPr="00FE2937" w:rsidRDefault="00000000" w:rsidP="00FE2937">
      <w:pPr>
        <w:spacing w:after="120" w:line="360" w:lineRule="auto"/>
        <w:jc w:val="both"/>
        <w:rPr>
          <w:lang w:val="pt-BR"/>
        </w:rPr>
      </w:pPr>
      <w:r w:rsidRPr="00FE2937">
        <w:rPr>
          <w:b/>
          <w:lang w:val="pt-BR"/>
        </w:rPr>
        <w:t>Palavras-chave:</w:t>
      </w:r>
      <w:r w:rsidRPr="00FE2937">
        <w:rPr>
          <w:lang w:val="pt-BR"/>
        </w:rPr>
        <w:t xml:space="preserve"> política pública judiciária; cooperação judiciária; governança multinível; leilão judicial unificado.</w:t>
      </w:r>
    </w:p>
    <w:p w14:paraId="75E35508" w14:textId="07A61C7F" w:rsidR="00A24043" w:rsidRDefault="00000000" w:rsidP="00FE2937">
      <w:pPr>
        <w:spacing w:after="0" w:line="360" w:lineRule="auto"/>
        <w:jc w:val="both"/>
      </w:pPr>
      <w:r>
        <w:rPr>
          <w:b/>
        </w:rPr>
        <w:t>Abstract:</w:t>
      </w:r>
      <w:r>
        <w:t xml:space="preserve"> This study analyzes the bottleneck of the expropriation phase in Brazilian civil proceedings and its impact on the efficiency of judicial services. It is based on the findings of the “Justice in Numbers” reports of the National Council of Justice (CNJ), which point out </w:t>
      </w:r>
      <w:r>
        <w:lastRenderedPageBreak/>
        <w:t>that more than half of the cases pending judgment are concentrated in the enforcement phase (52.3% in 2022; 56.5% in 2023; 55.5% in 2024), the CNJ/2009 Annual Report, which recommended “Improving the mechanisms for judicial disposal of assets (electronic auction, unified auction, etc.)” seized in criminal proceedings (CNJ, 2009, p. 297) and the research report by the Institute of Education and Research (Insper), which concluded that there had been “expropriation of assets in only 2% of tax foreclosures” and “that the tax foreclosure collection model is one of the causes of high tax litigation” (CNJ, 2022, p. 273). The research adopts a qualitative and descriptive-analytical methodological approach, based on a literature review on judicial cooperation, law, and public policy, articulating categories such as state capacity, legal-institutional arrangements, governance, and innovation in the public sector, aligned with action research on Concerted Act No. 01/2024 of the District of Pau dos Ferros/RN. The preliminary results of the pilot project demonstrate the success of the local centralization of judicial auctions, achieving the sale of all lots of criminal assets offered and the almost complete disposal of civil assets, which increased revenue and streamlined registry work. However, the experience highlighted structural limitations of the model, due to its dependence on the voluntary participation of magistrates and the insufficient scale in single-court districts to form attractive lots. It is concluded that there is a need to implement a national judicial public policy, coordinated by the CNJ, with multilevel governance, Expropriation Centers, and a unified electronic platform, capable of standardizing procedures and increasing the effectiveness of executive protection.</w:t>
      </w:r>
    </w:p>
    <w:p w14:paraId="2D420A5F" w14:textId="0DA83B49" w:rsidR="00A24043" w:rsidRDefault="00000000" w:rsidP="00FE2937">
      <w:pPr>
        <w:spacing w:after="240" w:line="360" w:lineRule="auto"/>
        <w:jc w:val="both"/>
      </w:pPr>
      <w:r>
        <w:rPr>
          <w:b/>
        </w:rPr>
        <w:t>Keywords:</w:t>
      </w:r>
      <w:r>
        <w:t xml:space="preserve"> judicial public policy; judicial cooperation; multilevel governance; unified judicial auction.</w:t>
      </w:r>
    </w:p>
    <w:p w14:paraId="2C194E02" w14:textId="77777777" w:rsidR="002F4027" w:rsidRDefault="002F4027" w:rsidP="00FE2937">
      <w:pPr>
        <w:spacing w:after="240" w:line="360" w:lineRule="auto"/>
        <w:jc w:val="both"/>
      </w:pPr>
    </w:p>
    <w:p w14:paraId="007CEFCB" w14:textId="77777777" w:rsidR="00A24043" w:rsidRPr="00FE2937" w:rsidRDefault="00000000" w:rsidP="00FE2937">
      <w:pPr>
        <w:spacing w:after="0" w:line="360" w:lineRule="auto"/>
        <w:jc w:val="right"/>
        <w:rPr>
          <w:lang w:val="pt-BR"/>
        </w:rPr>
      </w:pPr>
      <w:r w:rsidRPr="00FE2937">
        <w:rPr>
          <w:b/>
          <w:bCs/>
          <w:lang w:val="pt-BR"/>
        </w:rPr>
        <w:t>Instituição onde está sendo realizada a pesquisa</w:t>
      </w:r>
      <w:r w:rsidRPr="00FE2937">
        <w:rPr>
          <w:lang w:val="pt-BR"/>
        </w:rPr>
        <w:t>: Universidade Federal de Goiás</w:t>
      </w:r>
    </w:p>
    <w:p w14:paraId="5408009B" w14:textId="77777777" w:rsidR="00A24043" w:rsidRPr="00FE2937" w:rsidRDefault="00000000" w:rsidP="00FE2937">
      <w:pPr>
        <w:spacing w:after="240" w:line="360" w:lineRule="auto"/>
        <w:jc w:val="right"/>
        <w:rPr>
          <w:lang w:val="pt-BR"/>
        </w:rPr>
      </w:pPr>
      <w:r w:rsidRPr="00FE2937">
        <w:rPr>
          <w:b/>
          <w:bCs/>
          <w:lang w:val="pt-BR"/>
        </w:rPr>
        <w:t>Eixo temático</w:t>
      </w:r>
      <w:r w:rsidRPr="00FE2937">
        <w:rPr>
          <w:lang w:val="pt-BR"/>
        </w:rPr>
        <w:t>: Tema 3 - Abordagem DPP nos Campos Disciplinares do Direito</w:t>
      </w:r>
    </w:p>
    <w:p w14:paraId="72B8C264" w14:textId="77777777" w:rsidR="002E0F5E" w:rsidRDefault="002E0F5E">
      <w:pPr>
        <w:spacing w:before="120" w:after="120" w:line="360" w:lineRule="auto"/>
        <w:rPr>
          <w:b/>
          <w:lang w:val="pt-BR"/>
        </w:rPr>
      </w:pPr>
    </w:p>
    <w:p w14:paraId="520C2D8C" w14:textId="46ACEACE" w:rsidR="00A24043" w:rsidRPr="00FE2937" w:rsidRDefault="00000000">
      <w:pPr>
        <w:spacing w:before="120" w:after="120" w:line="360" w:lineRule="auto"/>
        <w:rPr>
          <w:lang w:val="pt-BR"/>
        </w:rPr>
      </w:pPr>
      <w:r w:rsidRPr="00FE2937">
        <w:rPr>
          <w:b/>
          <w:lang w:val="pt-BR"/>
        </w:rPr>
        <w:t>1 INTRODUÇÃO</w:t>
      </w:r>
    </w:p>
    <w:p w14:paraId="383C471A" w14:textId="77777777" w:rsidR="00A24043" w:rsidRPr="00FE2937" w:rsidRDefault="00000000">
      <w:pPr>
        <w:spacing w:after="0" w:line="360" w:lineRule="auto"/>
        <w:ind w:firstLine="709"/>
        <w:jc w:val="both"/>
        <w:rPr>
          <w:lang w:val="pt-BR"/>
        </w:rPr>
      </w:pPr>
      <w:r w:rsidRPr="00FE2937">
        <w:rPr>
          <w:lang w:val="pt-BR"/>
        </w:rPr>
        <w:t>A Emenda Constitucional n. 45/2004 positivou a eficiência jurisdicional ao inserir no art. 5º, LXXVIII da Constituição Federal (CF), dentre os direitos fundamentais, a duração razoável do processo, vetor que, na forma do art. 4º do Código de Processo Civil de 2015 (CPC), projeta-se sobre a fase satisfativa (Brasil, 2015).</w:t>
      </w:r>
    </w:p>
    <w:p w14:paraId="7B8071DB" w14:textId="77777777" w:rsidR="00A24043" w:rsidRPr="00FE2937" w:rsidRDefault="00000000">
      <w:pPr>
        <w:spacing w:after="0" w:line="360" w:lineRule="auto"/>
        <w:ind w:firstLine="709"/>
        <w:jc w:val="both"/>
        <w:rPr>
          <w:lang w:val="pt-BR"/>
        </w:rPr>
      </w:pPr>
      <w:r w:rsidRPr="00FE2937">
        <w:rPr>
          <w:lang w:val="pt-BR"/>
        </w:rPr>
        <w:lastRenderedPageBreak/>
        <w:t>A pesquisa justifica-se pela urgência de enfrentar um dos principais problemas estruturais do Judiciário, conforme diagnosticado pelos relatórios “Justiça em Números” do CNJ dos anos de 2023 a 2025, os quais apontam os seguintes números de processos pendentes na fase de execução em relação ao total de casos em tramitação: a) ano 2022: 52,3% dos processos pendentes (CNJ, 2023, p. 143); b) ano 2023: 56,5% dos processos pendentes (CNJ, 2024, p. 188); c) ano 2024: 55,5% dos processos pendentes no 1º grau (CNJ, 2025, p. 321).</w:t>
      </w:r>
    </w:p>
    <w:p w14:paraId="099CCE5B" w14:textId="77777777" w:rsidR="00A24043" w:rsidRPr="00FE2937" w:rsidRDefault="00000000">
      <w:pPr>
        <w:spacing w:after="0" w:line="360" w:lineRule="auto"/>
        <w:ind w:firstLine="709"/>
        <w:jc w:val="both"/>
        <w:rPr>
          <w:lang w:val="pt-BR"/>
        </w:rPr>
      </w:pPr>
      <w:r w:rsidRPr="00FE2937">
        <w:rPr>
          <w:lang w:val="pt-BR"/>
        </w:rPr>
        <w:t>Situação semelhante é identificada na alienação judicial de bens oriundos de processos criminais, cujo problema foi apontado no Relatório CNJ/2009, que recomendou “Aperfeiçoar os mecanismos de alienação judicial de bens (leilão eletrônico, leilão unificado etc.)” apreendidos nos processos criminais (CNJ, 2009, p. 297), fato retratado nos pátios das delegacias e depósitos dos fóruns lotados de bens apreendidos. Na mesma toada, o relatório de pesquisa desenvolvido pelo Instituto de Ensino e Pesquisa (Insper), a respeito do “Diagnóstico do Contencioso Judicial Tributário Brasileiro” aponta que a fase de expropriação de bens nas execuções fiscais apresenta baixíssima efetividade, ao concluir “que houve expropriação de bens em apenas 2% das execuções fiscais” (CNJ, 2022, p. 273).</w:t>
      </w:r>
    </w:p>
    <w:p w14:paraId="5FA52CD5" w14:textId="77777777" w:rsidR="00A24043" w:rsidRPr="00FE2937" w:rsidRDefault="00000000">
      <w:pPr>
        <w:spacing w:after="0" w:line="360" w:lineRule="auto"/>
        <w:ind w:firstLine="709"/>
        <w:jc w:val="both"/>
        <w:rPr>
          <w:lang w:val="pt-BR"/>
        </w:rPr>
      </w:pPr>
      <w:r w:rsidRPr="00FE2937">
        <w:rPr>
          <w:lang w:val="pt-BR"/>
        </w:rPr>
        <w:t>A delimitação epistemológica da pesquisa segue uma perspectiva interdisciplinar fundamentada, de um lado, na teoria da cooperação judiciária nacional, desenvolvida por autores como Didier Jr. (2021) e Ferreira (2019), e, de outro, nos conceitos de políticas públicas formulados por Bucci (2013), segundo os quais políticas públicas são arranjos jurídico-institucionais voltados à solução de problemas coletivos, demandando articulação entre instituições e atores estatais. Dessa forma, a relevância científica decorre da necessidade de estabelecer um diálogo entre o modelo de governança multinível e a cooperação por provocação de instâncias da administração judiciária a fim de dar efetividade à política pública judiciária de alienação de bens.</w:t>
      </w:r>
    </w:p>
    <w:p w14:paraId="5EB5D4EC" w14:textId="77777777" w:rsidR="00A24043" w:rsidRDefault="00000000">
      <w:pPr>
        <w:spacing w:after="0" w:line="360" w:lineRule="auto"/>
        <w:ind w:firstLine="709"/>
        <w:jc w:val="both"/>
        <w:rPr>
          <w:lang w:val="pt-BR"/>
        </w:rPr>
      </w:pPr>
      <w:r w:rsidRPr="00FE2937">
        <w:rPr>
          <w:lang w:val="pt-BR"/>
        </w:rPr>
        <w:t>O artigo está estruturado em duas partes, além da introdução e das conclusões. A primeira parte discorre a respeito das ações e arranjos que o Poder Judiciário deve adotar, como policymaker, para a implantação de políticas públicas judiciárias, dispondo ainda sobre modelos de governança e inovação institucional via alienação unificada. Por sua vez, a segunda parte aborda a pesquisa-ação sobre o Ato Concertado n. 01/2024, visando à construção de uma política pública judiciária para o enfrentamento do problema público do gargalo da execução.</w:t>
      </w:r>
    </w:p>
    <w:p w14:paraId="00B65102" w14:textId="77777777" w:rsidR="00A24043" w:rsidRPr="00FE2937" w:rsidRDefault="00000000">
      <w:pPr>
        <w:spacing w:before="240" w:after="120" w:line="360" w:lineRule="auto"/>
        <w:rPr>
          <w:lang w:val="pt-BR"/>
        </w:rPr>
      </w:pPr>
      <w:r w:rsidRPr="00FE2937">
        <w:rPr>
          <w:b/>
          <w:lang w:val="pt-BR"/>
        </w:rPr>
        <w:t>2 PRINCIPAIS MÉTODOS EMPREGADOS</w:t>
      </w:r>
    </w:p>
    <w:p w14:paraId="6D4E6316" w14:textId="77777777" w:rsidR="00A24043" w:rsidRDefault="00000000">
      <w:pPr>
        <w:spacing w:after="0" w:line="360" w:lineRule="auto"/>
        <w:ind w:firstLine="709"/>
        <w:jc w:val="both"/>
        <w:rPr>
          <w:lang w:val="pt-BR"/>
        </w:rPr>
      </w:pPr>
      <w:r w:rsidRPr="00FE2937">
        <w:rPr>
          <w:lang w:val="pt-BR"/>
        </w:rPr>
        <w:lastRenderedPageBreak/>
        <w:t>Quanto à metodologia, adota-se uma abordagem qualitativa, descritivo-analítica e fundada em pesquisa bibliográfica, mediante construção do referencial teórico com base na leitura de textos sobre políticas públicas judiciárias, capacidade estatal, arranjos institucionais, cooperação e inovação, com a extração de conceitos e organização das ideias que permitam conectar os argumentos. Ademais, o trabalho discorrerá a respeito da pesquisa-ação sobre o Ato Concertado n. 01/2024 da Comarca de Pau dos Ferros/RN.</w:t>
      </w:r>
    </w:p>
    <w:p w14:paraId="45F4D44A" w14:textId="4A24BF88" w:rsidR="002F4027" w:rsidRDefault="002F4027">
      <w:pPr>
        <w:spacing w:after="0" w:line="360" w:lineRule="auto"/>
        <w:ind w:firstLine="709"/>
        <w:jc w:val="both"/>
        <w:rPr>
          <w:lang w:val="pt-BR"/>
        </w:rPr>
      </w:pPr>
      <w:r w:rsidRPr="002F4027">
        <w:rPr>
          <w:lang w:val="pt-BR"/>
        </w:rPr>
        <w:t xml:space="preserve">A pesquisa-ação caracteriza-se pela integração entre produção de conhecimento e intervenção prática, configurando-se como estratégia metodológica voltada à transformação de realidades concretas. Koerich et al. conceituam a pesquisa-ação como processo metodológico empírico que envolve a identificação do problema em determinado contexto social ou institucional, o levantamento e análise de dados com os participantes, a formulação de soluções e a intervenção articulada à investigação (Koerich et al., 2009, p. 718). Na mesma linha, </w:t>
      </w:r>
      <w:proofErr w:type="spellStart"/>
      <w:r w:rsidRPr="002F4027">
        <w:rPr>
          <w:lang w:val="pt-BR"/>
        </w:rPr>
        <w:t>Thiollent</w:t>
      </w:r>
      <w:proofErr w:type="spellEnd"/>
      <w:r w:rsidRPr="002F4027">
        <w:rPr>
          <w:lang w:val="pt-BR"/>
        </w:rPr>
        <w:t xml:space="preserve"> sustenta que a pesquisa-ação é desenvolvida “em estreita associação com uma ação ou com a resolução de um problema coletivo”, exigindo a participação ativa dos sujeitos implicados (</w:t>
      </w:r>
      <w:proofErr w:type="spellStart"/>
      <w:r w:rsidRPr="002F4027">
        <w:rPr>
          <w:lang w:val="pt-BR"/>
        </w:rPr>
        <w:t>Thiollent</w:t>
      </w:r>
      <w:proofErr w:type="spellEnd"/>
      <w:r w:rsidRPr="002F4027">
        <w:rPr>
          <w:lang w:val="pt-BR"/>
        </w:rPr>
        <w:t>, 2025, p. 32). Trata-se, portanto, de método que rompe com a separação rígida entre sujeito e objeto da pesquisa, estruturando-se como um processo reflexivo-interventivo voltado à mudança institucional.</w:t>
      </w:r>
    </w:p>
    <w:p w14:paraId="3E576218" w14:textId="1CF61635" w:rsidR="002F4027" w:rsidRDefault="00747C30">
      <w:pPr>
        <w:spacing w:after="0" w:line="360" w:lineRule="auto"/>
        <w:ind w:firstLine="709"/>
        <w:jc w:val="both"/>
        <w:rPr>
          <w:lang w:val="pt-BR"/>
        </w:rPr>
      </w:pPr>
      <w:r w:rsidRPr="00747C30">
        <w:rPr>
          <w:lang w:val="pt-BR"/>
        </w:rPr>
        <w:t xml:space="preserve">A implicação direta do pesquisador no problema investigado constitui elemento essencial da pesquisa-ação. </w:t>
      </w:r>
      <w:proofErr w:type="spellStart"/>
      <w:r w:rsidRPr="00747C30">
        <w:rPr>
          <w:lang w:val="pt-BR"/>
        </w:rPr>
        <w:t>Engel</w:t>
      </w:r>
      <w:proofErr w:type="spellEnd"/>
      <w:r w:rsidRPr="00747C30">
        <w:rPr>
          <w:lang w:val="pt-BR"/>
        </w:rPr>
        <w:t xml:space="preserve"> ressalta que a pesquisa-ação é um processo de aprendizagem para todos os participantes, superando a separação entre sujeito e objeto de pesquisa e destacando, como característica essencial, o papel atribuído ao pesquisador de praticante social que intervém na situação para verificar se um novo procedimento é eficaz (</w:t>
      </w:r>
      <w:proofErr w:type="spellStart"/>
      <w:r w:rsidRPr="00747C30">
        <w:rPr>
          <w:lang w:val="pt-BR"/>
        </w:rPr>
        <w:t>Engel</w:t>
      </w:r>
      <w:proofErr w:type="spellEnd"/>
      <w:r w:rsidRPr="00747C30">
        <w:rPr>
          <w:lang w:val="pt-BR"/>
        </w:rPr>
        <w:t>, 2000). No caso do Ato Concertado n. 01/2024, o pesquisador é Juiz da 1ª Vara da Comarca de Pau dos Ferros e Coordenador da Secretaria Unificada, participando diretamente da formulação e execução da medida, o que caracteriza o estudo como uma investigação comprometida com a transformação da realidade institucional observada.</w:t>
      </w:r>
    </w:p>
    <w:p w14:paraId="56FCF709" w14:textId="0C13DF48" w:rsidR="00747C30" w:rsidRDefault="00747C30">
      <w:pPr>
        <w:spacing w:after="0" w:line="360" w:lineRule="auto"/>
        <w:ind w:firstLine="709"/>
        <w:jc w:val="both"/>
        <w:rPr>
          <w:lang w:val="pt-BR"/>
        </w:rPr>
      </w:pPr>
      <w:r>
        <w:rPr>
          <w:lang w:val="pt-BR"/>
        </w:rPr>
        <w:t xml:space="preserve">Ademais, o </w:t>
      </w:r>
      <w:r w:rsidRPr="00747C30">
        <w:rPr>
          <w:lang w:val="pt-BR"/>
        </w:rPr>
        <w:t xml:space="preserve">Ato Concertado n. 01/2024 representa uma intervenção deliberada destinada a enfrentar o congestionamento da fase de expropriação de bens penhorados. O diagnóstico institucional revelou morosidade na alienação judicial, com acúmulo de bens aguardando hasta pública por diversos anos. À luz da pesquisa-ação, esse diagnóstico corresponde à etapa inicial de problematização coletiva da prática, conforme descreve </w:t>
      </w:r>
      <w:proofErr w:type="spellStart"/>
      <w:r w:rsidRPr="00747C30">
        <w:rPr>
          <w:lang w:val="pt-BR"/>
        </w:rPr>
        <w:t>Thiollent</w:t>
      </w:r>
      <w:proofErr w:type="spellEnd"/>
      <w:r w:rsidRPr="00747C30">
        <w:rPr>
          <w:lang w:val="pt-BR"/>
        </w:rPr>
        <w:t xml:space="preserve"> ao afirmar que “a participação das pessoas implicadas nos problemas investigados é absolutamente necessária” (</w:t>
      </w:r>
      <w:proofErr w:type="spellStart"/>
      <w:r w:rsidRPr="00747C30">
        <w:rPr>
          <w:lang w:val="pt-BR"/>
        </w:rPr>
        <w:t>Thiollent</w:t>
      </w:r>
      <w:proofErr w:type="spellEnd"/>
      <w:r w:rsidRPr="00747C30">
        <w:rPr>
          <w:lang w:val="pt-BR"/>
        </w:rPr>
        <w:t xml:space="preserve">, 2025, p. 33). Assim, a edição do Ato Concertado </w:t>
      </w:r>
      <w:r w:rsidRPr="00747C30">
        <w:rPr>
          <w:lang w:val="pt-BR"/>
        </w:rPr>
        <w:lastRenderedPageBreak/>
        <w:t>emerge como resposta institucional construída a partir da análise crítica das rotinas processuais vigentes.</w:t>
      </w:r>
    </w:p>
    <w:p w14:paraId="7FDFD604" w14:textId="7AA61AC3" w:rsidR="00747C30" w:rsidRDefault="00747C30">
      <w:pPr>
        <w:spacing w:after="0" w:line="360" w:lineRule="auto"/>
        <w:ind w:firstLine="709"/>
        <w:jc w:val="both"/>
        <w:rPr>
          <w:lang w:val="pt-BR"/>
        </w:rPr>
      </w:pPr>
      <w:r w:rsidRPr="00747C30">
        <w:rPr>
          <w:lang w:val="pt-BR"/>
        </w:rPr>
        <w:t>Após a identificação do problema, a metodologia exige a elaboração de um plano de ação voltado à mudança concreta, com a produção de conhecimento sobre a realidade investigada (Koerich et al., 2009). Nesse sentido, o Ato Concertado n. 01/2024 possui finalidades práticas (aumentar a efetividade da fase de expropriação) e finalidades teóricas, na medida em que busca compreender como a cooperação judiciária e a coordenação institucional podem melhorar o desempenho do Judiciário. A intervenção não se limita a realizar um diagnóstico teórico. Pretende instituir um arranjo institucional concreto orientado à eficiência operacional do Judiciário. A execução do Ato Concertado configura a fase interventiva propriamente dita, na qual pesquisa e prática se realizam simultaneamente.</w:t>
      </w:r>
    </w:p>
    <w:p w14:paraId="0E94D80F" w14:textId="2D19B636" w:rsidR="00747C30" w:rsidRDefault="00747C30">
      <w:pPr>
        <w:spacing w:after="0" w:line="360" w:lineRule="auto"/>
        <w:ind w:firstLine="709"/>
        <w:jc w:val="both"/>
        <w:rPr>
          <w:lang w:val="pt-BR"/>
        </w:rPr>
      </w:pPr>
      <w:r w:rsidRPr="00747C30">
        <w:rPr>
          <w:lang w:val="pt-BR"/>
        </w:rPr>
        <w:t>A pesquisa-ação se desenvolve em ciclos de planejamento, ação, observação e reflexão, permitindo ajustes sucessivos na prática institucional (Tripp, 2005). A implementação do leilão judicial unificado, com monitoramento dos resultados alcançados (número de bens alienados, redução do tempo médio de expropriação e diminuição de custos), permite que o pesquisador avalie empiricamente os efeitos da medida e promova aperfeiçoamentos contínuos. A prática institucional converte-se, assim, em campo de produção de conhecimento aplicado.</w:t>
      </w:r>
    </w:p>
    <w:p w14:paraId="39A0E91C" w14:textId="099E5959" w:rsidR="00747C30" w:rsidRDefault="00747C30">
      <w:pPr>
        <w:spacing w:after="0" w:line="360" w:lineRule="auto"/>
        <w:ind w:firstLine="709"/>
        <w:jc w:val="both"/>
        <w:rPr>
          <w:lang w:val="pt-BR"/>
        </w:rPr>
      </w:pPr>
      <w:r w:rsidRPr="00747C30">
        <w:rPr>
          <w:lang w:val="pt-BR"/>
        </w:rPr>
        <w:t>A dimensão coletiva da implementação do Ato Concertado reafirma o princípio participativo inerente à pesquisa-ação. A concertação entre magistrados da Comarca de Pau dos Ferros evidencia um arranjo colaborativo que ultrapassa a atuação isolada de cada unidade jurisdicional, instaurando um mecanismo de coordenação interna voltado à racionalização da alienação judicial. Essa cooperação institucional materializa, no plano metodológico, o pressuposto de que a transformação da prática decorre de ação coletiva refletida.</w:t>
      </w:r>
    </w:p>
    <w:p w14:paraId="2C4AE505" w14:textId="011B61AB" w:rsidR="00747C30" w:rsidRPr="00FE2937" w:rsidRDefault="00747C30">
      <w:pPr>
        <w:spacing w:after="0" w:line="360" w:lineRule="auto"/>
        <w:ind w:firstLine="709"/>
        <w:jc w:val="both"/>
        <w:rPr>
          <w:lang w:val="pt-BR"/>
        </w:rPr>
      </w:pPr>
      <w:r w:rsidRPr="00747C30">
        <w:rPr>
          <w:lang w:val="pt-BR"/>
        </w:rPr>
        <w:t xml:space="preserve">A compreensão do Ato Concertado n. 01/2024 como pesquisa-ação permite, portanto, enquadrar o estudo de caso como uma investigação qualitativa interventiva, na qual o pesquisador participa ativamente do processo de mudança institucional. Dessa forma, a pesquisa-ação constitui ferramenta metodológica apta a articular teoria e prática “por meio de uma ação que visa à transformação de uma determinada realidade” (Koerich et al., 2009, p. 719). Ao diagnosticar o problema do congestionamento na fase de expropriação e implementar um mecanismo de leilão judicial unificado por meio de cooperação judiciária, o pesquisador e os demais magistrados assumem postura investigativa comprometida com a melhoria do desempenho jurisdicional. Desse modo, o Ato Concertado n. 01/2024 configura </w:t>
      </w:r>
      <w:r w:rsidRPr="00747C30">
        <w:rPr>
          <w:lang w:val="pt-BR"/>
        </w:rPr>
        <w:lastRenderedPageBreak/>
        <w:t>experiência concreta de pesquisa-ação no âmbito do Poder Judiciário, em que a produção do conhecimento se realiza simultaneamente à inovação institucional.</w:t>
      </w:r>
    </w:p>
    <w:p w14:paraId="733C2705" w14:textId="1EE0B2CC" w:rsidR="00A24043" w:rsidRPr="00FE2937" w:rsidRDefault="00000000">
      <w:pPr>
        <w:spacing w:before="240" w:after="120" w:line="360" w:lineRule="auto"/>
        <w:rPr>
          <w:lang w:val="pt-BR"/>
        </w:rPr>
      </w:pPr>
      <w:r w:rsidRPr="00FE2937">
        <w:rPr>
          <w:b/>
          <w:lang w:val="pt-BR"/>
        </w:rPr>
        <w:t>3 FUNDAMENTAÇÃO TEÓRICA</w:t>
      </w:r>
    </w:p>
    <w:p w14:paraId="65B1E313" w14:textId="77777777" w:rsidR="00A24043" w:rsidRPr="00FE2937" w:rsidRDefault="00000000">
      <w:pPr>
        <w:spacing w:before="120" w:after="120" w:line="360" w:lineRule="auto"/>
        <w:rPr>
          <w:lang w:val="pt-BR"/>
        </w:rPr>
      </w:pPr>
      <w:r w:rsidRPr="00FE2937">
        <w:rPr>
          <w:b/>
          <w:lang w:val="pt-BR"/>
        </w:rPr>
        <w:t xml:space="preserve">3.1 O Poder Judiciário como </w:t>
      </w:r>
      <w:r w:rsidRPr="00747C30">
        <w:rPr>
          <w:b/>
          <w:i/>
          <w:iCs/>
          <w:lang w:val="pt-BR"/>
        </w:rPr>
        <w:t>policymaker</w:t>
      </w:r>
    </w:p>
    <w:p w14:paraId="74613E45" w14:textId="77777777" w:rsidR="00A24043" w:rsidRPr="00FE2937" w:rsidRDefault="00000000">
      <w:pPr>
        <w:spacing w:after="0" w:line="360" w:lineRule="auto"/>
        <w:ind w:firstLine="709"/>
        <w:jc w:val="both"/>
        <w:rPr>
          <w:lang w:val="pt-BR"/>
        </w:rPr>
      </w:pPr>
      <w:r w:rsidRPr="00FE2937">
        <w:rPr>
          <w:lang w:val="pt-BR"/>
        </w:rPr>
        <w:t>Historicamente, a função de governar e administrar políticas públicas era vista como exclusiva dos Poderes Executivo e Legislativo. No entanto, o crescimento das demandas e a promessa constitucional de acesso à justiça transformam o Poder Judiciário em ator propositivo de políticas públicas, passando a figurar “como fazedor oficial de política pública, verdadeiro agente transformador para garantir a efetividade ao direito de acesso à justiça” (Richa, 2022, p. 252).</w:t>
      </w:r>
    </w:p>
    <w:p w14:paraId="519ECC42" w14:textId="77777777" w:rsidR="00A24043" w:rsidRPr="00FE2937" w:rsidRDefault="00000000">
      <w:pPr>
        <w:spacing w:after="0" w:line="360" w:lineRule="auto"/>
        <w:ind w:firstLine="709"/>
        <w:jc w:val="both"/>
        <w:rPr>
          <w:lang w:val="pt-BR"/>
        </w:rPr>
      </w:pPr>
      <w:r w:rsidRPr="00FE2937">
        <w:rPr>
          <w:lang w:val="pt-BR"/>
        </w:rPr>
        <w:t>Essa atuação alinha-se à definição de política judiciária nacional prevista no art. 2º, V da Resolução CNJ n. 325/2020, entendida como política de caráter contínuo que impulsiona o desenvolvimento de projetos voltados à efetivação da estratégia nacional. Dessa forma, é possível afirmar que:</w:t>
      </w:r>
    </w:p>
    <w:p w14:paraId="540EEF18" w14:textId="77777777" w:rsidR="00A24043" w:rsidRPr="00FE2937" w:rsidRDefault="00000000" w:rsidP="00FE2937">
      <w:pPr>
        <w:spacing w:after="0" w:line="360" w:lineRule="auto"/>
        <w:ind w:left="2268"/>
        <w:jc w:val="both"/>
        <w:rPr>
          <w:lang w:val="pt-BR"/>
        </w:rPr>
      </w:pPr>
      <w:r w:rsidRPr="00FE2937">
        <w:rPr>
          <w:sz w:val="22"/>
          <w:szCs w:val="20"/>
          <w:lang w:val="pt-BR"/>
        </w:rPr>
        <w:t>[...] o Judiciário assume posição de maior destaque dentre os poderes estatais, tornando-se instrumento de inserção política a possibilitar o exercício da cidadania ativa e a participação de diversos atores no conjunto de atividades inerentes. Para tanto, vislumbra-se a ampliação do acesso à justiça mediante inovadores movimentos de garantia da efetividade e de expansão dos direitos, incremento da operacionalidade do Poder Judiciário (Richa, 2022, p. 78).</w:t>
      </w:r>
    </w:p>
    <w:p w14:paraId="5BF753DE" w14:textId="77777777" w:rsidR="00A24043" w:rsidRPr="00FE2937" w:rsidRDefault="00000000">
      <w:pPr>
        <w:spacing w:after="0" w:line="360" w:lineRule="auto"/>
        <w:ind w:firstLine="709"/>
        <w:jc w:val="both"/>
        <w:rPr>
          <w:lang w:val="pt-BR"/>
        </w:rPr>
      </w:pPr>
      <w:r w:rsidRPr="00FE2937">
        <w:rPr>
          <w:lang w:val="pt-BR"/>
        </w:rPr>
        <w:t xml:space="preserve">As políticas públicas judiciárias, por se tratar de atribuições atípicas do Poder Judiciário, devem ser voltadas, prioritariamente, ao próprio sistema de justiça, visando gerir e organizar a prestação jurisdicional. Nesse contexto, o CNJ deve atuar, na condição de policymaker, na formulação de políticas públicas voltadas à resolução de problemas públicos a partir de programas de ação governamental em escala nacional, definindo parâmetros gerais de atuação e sistematização que devem ser seguidos pelos Tribunais. Assim o fez quando implementou a Política Judiciária Nacional de tratamento adequado dos conflitos de interesses no âmbito do Poder Judiciário por meio da Resolução CNJ n. 125/2010, estruturada em quatro pilares: a) </w:t>
      </w:r>
      <w:proofErr w:type="spellStart"/>
      <w:r w:rsidRPr="00FE2937">
        <w:rPr>
          <w:lang w:val="pt-BR"/>
        </w:rPr>
        <w:t>NUPEMECs</w:t>
      </w:r>
      <w:proofErr w:type="spellEnd"/>
      <w:r w:rsidRPr="00FE2937">
        <w:rPr>
          <w:lang w:val="pt-BR"/>
        </w:rPr>
        <w:t xml:space="preserve">; b) </w:t>
      </w:r>
      <w:proofErr w:type="spellStart"/>
      <w:r w:rsidRPr="00FE2937">
        <w:rPr>
          <w:lang w:val="pt-BR"/>
        </w:rPr>
        <w:t>CEJUSCs</w:t>
      </w:r>
      <w:proofErr w:type="spellEnd"/>
      <w:r w:rsidRPr="00FE2937">
        <w:rPr>
          <w:lang w:val="pt-BR"/>
        </w:rPr>
        <w:t>; c) capacitação/formação/treinamento; d) banco de dados permanentemente atualizado sobre as atividades de conciliação e mediação no país. Experiências semelhantes ocorreram com relação ao sistema carcerário e no combate à violência contra a mulher.</w:t>
      </w:r>
    </w:p>
    <w:p w14:paraId="3A5957EC" w14:textId="77777777" w:rsidR="00A24043" w:rsidRDefault="00000000">
      <w:pPr>
        <w:spacing w:after="0" w:line="360" w:lineRule="auto"/>
        <w:ind w:firstLine="709"/>
        <w:jc w:val="both"/>
        <w:rPr>
          <w:lang w:val="pt-BR"/>
        </w:rPr>
      </w:pPr>
      <w:r w:rsidRPr="00FE2937">
        <w:rPr>
          <w:lang w:val="pt-BR"/>
        </w:rPr>
        <w:lastRenderedPageBreak/>
        <w:t xml:space="preserve">Assim, o Judiciário, na atuação como policymaker, deve diagnosticar um problema público, formular solução, implementar a política e adotar critérios de avaliação dos resultados. Esse ciclo exige capacidade estatal, entendida como a aptidão para mobilizar recursos, coordenar atores e entregar resultados (Farah, 2021). Para a política de leilões unificados, a capacidade estatal envolve desenho normativo, recursos tecnológicos, indicadores de desempenho e mecanismos de </w:t>
      </w:r>
      <w:proofErr w:type="spellStart"/>
      <w:r w:rsidRPr="00FE2937">
        <w:rPr>
          <w:i/>
          <w:iCs/>
          <w:lang w:val="pt-BR"/>
        </w:rPr>
        <w:t>accountability</w:t>
      </w:r>
      <w:proofErr w:type="spellEnd"/>
      <w:r w:rsidRPr="00FE2937">
        <w:rPr>
          <w:lang w:val="pt-BR"/>
        </w:rPr>
        <w:t>.</w:t>
      </w:r>
    </w:p>
    <w:p w14:paraId="108EBE45" w14:textId="77777777" w:rsidR="00A24043" w:rsidRPr="00FE2937" w:rsidRDefault="00000000">
      <w:pPr>
        <w:spacing w:before="120" w:after="120" w:line="360" w:lineRule="auto"/>
        <w:rPr>
          <w:lang w:val="pt-BR"/>
        </w:rPr>
      </w:pPr>
      <w:r w:rsidRPr="00FE2937">
        <w:rPr>
          <w:b/>
          <w:lang w:val="pt-BR"/>
        </w:rPr>
        <w:t>3.2 Arranjos institucionais e governança multinível</w:t>
      </w:r>
    </w:p>
    <w:p w14:paraId="4F26261F" w14:textId="77777777" w:rsidR="00A24043" w:rsidRPr="00FE2937" w:rsidRDefault="00000000">
      <w:pPr>
        <w:spacing w:after="0" w:line="360" w:lineRule="auto"/>
        <w:ind w:firstLine="709"/>
        <w:jc w:val="both"/>
        <w:rPr>
          <w:lang w:val="pt-BR"/>
        </w:rPr>
      </w:pPr>
      <w:r w:rsidRPr="00FE2937">
        <w:rPr>
          <w:lang w:val="pt-BR"/>
        </w:rPr>
        <w:t>No contexto da abordagem "Direito e Políticas Públicas" (DPP), os arranjos institucionais (também denominados de arranjos jurídico-institucionais) consistem na estrutura organizativa e normativa que dá suporte, viabiliza e coordena um programa de ação governamental. Eles representam a materialização do modo como o Estado se organiza para resolver um problema público, articulando diferentes atores, regras e fluxos de decisão. Conforme asseveram Ruiz e Bucci (2019, p. 1145), os arranjos institucionais dizem respeito:</w:t>
      </w:r>
    </w:p>
    <w:p w14:paraId="059150ED" w14:textId="77777777" w:rsidR="00A24043" w:rsidRPr="00FE2937" w:rsidRDefault="00000000" w:rsidP="00FE2937">
      <w:pPr>
        <w:spacing w:after="0" w:line="360" w:lineRule="auto"/>
        <w:ind w:left="2268"/>
        <w:jc w:val="both"/>
        <w:rPr>
          <w:lang w:val="pt-BR"/>
        </w:rPr>
      </w:pPr>
      <w:r w:rsidRPr="00FE2937">
        <w:rPr>
          <w:sz w:val="22"/>
          <w:szCs w:val="20"/>
          <w:lang w:val="pt-BR"/>
        </w:rPr>
        <w:t>[...] aos modos de articulação e interação de agentes, ao grau de descentralização, autonomia e coordenação federativa e intersetorial, aos tipos de relações públicas e público-privadas, e sua integração com outros programas, a partir das normas – que são a substância de que são feitas, cotidianamente, as políticas públicas.</w:t>
      </w:r>
    </w:p>
    <w:p w14:paraId="32DA4986" w14:textId="77777777" w:rsidR="00A24043" w:rsidRPr="00FE2937" w:rsidRDefault="00000000">
      <w:pPr>
        <w:spacing w:after="0" w:line="360" w:lineRule="auto"/>
        <w:ind w:firstLine="709"/>
        <w:jc w:val="both"/>
        <w:rPr>
          <w:lang w:val="pt-BR"/>
        </w:rPr>
      </w:pPr>
      <w:r w:rsidRPr="00FE2937">
        <w:rPr>
          <w:lang w:val="pt-BR"/>
        </w:rPr>
        <w:t>Essa estruturação é o que permite ao gestor compreender de forma concreta como a política funciona na prática. No caso da expropriação judicial de bens, o problema identificado (gargalo) é que a alienação judicial fracionada nas varas carece de um quadro de referência que mostre ligações entre normas, instituições e fluxos operacionais. Para resolver a ineficiência, propõe-se um novo arranjo jurídico-institucional, mapeando as competências e as interações entre os atores que atuam na fase de alienação de bens. A proposta do Sistema Eletrônico de Leilão Judicial Unificado (SLEJU) visa suprir essa lacuna ao definir programas, instrumentos e responsabilidades, transformando a alienação unificada de bens em política pública.</w:t>
      </w:r>
    </w:p>
    <w:p w14:paraId="7B4360B5" w14:textId="77777777" w:rsidR="00A24043" w:rsidRPr="00FE2937" w:rsidRDefault="00000000">
      <w:pPr>
        <w:spacing w:after="0" w:line="360" w:lineRule="auto"/>
        <w:ind w:firstLine="709"/>
        <w:jc w:val="both"/>
        <w:rPr>
          <w:lang w:val="pt-BR"/>
        </w:rPr>
      </w:pPr>
      <w:r w:rsidRPr="00FE2937">
        <w:rPr>
          <w:lang w:val="pt-BR"/>
        </w:rPr>
        <w:t>Por sua vez, a governança multinível consiste no arranjo capaz de conectar diferentes esferas de autoridade no processo de implementação de uma política pública. A necessidade desse tipo de arranjo decorre do fato de que a resolução de problemas públicos envolve uma multiplicidade de atores e órgãos distribuídos em diversas camadas hierárquicas e federativas.</w:t>
      </w:r>
    </w:p>
    <w:p w14:paraId="62E20772" w14:textId="77777777" w:rsidR="00A24043" w:rsidRPr="00FE2937" w:rsidRDefault="00000000">
      <w:pPr>
        <w:spacing w:after="0" w:line="360" w:lineRule="auto"/>
        <w:ind w:firstLine="709"/>
        <w:jc w:val="both"/>
        <w:rPr>
          <w:lang w:val="pt-BR"/>
        </w:rPr>
      </w:pPr>
      <w:r w:rsidRPr="00FE2937">
        <w:rPr>
          <w:lang w:val="pt-BR"/>
        </w:rPr>
        <w:t xml:space="preserve">Na abordagem DPP, o mapeamento destas estruturas permite identificar as "regras do jogo" que norteiam os vínculos verticais e horizontais entre os participantes, de modo a evitar </w:t>
      </w:r>
      <w:r w:rsidRPr="00FE2937">
        <w:rPr>
          <w:lang w:val="pt-BR"/>
        </w:rPr>
        <w:lastRenderedPageBreak/>
        <w:t>ações sobrepostas ou contraditórias. Em suma, a governança multinível constitui uma categoria analítica e de intervenção que oferece sustentação para que ações complexas sejam coordenadas organicamente, promovendo, assim, uma melhoria na capacidade estatal e no aprimoramento dos serviços públicos (Ruiz; Bucci, 2019).</w:t>
      </w:r>
    </w:p>
    <w:p w14:paraId="14449ED2" w14:textId="77777777" w:rsidR="00A24043" w:rsidRDefault="00000000">
      <w:pPr>
        <w:spacing w:after="0" w:line="360" w:lineRule="auto"/>
        <w:ind w:firstLine="709"/>
        <w:jc w:val="both"/>
        <w:rPr>
          <w:lang w:val="pt-BR"/>
        </w:rPr>
      </w:pPr>
      <w:r w:rsidRPr="00FE2937">
        <w:rPr>
          <w:lang w:val="pt-BR"/>
        </w:rPr>
        <w:t>No contexto dos leilões judiciais unificados, a governança se manifesta na definição de competências claras, tendo o CNJ como instância normativa e supervisora, os tribunais estaduais e federais como gestores intermediários e as comarcas, seções e subseções judiciárias, varas e juizados, como executores. A cooperação por provocação de instâncias da administração judiciária, abordada no item seguinte, é o referencial teórico que dá sustentação ao modelo de governança proposto para o projeto.</w:t>
      </w:r>
    </w:p>
    <w:p w14:paraId="278DA22D" w14:textId="77777777" w:rsidR="00A24043" w:rsidRPr="00FE2937" w:rsidRDefault="00000000">
      <w:pPr>
        <w:spacing w:before="120" w:after="120" w:line="360" w:lineRule="auto"/>
        <w:rPr>
          <w:lang w:val="pt-BR"/>
        </w:rPr>
      </w:pPr>
      <w:r w:rsidRPr="00FE2937">
        <w:rPr>
          <w:b/>
          <w:lang w:val="pt-BR"/>
        </w:rPr>
        <w:t>3.3 Cooperação por provocação de instâncias da administração judiciária</w:t>
      </w:r>
    </w:p>
    <w:p w14:paraId="7F93618D" w14:textId="77777777" w:rsidR="00A24043" w:rsidRPr="00FE2937" w:rsidRDefault="00000000">
      <w:pPr>
        <w:spacing w:after="0" w:line="360" w:lineRule="auto"/>
        <w:ind w:firstLine="709"/>
        <w:jc w:val="both"/>
        <w:rPr>
          <w:lang w:val="pt-BR"/>
        </w:rPr>
      </w:pPr>
      <w:r w:rsidRPr="00FE2937">
        <w:rPr>
          <w:lang w:val="pt-BR"/>
        </w:rPr>
        <w:t>A cooperação por provocação de instâncias administrativas do Judiciário consiste na atuação cooperativa impulsionada por órgãos centrais e de controle (CNJ, presidências e corregedorias), estruturada para enfrentar problemas organizacionais recorrentes.</w:t>
      </w:r>
    </w:p>
    <w:p w14:paraId="541249D2" w14:textId="77777777" w:rsidR="00A24043" w:rsidRPr="00FE2937" w:rsidRDefault="00000000">
      <w:pPr>
        <w:spacing w:after="0" w:line="360" w:lineRule="auto"/>
        <w:ind w:firstLine="709"/>
        <w:jc w:val="both"/>
        <w:rPr>
          <w:lang w:val="pt-BR"/>
        </w:rPr>
      </w:pPr>
      <w:r w:rsidRPr="00FE2937">
        <w:rPr>
          <w:lang w:val="pt-BR"/>
        </w:rPr>
        <w:t>Em contraposição ao ato concertado que costuma emergir da iniciativa jurisdicional de primeiro grau, essa modalidade opera com orientação top-</w:t>
      </w:r>
      <w:proofErr w:type="spellStart"/>
      <w:r w:rsidRPr="00FE2937">
        <w:rPr>
          <w:lang w:val="pt-BR"/>
        </w:rPr>
        <w:t>down</w:t>
      </w:r>
      <w:proofErr w:type="spellEnd"/>
      <w:r w:rsidRPr="00FE2937">
        <w:rPr>
          <w:lang w:val="pt-BR"/>
        </w:rPr>
        <w:t>, na medida em que os atores administrativos articulam diretrizes e coordenam ações conjuntas voltadas à superação da ineficiência do sistema de justiça, através da organização de respostas institucionais com a finalidade de resolver problemas públicos (Aragão, 2020).</w:t>
      </w:r>
    </w:p>
    <w:p w14:paraId="5CA6D0D5" w14:textId="77777777" w:rsidR="00A24043" w:rsidRPr="00FE2937" w:rsidRDefault="00000000">
      <w:pPr>
        <w:spacing w:after="0" w:line="360" w:lineRule="auto"/>
        <w:ind w:firstLine="709"/>
        <w:jc w:val="both"/>
        <w:rPr>
          <w:lang w:val="pt-BR"/>
        </w:rPr>
      </w:pPr>
      <w:r w:rsidRPr="00FE2937">
        <w:rPr>
          <w:lang w:val="pt-BR"/>
        </w:rPr>
        <w:t>O elemento distintivo desse modelo é que a cooperação não depende da iniciativa espontânea dos juízos, uma vez que é ativada quando as instâncias administrativas identificam problemas e induzem a atuação coordenada dos atores. A literatura descreve esse movimento como resposta institucional destinada a “superar a inércia dos juízos” em provocar ou concertar a atuação conjunta necessária em situações concretas, deslocando o foco da cooperação pontual para a coordenação voltada ao planejamento interno (Aragão, 2020, p. 37). Assim, a provocação administrativa opera como instrumento de governança judiciária para fins de alinhar comportamentos organizacionais e reduzir a dispersão procedimental, com incremento de eficiência.</w:t>
      </w:r>
    </w:p>
    <w:p w14:paraId="06A66987" w14:textId="77777777" w:rsidR="00A24043" w:rsidRPr="00FE2937" w:rsidRDefault="00000000">
      <w:pPr>
        <w:spacing w:after="0" w:line="360" w:lineRule="auto"/>
        <w:ind w:firstLine="709"/>
        <w:jc w:val="both"/>
        <w:rPr>
          <w:lang w:val="pt-BR"/>
        </w:rPr>
      </w:pPr>
      <w:r w:rsidRPr="00FE2937">
        <w:rPr>
          <w:lang w:val="pt-BR"/>
        </w:rPr>
        <w:t xml:space="preserve">O modelo cooperativo dialoga com a abordagem Direito e Políticas Públicas, posto que permite enquadrar a cooperação como arranjo jurídico-institucional destinado a realizar objetivos coletivos por meio de instrumentos normativos e coordenação de capacidades estatais. Noutros termos, quando o CNJ, as presidências dos tribunais e as corregedorias de </w:t>
      </w:r>
      <w:r w:rsidRPr="00FE2937">
        <w:rPr>
          <w:lang w:val="pt-BR"/>
        </w:rPr>
        <w:lastRenderedPageBreak/>
        <w:t>justiça ativam estruturas de cooperação, conformam um programa de ação institucional voltado à produção de resultados coletivos.</w:t>
      </w:r>
    </w:p>
    <w:p w14:paraId="392B13F8" w14:textId="77777777" w:rsidR="00A24043" w:rsidRPr="00FE2937" w:rsidRDefault="00000000">
      <w:pPr>
        <w:spacing w:after="0" w:line="360" w:lineRule="auto"/>
        <w:ind w:firstLine="709"/>
        <w:jc w:val="both"/>
        <w:rPr>
          <w:lang w:val="pt-BR"/>
        </w:rPr>
      </w:pPr>
      <w:r w:rsidRPr="00FE2937">
        <w:rPr>
          <w:lang w:val="pt-BR"/>
        </w:rPr>
        <w:t>Aplicando o instituto à proposta apresentada, é possível perceber a diferença com relação à cooperação via ato concertado, uma vez que desloca a coordenação do plano microinstitucional para uma dimensão macroestrutural, ao defender um modelo nacional de atos executórios por meio de um Sistema Eletrônico de Leilão Judicial Unificado, coordenado pelo CNJ. Enquanto o Ato Concertado n. 01/2024 evidencia a eficácia do agrupamento em um universo delimitado (Comarca), o desenho proposto pretende institucionalizar o mesmo padrão em escala nacional, mediante padronização procedimental e governança multinível, atributos de uma política pública judiciária estruturante. Assim, a cooperação opera como instrumento de transformação de uma boa prática localizada em um arranjo nacional (Bucci, 2019).</w:t>
      </w:r>
    </w:p>
    <w:p w14:paraId="44A9E636" w14:textId="77777777" w:rsidR="00A24043" w:rsidRPr="00FE2937" w:rsidRDefault="00000000">
      <w:pPr>
        <w:spacing w:after="0" w:line="360" w:lineRule="auto"/>
        <w:ind w:firstLine="709"/>
        <w:jc w:val="both"/>
        <w:rPr>
          <w:lang w:val="pt-BR"/>
        </w:rPr>
      </w:pPr>
      <w:r w:rsidRPr="00FE2937">
        <w:rPr>
          <w:lang w:val="pt-BR"/>
        </w:rPr>
        <w:t xml:space="preserve">Para tanto, o CNJ deve funcionar como </w:t>
      </w:r>
      <w:proofErr w:type="spellStart"/>
      <w:r w:rsidRPr="00747C30">
        <w:rPr>
          <w:i/>
          <w:iCs/>
          <w:lang w:val="pt-BR"/>
        </w:rPr>
        <w:t>locus</w:t>
      </w:r>
      <w:proofErr w:type="spellEnd"/>
      <w:r w:rsidRPr="00FE2937">
        <w:rPr>
          <w:lang w:val="pt-BR"/>
        </w:rPr>
        <w:t xml:space="preserve"> de articulação nacional, definindo padrões, integrando sistemas e mobilizando recursos para atuação conjunta na gestão dos bens apreendidos e penhorados. A proposta tem correlação com as políticas públicas judiciárias na medida em que a morosidade na fase de execução é reconhecida pelo CNJ como um problema público complexo, isto é, um fenômeno que afeta os direitos de uma coletividade (milhões de jurisdicionados) cuja solução exige uma ação organizada que vai além dos esforços isolados de cada juiz. Para o enfrentamento desse problema, somente uma atuação coordenada pelo CNJ poderá garantir uniformidade e sustentabilidade a longo prazo.</w:t>
      </w:r>
    </w:p>
    <w:p w14:paraId="44F18CA5" w14:textId="77777777" w:rsidR="00A24043" w:rsidRPr="00FE2937" w:rsidRDefault="00000000">
      <w:pPr>
        <w:spacing w:after="0" w:line="360" w:lineRule="auto"/>
        <w:ind w:firstLine="709"/>
        <w:jc w:val="both"/>
        <w:rPr>
          <w:lang w:val="pt-BR"/>
        </w:rPr>
      </w:pPr>
      <w:r w:rsidRPr="00FE2937">
        <w:rPr>
          <w:lang w:val="pt-BR"/>
        </w:rPr>
        <w:t>A instituição do modelo proposto requer que o CNJ institua a política nacional de alienação unificada de bens, via resolução, definindo objetivos (reduzir prazos e custos da execução), atores (CNJ, tribunais, varas), competências (CNJ normatiza e supervisiona; tribunais criam Núcleos de Expropriação de Bens; varas cooperam nos leilões conjuntos) e instrumentos (plataforma eletrônica unificada). O arranjo institucional pretendido visa garantir efetividade à execução, o que significa efetivar o acesso à ordem jurídica justa (Richa, 2022).</w:t>
      </w:r>
    </w:p>
    <w:p w14:paraId="01AD666B" w14:textId="77777777" w:rsidR="00A24043" w:rsidRDefault="00000000">
      <w:pPr>
        <w:spacing w:after="0" w:line="360" w:lineRule="auto"/>
        <w:ind w:firstLine="709"/>
        <w:jc w:val="both"/>
        <w:rPr>
          <w:lang w:val="pt-BR"/>
        </w:rPr>
      </w:pPr>
      <w:r w:rsidRPr="00FE2937">
        <w:rPr>
          <w:lang w:val="pt-BR"/>
        </w:rPr>
        <w:t>Em síntese, a cooperação por provocação de instâncias da administração judiciária é um instrumento de ação pública voltado ao enfrentamento de problemas estruturais, organizar capacidades e induzir a convergência institucional. A proposta de uma política nacional de leilões unificados encontra respaldo nesse referencial ao tratar a cooperação não como auxílio ocasional, mas como estratégia deliberada de governança, capaz de entregar eficiência sistêmica na fase expropriatória, amparada em arranjos jurídico-institucionais claros (Aragão, 2020; Bucci, 2019).</w:t>
      </w:r>
    </w:p>
    <w:p w14:paraId="285E4494" w14:textId="77777777" w:rsidR="00A24043" w:rsidRPr="00FE2937" w:rsidRDefault="00000000">
      <w:pPr>
        <w:spacing w:before="120" w:after="120" w:line="360" w:lineRule="auto"/>
        <w:rPr>
          <w:lang w:val="pt-BR"/>
        </w:rPr>
      </w:pPr>
      <w:r w:rsidRPr="00FE2937">
        <w:rPr>
          <w:b/>
          <w:lang w:val="pt-BR"/>
        </w:rPr>
        <w:lastRenderedPageBreak/>
        <w:t>3.4 A alienação unificada de bens como inovação institucional</w:t>
      </w:r>
    </w:p>
    <w:p w14:paraId="4379983D" w14:textId="77777777" w:rsidR="00A24043" w:rsidRPr="00FE2937" w:rsidRDefault="00000000">
      <w:pPr>
        <w:spacing w:after="0" w:line="360" w:lineRule="auto"/>
        <w:ind w:firstLine="709"/>
        <w:jc w:val="both"/>
        <w:rPr>
          <w:lang w:val="pt-BR"/>
        </w:rPr>
      </w:pPr>
      <w:r w:rsidRPr="00FE2937">
        <w:rPr>
          <w:lang w:val="pt-BR"/>
        </w:rPr>
        <w:t>A inovação no âmbito da administração pública, de forma diversa da lógica do setor privado que visa à maximização de lucros, ocorre quando há a introdução de novos elementos (conhecimentos, métodos ou estruturas) que rompem com as práticas do passado, mantendo o foco na agregação de valor público e no atendimento transformador ao cidadão. No âmbito do Poder Judiciário, significa “revisitar a própria razão de ser da justiça: tornar-se acessível, confiável, e digna da confiança coletiva” (Trindade, 2025, p. 38).</w:t>
      </w:r>
    </w:p>
    <w:p w14:paraId="2AD23806" w14:textId="77777777" w:rsidR="00A24043" w:rsidRPr="00FE2937" w:rsidRDefault="00000000">
      <w:pPr>
        <w:spacing w:after="0" w:line="360" w:lineRule="auto"/>
        <w:ind w:firstLine="709"/>
        <w:jc w:val="both"/>
        <w:rPr>
          <w:lang w:val="pt-BR"/>
        </w:rPr>
      </w:pPr>
      <w:r w:rsidRPr="00FE2937">
        <w:rPr>
          <w:lang w:val="pt-BR"/>
        </w:rPr>
        <w:t>A proposta de política pública judiciária para fins de alienação judicial de bens, materializada na estruturação do Sistema Eletrônico de Leilão Judicial Unificado (SLEJU) sob coordenação do CNJ, é um exemplo de inovação, uma vez que rompe com a tradição descentralizada, criando capacidades estatais no processo de execução e promovendo uma rede de cooperação judiciária que redesenha a governança da expropriação de bens. Nas lições da doutrina de Rodrigo Trindade:</w:t>
      </w:r>
    </w:p>
    <w:p w14:paraId="5DBC0C2E" w14:textId="77777777" w:rsidR="00A24043" w:rsidRPr="00FE2937" w:rsidRDefault="00000000" w:rsidP="00FE2937">
      <w:pPr>
        <w:spacing w:after="0" w:line="360" w:lineRule="auto"/>
        <w:ind w:left="2268"/>
        <w:jc w:val="both"/>
        <w:rPr>
          <w:lang w:val="pt-BR"/>
        </w:rPr>
      </w:pPr>
      <w:r w:rsidRPr="00FE2937">
        <w:rPr>
          <w:sz w:val="22"/>
          <w:szCs w:val="20"/>
          <w:lang w:val="pt-BR"/>
        </w:rPr>
        <w:t>Quando trasladamos essa definição para o contexto do serviço público, em especial no Judiciário, a inovação pode ser vista em termos de processos mais ágeis e eficientes, como a implementação de novos sistemas de gestão de processos ou a utilização de ferramentas tecnológicas para melhorar o atendimento ao cidadão. A criação de novos métodos de trabalho, como separação de responsabilidades de servidores em processos por fase processual, a adoção de tecnologias de informação mais avançadas, como comunicação por redes sociais, ou a melhoria substancial nas formas de organização interna, como a unificação de secretarias de tribunais, também podem ser considerados exemplos de inovação. (Trindade, 2025, p. 102).</w:t>
      </w:r>
    </w:p>
    <w:p w14:paraId="122C1DED" w14:textId="77777777" w:rsidR="00A24043" w:rsidRDefault="00000000">
      <w:pPr>
        <w:spacing w:after="0" w:line="360" w:lineRule="auto"/>
        <w:ind w:firstLine="709"/>
        <w:jc w:val="both"/>
        <w:rPr>
          <w:lang w:val="pt-BR"/>
        </w:rPr>
      </w:pPr>
      <w:r w:rsidRPr="00FE2937">
        <w:rPr>
          <w:lang w:val="pt-BR"/>
        </w:rPr>
        <w:t>Ao adotar a lógica de "leilões em lotes" em vitrine eletrônica única ("Portal Nacional de Leilões Judiciais"), o Judiciário reconfigura o serviço público prestado, estabelecendo um novo arranjo organizacional que confere maior transparência, segurança jurídica e democratização do acesso aos leilões, assemelhado a um "Mercado Livre" do sistema de justiça. Essa modernização institucional, pautada por arranjos cooperativos e governança em rede, transforma a gestão da expropriação em um sistema integrado, colaborativo e capaz de entregar resultados efetivos à sociedade.</w:t>
      </w:r>
    </w:p>
    <w:p w14:paraId="13B4113E" w14:textId="5BC87912" w:rsidR="00B16C36" w:rsidRPr="00FE2937" w:rsidRDefault="00B16C36" w:rsidP="00B16C36">
      <w:pPr>
        <w:spacing w:before="120" w:after="120" w:line="360" w:lineRule="auto"/>
        <w:rPr>
          <w:lang w:val="pt-BR"/>
        </w:rPr>
      </w:pPr>
      <w:r>
        <w:rPr>
          <w:b/>
          <w:lang w:val="pt-BR"/>
        </w:rPr>
        <w:t>3</w:t>
      </w:r>
      <w:r w:rsidRPr="00FE2937">
        <w:rPr>
          <w:b/>
          <w:lang w:val="pt-BR"/>
        </w:rPr>
        <w:t>.</w:t>
      </w:r>
      <w:r>
        <w:rPr>
          <w:b/>
          <w:lang w:val="pt-BR"/>
        </w:rPr>
        <w:t>5</w:t>
      </w:r>
      <w:r w:rsidRPr="00FE2937">
        <w:rPr>
          <w:b/>
          <w:lang w:val="pt-BR"/>
        </w:rPr>
        <w:t xml:space="preserve"> O problema público da expropriação de bens via leilão judicial</w:t>
      </w:r>
    </w:p>
    <w:p w14:paraId="7E062227" w14:textId="77777777" w:rsidR="00B16C36" w:rsidRPr="00FE2937" w:rsidRDefault="00B16C36" w:rsidP="00B16C36">
      <w:pPr>
        <w:spacing w:after="0" w:line="360" w:lineRule="auto"/>
        <w:ind w:firstLine="709"/>
        <w:jc w:val="both"/>
        <w:rPr>
          <w:lang w:val="pt-BR"/>
        </w:rPr>
      </w:pPr>
      <w:r w:rsidRPr="00FE2937">
        <w:rPr>
          <w:lang w:val="pt-BR"/>
        </w:rPr>
        <w:t xml:space="preserve">O leilão judicial é o instituto jurídico utilizado na fase de expropriação para converter bens do devedor em dinheiro, a fim de satisfazer o direito do credor. Trata-se da venda </w:t>
      </w:r>
      <w:r w:rsidRPr="00FE2937">
        <w:rPr>
          <w:lang w:val="pt-BR"/>
        </w:rPr>
        <w:lastRenderedPageBreak/>
        <w:t>pública de bens penhorados – móveis ou imóveis – no curso de uma ação judicial, adjudicando-os ao melhor ofertante.</w:t>
      </w:r>
    </w:p>
    <w:p w14:paraId="4C593FEF" w14:textId="77777777" w:rsidR="00B16C36" w:rsidRPr="00FE2937" w:rsidRDefault="00B16C36" w:rsidP="00B16C36">
      <w:pPr>
        <w:spacing w:after="0" w:line="360" w:lineRule="auto"/>
        <w:ind w:firstLine="709"/>
        <w:jc w:val="both"/>
        <w:rPr>
          <w:lang w:val="pt-BR"/>
        </w:rPr>
      </w:pPr>
      <w:r w:rsidRPr="00FE2937">
        <w:rPr>
          <w:lang w:val="pt-BR"/>
        </w:rPr>
        <w:t>Do ponto de vista de sua finalidade, busca-se equilibrar dois princípios fundamentais da execução: de um lado, a efetividade para o credor, que almeja ver seu crédito satisfeito integralmente; de outro, a menor onerosidade para o devedor, que não deve sofrer sacrifício patrimonial além do necessário (Leite, 2024).</w:t>
      </w:r>
    </w:p>
    <w:p w14:paraId="16F680C7" w14:textId="77777777" w:rsidR="00B16C36" w:rsidRPr="00FE2937" w:rsidRDefault="00B16C36" w:rsidP="00B16C36">
      <w:pPr>
        <w:spacing w:after="0" w:line="360" w:lineRule="auto"/>
        <w:ind w:firstLine="709"/>
        <w:jc w:val="both"/>
        <w:rPr>
          <w:lang w:val="pt-BR"/>
        </w:rPr>
      </w:pPr>
      <w:r w:rsidRPr="00FE2937">
        <w:rPr>
          <w:lang w:val="pt-BR"/>
        </w:rPr>
        <w:t>Quanto ao procedimento, o CPC disciplina o leilão judicial nos arts. 879 a 903, estabelecendo as modalidades de expropriação e os requisitos da alienação forçada. Em linhas gerais, uma vez efetivada a penhora e realizada a avaliação, o juiz designa o leilão para alienação judicial, nomeando um leiloeiro público oficial ou corretor credenciado para conduzir a hasta pública, conforme o caso.</w:t>
      </w:r>
    </w:p>
    <w:p w14:paraId="09B71AAD" w14:textId="77777777" w:rsidR="00B16C36" w:rsidRPr="00FE2937" w:rsidRDefault="00B16C36" w:rsidP="00B16C36">
      <w:pPr>
        <w:spacing w:after="0" w:line="360" w:lineRule="auto"/>
        <w:ind w:firstLine="709"/>
        <w:jc w:val="both"/>
        <w:rPr>
          <w:lang w:val="pt-BR"/>
        </w:rPr>
      </w:pPr>
      <w:r w:rsidRPr="00FE2937">
        <w:rPr>
          <w:lang w:val="pt-BR"/>
        </w:rPr>
        <w:t>Expede-se, então, o edital de leilão, que deve ser divulgado no portal eletrônico e, se determinado pelo juiz, em jornal de grande circulação. O edital fixa as condições da venda (preço mínimo ou lance mínimo, possibilidade de pagamento parcelado, comissão do leiloeiro, data e hora do pregão, modalidade eletrônica ou presencial, entre outros parâmetros).</w:t>
      </w:r>
    </w:p>
    <w:p w14:paraId="50872428" w14:textId="77777777" w:rsidR="00B16C36" w:rsidRPr="00FE2937" w:rsidRDefault="00B16C36" w:rsidP="00B16C36">
      <w:pPr>
        <w:spacing w:after="0" w:line="360" w:lineRule="auto"/>
        <w:ind w:firstLine="709"/>
        <w:jc w:val="both"/>
        <w:rPr>
          <w:lang w:val="pt-BR"/>
        </w:rPr>
      </w:pPr>
      <w:r w:rsidRPr="00FE2937">
        <w:rPr>
          <w:lang w:val="pt-BR"/>
        </w:rPr>
        <w:t>No dia marcado, realiza-se o leilão que, pelo CPC, pode ocorrer em duas praças: no primeiro leilão (primeira praça), exige-se que o lance atinja ao menos o valor de avaliação do bem; não havendo licitante, parte-se para o segundo leilão, no qual se aceitará o maior lance ofertado, desde que não seja inferior a um percentual sobre o valor de avaliação fixado pelo juízo (em regra, 50%).</w:t>
      </w:r>
    </w:p>
    <w:p w14:paraId="6B82ED0B" w14:textId="77777777" w:rsidR="00B16C36" w:rsidRPr="00FE2937" w:rsidRDefault="00B16C36" w:rsidP="00B16C36">
      <w:pPr>
        <w:spacing w:after="0" w:line="360" w:lineRule="auto"/>
        <w:ind w:firstLine="709"/>
        <w:jc w:val="both"/>
        <w:rPr>
          <w:lang w:val="pt-BR"/>
        </w:rPr>
      </w:pPr>
      <w:r w:rsidRPr="00FE2937">
        <w:rPr>
          <w:lang w:val="pt-BR"/>
        </w:rPr>
        <w:t>No que diz respeito à forma, o art. 882 do CPC determina que a alienação deve ocorrer, de preferência, por meio eletrônico. Em complemento, o CNJ editou a Resolução n. 236/2016 para uniformizar os requisitos dos leilões judiciais online. Essas medidas refletem o reconhecimento de que a tecnologia pode ampliar o acesso de licitantes, aumentar a competitividade e reduzir os custos da expropriação. Como enfatiza Leite (2024, p. 43), a virtualização “promoveu a democratização dos leilões, de forma a permitir maior e mais amplo alcance aos interessados”.</w:t>
      </w:r>
    </w:p>
    <w:p w14:paraId="18CCA906" w14:textId="77777777" w:rsidR="00B16C36" w:rsidRPr="00FE2937" w:rsidRDefault="00B16C36" w:rsidP="00B16C36">
      <w:pPr>
        <w:spacing w:after="0" w:line="360" w:lineRule="auto"/>
        <w:ind w:firstLine="709"/>
        <w:jc w:val="both"/>
        <w:rPr>
          <w:lang w:val="pt-BR"/>
        </w:rPr>
      </w:pPr>
      <w:r w:rsidRPr="00FE2937">
        <w:rPr>
          <w:lang w:val="pt-BR"/>
        </w:rPr>
        <w:t xml:space="preserve">As medidas adotadas atuaram sobre a forma do leilão (transição para os leilões online), o que, embora necessário, não enfrenta o problema do desenho institucional, razão pela qual não se resolveu o problema da dispersão, manifestada em três dimensões: a) a dispersão da oferta, uma vez que os bens a serem leiloados são ofertados em centenas de sites de leiloeiros diferentes, dificultando que o mercado consumidor identifique as melhores oportunidades de forma concentrada, reduzindo a concorrência e favorecendo arrematações </w:t>
      </w:r>
      <w:r w:rsidRPr="00FE2937">
        <w:rPr>
          <w:lang w:val="pt-BR"/>
        </w:rPr>
        <w:lastRenderedPageBreak/>
        <w:t>por "preço vil"; b) dispersão na guarda dos bens penhorados, os quais ficam espalhados em depósitos das diversas unidades judiciárias e, muitas vezes, em poder do próprio devedor que, na condição de depositário, não conserva o bem e, em muitos casos, dá destinação diversa, ocasionando o cancelamento da hasta em razão da não localização do bem penhorado; c) dispersão da informação consubstanciada na ausência de registro no Sistema Nacional de Gestão de Bens (SNGB) dos bens penhorados (processos civis) que serão levados a leilão judicial.</w:t>
      </w:r>
    </w:p>
    <w:p w14:paraId="7E7CFF8D" w14:textId="77777777" w:rsidR="00B16C36" w:rsidRPr="00FE2937" w:rsidRDefault="00B16C36" w:rsidP="00B16C36">
      <w:pPr>
        <w:spacing w:after="0" w:line="360" w:lineRule="auto"/>
        <w:ind w:firstLine="709"/>
        <w:jc w:val="both"/>
        <w:rPr>
          <w:lang w:val="pt-BR"/>
        </w:rPr>
      </w:pPr>
      <w:r w:rsidRPr="00FE2937">
        <w:rPr>
          <w:lang w:val="pt-BR"/>
        </w:rPr>
        <w:t>Como consequência, o leilão online no formato atual acaba sendo apenas um upgrade tecnológico, sem grande impacto no sistema de alienação de bens. Sem uma política pública que unifique a gestão desses ativos, o sistema continua a produzir resultados pífios na satisfação dos créditos. A Resolução CNJ n. 483/2022, com a redação dada pela Resolução CNJ n. 626/2025, prevê que “a alimentação do SNGB é obrigatória na esfera criminal e facultativa nos demais casos” (CNJ, 2022). Dessa forma, do ponto de vista normativo, os bens apreendidos nos processos criminais devem estar inseridos no SNGB. Aplicando o mesmo procedimento aos bens penhorados, o CNJ teria elementos, a partir de dados objetivos, para coordenar a política pública judiciária de alienação unificada de bens através de uma plataforma eletrônica unificada (Sistema Eletrônico de Leilão Judicial Unificado), integrada à PDPJ-Br, o que permitiria a interoperabilidade com o SNGB.</w:t>
      </w:r>
    </w:p>
    <w:p w14:paraId="1C64C327" w14:textId="77777777" w:rsidR="00B16C36" w:rsidRPr="00FE2937" w:rsidRDefault="00B16C36" w:rsidP="00B16C36">
      <w:pPr>
        <w:spacing w:after="0" w:line="360" w:lineRule="auto"/>
        <w:ind w:firstLine="709"/>
        <w:jc w:val="both"/>
        <w:rPr>
          <w:lang w:val="pt-BR"/>
        </w:rPr>
      </w:pPr>
      <w:r w:rsidRPr="00FE2937">
        <w:rPr>
          <w:lang w:val="pt-BR"/>
        </w:rPr>
        <w:t>Para contornar parte do problema associado ao gargalo da execução, o CNJ tem adotado uma postura ativa para promover a baixa de processos, mediante edição de atos normativos que visam racionalizar e aprimorar o fluxo de baixas processuais, a exemplo da Resolução CNJ nº 547/2024 (que regulamenta a baixa de execuções fiscais inferiores a R$ 10.000,00) e das Portarias Conjuntas nº 5/2024 e nº 8/2023, que instituem estratégias para a baixa definitiva de processos cujos créditos não apresentam viabilidade econômica de cobrança. Em paralelo, a jurisprudência das cortes superiores tem se consolidado no sentido de evitar a perpetuidade das execuções, a exemplo do tema de Repercussão Geral n. 390 do Supremo Tribunal Federal, bem como do Tema Repetitivo n. 566 e Súmula n. 314 do Superior Tribunal de Justiça, que consolidaram o reconhecimento da prescrição intercorrente.</w:t>
      </w:r>
    </w:p>
    <w:p w14:paraId="609F7D9E" w14:textId="77777777" w:rsidR="00B16C36" w:rsidRPr="00FE2937" w:rsidRDefault="00B16C36" w:rsidP="00B16C36">
      <w:pPr>
        <w:spacing w:after="0" w:line="360" w:lineRule="auto"/>
        <w:ind w:firstLine="709"/>
        <w:jc w:val="both"/>
        <w:rPr>
          <w:lang w:val="pt-BR"/>
        </w:rPr>
      </w:pPr>
      <w:r w:rsidRPr="00FE2937">
        <w:rPr>
          <w:lang w:val="pt-BR"/>
        </w:rPr>
        <w:t xml:space="preserve">No entanto, embora essas medidas de "limpeza de acervo" sejam importantes, não atacam a causa estrutural da ineficiência na recuperação de ativos, evidenciando que as elevadas taxas de congestionamento não decorrem apenas de entraves jurídicos, mas de fatores institucionais e operacionais. Dessa forma, faz-se necessário que o CNJ assuma a condução da política pública, compreendida como "um conjunto de decisões e ações adotadas por órgãos públicos e organizações da sociedade, intencionalmente coerentes entre si, que, </w:t>
      </w:r>
      <w:r w:rsidRPr="00FE2937">
        <w:rPr>
          <w:lang w:val="pt-BR"/>
        </w:rPr>
        <w:lastRenderedPageBreak/>
        <w:t>sob coordenação estatal, destinam-se a enfrentar um problema político" (Schmidt, 2018, p. 127).</w:t>
      </w:r>
    </w:p>
    <w:p w14:paraId="61A2F70E" w14:textId="77777777" w:rsidR="00B16C36" w:rsidRPr="00FE2937" w:rsidRDefault="00B16C36" w:rsidP="00B16C36">
      <w:pPr>
        <w:spacing w:after="0" w:line="360" w:lineRule="auto"/>
        <w:ind w:firstLine="709"/>
        <w:jc w:val="both"/>
        <w:rPr>
          <w:lang w:val="pt-BR"/>
        </w:rPr>
      </w:pPr>
      <w:r w:rsidRPr="00FE2937">
        <w:rPr>
          <w:lang w:val="pt-BR"/>
        </w:rPr>
        <w:t>O CNJ tem experiência na indução de políticas nacionais, a partir de boas práticas locais, como ocorreu com a destinação de prestações pecuniárias, que migrou do pagamento vinculado a processos isolados para um modelo de conta judicial única gerida por uma "unidade gestora" definida pelos tribunais, conforme disciplinado pela Resolução CNJ n. 558/2024. Aplicando essa mesma lógica à alienação de bens, a institucionalização de uma Política Nacional de Alienação Unificada, com base no modelo de unidade gestora, permitirá que núcleo(s) administrativo(s) dos tribunais concentre(m) a gestão da fase de alienação de bens, reduzindo o trabalho administrativo das varas, que deixam de se preocupar com a burocracia do leilão para focar na atividade-fim, enquanto os Núcleos de Expropriação terão expertise na alienação de bens.</w:t>
      </w:r>
    </w:p>
    <w:p w14:paraId="43ECBA10" w14:textId="77777777" w:rsidR="00B16C36" w:rsidRPr="00FE2937" w:rsidRDefault="00B16C36" w:rsidP="00B16C36">
      <w:pPr>
        <w:spacing w:after="0" w:line="360" w:lineRule="auto"/>
        <w:ind w:firstLine="709"/>
        <w:jc w:val="both"/>
        <w:rPr>
          <w:lang w:val="pt-BR"/>
        </w:rPr>
      </w:pPr>
      <w:r w:rsidRPr="00FE2937">
        <w:rPr>
          <w:lang w:val="pt-BR"/>
        </w:rPr>
        <w:t>Portanto, a solução para a ineficiência expropriatória reside na instituição, pelo CNJ, via resolução, de uma Política Nacional de Alienação Unificada de Bens. Esse arranjo institucional definirá objetivos claros (redução de prazos e custos operacionais), atores envolvidos e competências delineadas: ao CNJ caberá a normatização e a supervisão; aos tribunais, a criação de Núcleos de Expropriação de Bens; e às varas, a cooperação na realização de leilões conjuntos. Como instrumento material de implementação, propõe-se uma plataforma eletrônica unificada, na qual os bens devem ser registrados no Sistema Nacional de Gestão de Bens (SNGB), regulado pela Resolução CNJ n. 483/2022. O Ato Concertado n. 01/2024, conduzido através do método de investigação pesquisa-ação, apresentará as bases do modelo de inovação institucional voltada à superação da fragmentação histórica da execução, conforme se verá nos itens a seguir.</w:t>
      </w:r>
    </w:p>
    <w:p w14:paraId="1CA31BAA" w14:textId="7EA1DB7B" w:rsidR="00A24043" w:rsidRPr="00FE2937" w:rsidRDefault="00000000">
      <w:pPr>
        <w:spacing w:before="240" w:after="120" w:line="360" w:lineRule="auto"/>
        <w:rPr>
          <w:lang w:val="pt-BR"/>
        </w:rPr>
      </w:pPr>
      <w:r w:rsidRPr="00FE2937">
        <w:rPr>
          <w:b/>
          <w:lang w:val="pt-BR"/>
        </w:rPr>
        <w:t>4 DESENVOLVIMENTO</w:t>
      </w:r>
      <w:r w:rsidR="00917F09" w:rsidRPr="00917F09">
        <w:rPr>
          <w:b/>
          <w:lang w:val="pt-BR"/>
        </w:rPr>
        <w:t>: RESULTADOS EMPÍRICOS E LIMITES DO ATO CONCERTADO N. 01/2024</w:t>
      </w:r>
    </w:p>
    <w:p w14:paraId="69CA3788" w14:textId="6BEFE0E9" w:rsidR="00A24043" w:rsidRPr="00FE2937" w:rsidRDefault="00000000">
      <w:pPr>
        <w:spacing w:before="120" w:after="120" w:line="360" w:lineRule="auto"/>
        <w:rPr>
          <w:lang w:val="pt-BR"/>
        </w:rPr>
      </w:pPr>
      <w:r w:rsidRPr="00FE2937">
        <w:rPr>
          <w:b/>
          <w:lang w:val="pt-BR"/>
        </w:rPr>
        <w:t>4.</w:t>
      </w:r>
      <w:r w:rsidR="00747C30">
        <w:rPr>
          <w:b/>
          <w:lang w:val="pt-BR"/>
        </w:rPr>
        <w:t>1</w:t>
      </w:r>
      <w:r w:rsidRPr="00FE2937">
        <w:rPr>
          <w:b/>
          <w:lang w:val="pt-BR"/>
        </w:rPr>
        <w:t xml:space="preserve"> Estrutura do Ato Concertado n. 01/2024: projeto-piloto de alienação unificada de bens</w:t>
      </w:r>
    </w:p>
    <w:p w14:paraId="0DC13DBE" w14:textId="77777777" w:rsidR="00A24043" w:rsidRPr="00FE2937" w:rsidRDefault="00000000">
      <w:pPr>
        <w:spacing w:after="0" w:line="360" w:lineRule="auto"/>
        <w:ind w:firstLine="709"/>
        <w:jc w:val="both"/>
        <w:rPr>
          <w:lang w:val="pt-BR"/>
        </w:rPr>
      </w:pPr>
      <w:r w:rsidRPr="00FE2937">
        <w:rPr>
          <w:lang w:val="pt-BR"/>
        </w:rPr>
        <w:t>A convergência entre a cooperação judiciária e a necessidade de buscar eficiência na fase de expropriação motivou a elaboração do projeto-piloto implementado na Comarca de Pau dos Ferros/RN através do Ato Concertado n. 01/2024, firmado entre os magistrados da 1ª, 2ª e 3ª Varas, bem como dos juizados especiais, visando promover a alienação conjunta de bens cíveis e criminais.</w:t>
      </w:r>
    </w:p>
    <w:p w14:paraId="496A53A0" w14:textId="77777777" w:rsidR="00A24043" w:rsidRPr="00FE2937" w:rsidRDefault="00000000">
      <w:pPr>
        <w:spacing w:after="0" w:line="360" w:lineRule="auto"/>
        <w:ind w:firstLine="709"/>
        <w:jc w:val="both"/>
        <w:rPr>
          <w:lang w:val="pt-BR"/>
        </w:rPr>
      </w:pPr>
      <w:r w:rsidRPr="00FE2937">
        <w:rPr>
          <w:lang w:val="pt-BR"/>
        </w:rPr>
        <w:lastRenderedPageBreak/>
        <w:t>O projeto-piloto de Leilão Judicial Unificado tem o objetivo de apresentar uma resposta institucional local à ineficiência do modelo atomizado de expropriação previsto no CPC, marcado por tentativas de leilões desertos nas varas isoladas. A justificativa do modelo está expressa nos "Considerandos", onde consta uma série de fundamentos que embasaram a decisão de adotar o leilão unificado.</w:t>
      </w:r>
    </w:p>
    <w:p w14:paraId="0F170469" w14:textId="77777777" w:rsidR="00A24043" w:rsidRPr="00FE2937" w:rsidRDefault="00000000">
      <w:pPr>
        <w:spacing w:after="0" w:line="360" w:lineRule="auto"/>
        <w:ind w:firstLine="709"/>
        <w:jc w:val="both"/>
        <w:rPr>
          <w:lang w:val="pt-BR"/>
        </w:rPr>
      </w:pPr>
      <w:r w:rsidRPr="00FE2937">
        <w:rPr>
          <w:lang w:val="pt-BR"/>
        </w:rPr>
        <w:t>Inicialmente, destaca-se o princípio constitucional da razoável duração do processo (art. 5º, LXXVIII, da CF/88) e os mecanismos de cooperação judiciária previstos nos arts. 67 a 69 do CPC. Ademais, o texto invoca a Resolução CNJ n. 350/2020, que orienta a adoção da cooperação para a realização prática de penhoras e alienações, e a Resolução CNJ n. 558/2024, que determina a priorização dos leilões unificados na destinação de bens de processos criminais. Em complemento, o documento menciona o dado sobre a existência de bens penhorados aguardando alienação há anos nas varas envolvidas – em alguns casos, há mais de quatro anos pendentes de venda – evidenciando a necessidade de uma solução integrada.</w:t>
      </w:r>
    </w:p>
    <w:p w14:paraId="0110D71D" w14:textId="77777777" w:rsidR="00A24043" w:rsidRPr="00FE2937" w:rsidRDefault="00000000">
      <w:pPr>
        <w:spacing w:after="0" w:line="360" w:lineRule="auto"/>
        <w:ind w:firstLine="709"/>
        <w:jc w:val="both"/>
        <w:rPr>
          <w:lang w:val="pt-BR"/>
        </w:rPr>
      </w:pPr>
      <w:r w:rsidRPr="00FE2937">
        <w:rPr>
          <w:lang w:val="pt-BR"/>
        </w:rPr>
        <w:t>Quanto à estrutura, o Ato Concertado institui um procedimento centralizado e racional. A centralização do procedimento ocorre na figura do "Juiz(a) Presidente dos Leilões Judiciais Unificados", função exercida pelo magistrado coordenador da Secretaria Unificada da Comarca, que detém atribuições para decidir impugnações vinculadas ao ato expropriatório, definir a periodicidade dos certames e a quantidade de bens em cada lote, designar leiloeiros e fixar sua remuneração, conforme a Resolução CNJ n. 236/2016. Dessa forma, retira-se a carga administrativa das varas de origem.</w:t>
      </w:r>
    </w:p>
    <w:p w14:paraId="7E191207" w14:textId="77777777" w:rsidR="00A24043" w:rsidRPr="00FE2937" w:rsidRDefault="00000000">
      <w:pPr>
        <w:spacing w:after="0" w:line="360" w:lineRule="auto"/>
        <w:ind w:firstLine="709"/>
        <w:jc w:val="both"/>
        <w:rPr>
          <w:lang w:val="pt-BR"/>
        </w:rPr>
      </w:pPr>
      <w:r w:rsidRPr="00FE2937">
        <w:rPr>
          <w:lang w:val="pt-BR"/>
        </w:rPr>
        <w:t>A racionalização do modelo é operacionalizada mediante o cadastro de três processos "contêineres" para gerir todas as alienações da comarca: um para bens criminais, um para bens móveis cíveis e um para bens imóveis cíveis (art. 3º), cujo fluxo procedimental, definido de acordo com a natureza dos bens, será analisado no item seguinte.</w:t>
      </w:r>
    </w:p>
    <w:p w14:paraId="22D593FA" w14:textId="77777777" w:rsidR="00A24043" w:rsidRPr="00FE2937" w:rsidRDefault="00000000">
      <w:pPr>
        <w:spacing w:after="0" w:line="360" w:lineRule="auto"/>
        <w:ind w:firstLine="709"/>
        <w:jc w:val="both"/>
        <w:rPr>
          <w:lang w:val="pt-BR"/>
        </w:rPr>
      </w:pPr>
      <w:r w:rsidRPr="00FE2937">
        <w:rPr>
          <w:lang w:val="pt-BR"/>
        </w:rPr>
        <w:t xml:space="preserve">Analisando essa modelagem sob a ótica das teorias de formulação e implementação de políticas públicas, o Ato Concertado n. 01/2024 é um exemplo da abordagem </w:t>
      </w:r>
      <w:proofErr w:type="spellStart"/>
      <w:r w:rsidRPr="00F1076B">
        <w:rPr>
          <w:i/>
          <w:iCs/>
          <w:lang w:val="pt-BR"/>
        </w:rPr>
        <w:t>bottom-up</w:t>
      </w:r>
      <w:proofErr w:type="spellEnd"/>
      <w:r w:rsidRPr="00FE2937">
        <w:rPr>
          <w:lang w:val="pt-BR"/>
        </w:rPr>
        <w:t xml:space="preserve"> (de baixo para cima). Diante da ausência de uma política nacional macro que resolvesse o problema da dispersão expropriatória, os atores locais (magistrados da comarca) utilizaram sua discricionariedade e os instrumentos de cooperação para inovar. É o que se extrai da literatura especializada que trata sobre o ciclo de políticas públicas:</w:t>
      </w:r>
    </w:p>
    <w:p w14:paraId="769A9F61" w14:textId="77777777" w:rsidR="00A24043" w:rsidRPr="00917F09" w:rsidRDefault="00000000" w:rsidP="00917F09">
      <w:pPr>
        <w:spacing w:after="0" w:line="360" w:lineRule="auto"/>
        <w:ind w:left="2268"/>
        <w:jc w:val="both"/>
        <w:rPr>
          <w:sz w:val="22"/>
          <w:szCs w:val="20"/>
          <w:lang w:val="pt-BR"/>
        </w:rPr>
      </w:pPr>
      <w:r w:rsidRPr="00917F09">
        <w:rPr>
          <w:sz w:val="22"/>
          <w:szCs w:val="20"/>
          <w:lang w:val="pt-BR"/>
        </w:rPr>
        <w:t xml:space="preserve">A investigação sobre implementação, nesta perspectiva, toma como ponto de partida os atores que atuam 'no nível de rua', na ponta onde o serviço é prestado. Rejeita-se a ideia de que tudo é definido anteriormente no </w:t>
      </w:r>
      <w:r w:rsidRPr="00917F09">
        <w:rPr>
          <w:sz w:val="22"/>
          <w:szCs w:val="20"/>
          <w:lang w:val="pt-BR"/>
        </w:rPr>
        <w:lastRenderedPageBreak/>
        <w:t>momento da formulação. Advoga-se que, ao contrário, há uma margem de discricionariedade inerente à implementação. (Farah, 2021, p. 657).</w:t>
      </w:r>
    </w:p>
    <w:p w14:paraId="24E149F8" w14:textId="77777777" w:rsidR="00A24043" w:rsidRPr="00FE2937" w:rsidRDefault="00000000">
      <w:pPr>
        <w:spacing w:after="0" w:line="360" w:lineRule="auto"/>
        <w:ind w:firstLine="709"/>
        <w:jc w:val="both"/>
        <w:rPr>
          <w:lang w:val="pt-BR"/>
        </w:rPr>
      </w:pPr>
      <w:r w:rsidRPr="00FE2937">
        <w:rPr>
          <w:lang w:val="pt-BR"/>
        </w:rPr>
        <w:t>O Ato Concertado atua, portanto, como o alicerce normativo de uma política pública judiciária desenhada localmente, posto que organiza os atores, distribui competências (entre o Juiz Presidente e os juízos de origem) e define os instrumentos tecnológicos e procedimentais a serem utilizados. A iniciativa corrobora com a tese de que o Judiciário deixou de ser um mero aplicador inerte da lei para assumir uma postura ativa de formulador de ações que visam à melhoria do acesso à justiça, consolidando a chamada terceira onda renovatória (Richa, 2022). Trata-se do exercício de uma função estatal atípica focada na governança e na eficiência do sistema de justiça.</w:t>
      </w:r>
    </w:p>
    <w:p w14:paraId="71DF8123" w14:textId="77777777" w:rsidR="00A24043" w:rsidRPr="00FE2937" w:rsidRDefault="00000000">
      <w:pPr>
        <w:spacing w:after="0" w:line="360" w:lineRule="auto"/>
        <w:ind w:firstLine="709"/>
        <w:jc w:val="both"/>
        <w:rPr>
          <w:lang w:val="pt-BR"/>
        </w:rPr>
      </w:pPr>
      <w:r w:rsidRPr="00FE2937">
        <w:rPr>
          <w:lang w:val="pt-BR"/>
        </w:rPr>
        <w:t xml:space="preserve">Enfim, a estrutura delineada no Ato Concertado n. 01/2024, além de resolver um problema local, pode servir como </w:t>
      </w:r>
      <w:proofErr w:type="spellStart"/>
      <w:r w:rsidRPr="00F1076B">
        <w:rPr>
          <w:i/>
          <w:iCs/>
          <w:lang w:val="pt-BR"/>
        </w:rPr>
        <w:t>policy</w:t>
      </w:r>
      <w:proofErr w:type="spellEnd"/>
      <w:r w:rsidRPr="00F1076B">
        <w:rPr>
          <w:i/>
          <w:iCs/>
          <w:lang w:val="pt-BR"/>
        </w:rPr>
        <w:t xml:space="preserve"> design</w:t>
      </w:r>
      <w:r w:rsidRPr="00FE2937">
        <w:rPr>
          <w:lang w:val="pt-BR"/>
        </w:rPr>
        <w:t xml:space="preserve"> validado (projeto-piloto) que fundamenta a proposta do projeto de pesquisa no sentido de que o CNJ possa instituir uma "Política Nacional de Alienação Unificada de Bens", transformando inovações incrementais e fragmentadas em uma diretriz obrigatória, contínua e escalável para todo o Poder Judiciário.</w:t>
      </w:r>
    </w:p>
    <w:p w14:paraId="4F257F0C" w14:textId="636AA0B9" w:rsidR="00A24043" w:rsidRPr="00FE2937" w:rsidRDefault="00000000">
      <w:pPr>
        <w:spacing w:before="120" w:after="120" w:line="360" w:lineRule="auto"/>
        <w:rPr>
          <w:lang w:val="pt-BR"/>
        </w:rPr>
      </w:pPr>
      <w:r w:rsidRPr="00FE2937">
        <w:rPr>
          <w:b/>
          <w:lang w:val="pt-BR"/>
        </w:rPr>
        <w:t>4.</w:t>
      </w:r>
      <w:r w:rsidR="00747C30">
        <w:rPr>
          <w:b/>
          <w:lang w:val="pt-BR"/>
        </w:rPr>
        <w:t>2</w:t>
      </w:r>
      <w:r w:rsidRPr="00FE2937">
        <w:rPr>
          <w:b/>
          <w:lang w:val="pt-BR"/>
        </w:rPr>
        <w:t xml:space="preserve"> Modelagem operacional do leilão judicial unificado</w:t>
      </w:r>
    </w:p>
    <w:p w14:paraId="6C87CAEB" w14:textId="77777777" w:rsidR="00A24043" w:rsidRPr="00FE2937" w:rsidRDefault="00000000">
      <w:pPr>
        <w:spacing w:after="0" w:line="360" w:lineRule="auto"/>
        <w:ind w:firstLine="709"/>
        <w:jc w:val="both"/>
        <w:rPr>
          <w:lang w:val="pt-BR"/>
        </w:rPr>
      </w:pPr>
      <w:r w:rsidRPr="00FE2937">
        <w:rPr>
          <w:lang w:val="pt-BR"/>
        </w:rPr>
        <w:t>A modelagem do sistema prevê que, inicialmente, o servidor cadastre os processos unificados tomando por base a lista de bens levantada em certidão pelo chefe da Secretaria Unificada. Assim, em vez de cada execução individual cuidar de leiloar isoladamente seu bem penhorado, a atividade é transferida para um processo centralizado por categoria de bem.</w:t>
      </w:r>
    </w:p>
    <w:p w14:paraId="3080983A" w14:textId="77777777" w:rsidR="00A24043" w:rsidRPr="00FE2937" w:rsidRDefault="00000000">
      <w:pPr>
        <w:spacing w:after="0" w:line="360" w:lineRule="auto"/>
        <w:ind w:firstLine="709"/>
        <w:jc w:val="both"/>
        <w:rPr>
          <w:lang w:val="pt-BR"/>
        </w:rPr>
      </w:pPr>
      <w:r w:rsidRPr="00FE2937">
        <w:rPr>
          <w:lang w:val="pt-BR"/>
        </w:rPr>
        <w:t>O art. 3º, §1º confere ao Juiz Presidente dos Leilões a prerrogativa de definir a periodicidade dos leilões unificados e a quantidade de bens oferecidos em cada evento, de acordo com a demanda. Na prática, isso permite flexibilidade e planejamento: por exemplo, o magistrado coordenador pode estabelecer que os leilões unificados ocorram trimestralmente ou semestralmente, reunindo um número viável de lotes em cada ocasião, evitando tanto a existência de leilões muito esparsos com poucos bens quanto o excesso de bens em um único evento.</w:t>
      </w:r>
    </w:p>
    <w:p w14:paraId="505CB07A" w14:textId="77777777" w:rsidR="00A24043" w:rsidRPr="00FE2937" w:rsidRDefault="00000000">
      <w:pPr>
        <w:spacing w:after="0" w:line="360" w:lineRule="auto"/>
        <w:ind w:firstLine="709"/>
        <w:jc w:val="both"/>
        <w:rPr>
          <w:lang w:val="pt-BR"/>
        </w:rPr>
      </w:pPr>
      <w:r w:rsidRPr="00FE2937">
        <w:rPr>
          <w:lang w:val="pt-BR"/>
        </w:rPr>
        <w:t xml:space="preserve">Para gerir a alienação judicial dos bens, são autuados três processos de acordo com a natureza: um processo unificado para bens oriundos de feitos criminais, um para bens móveis provenientes de feitos cíveis e outro para bens imóveis também provenientes de feitos cíveis. Para tanto, faz-se um levantamento prévio, compilando todos os ativos pendentes de alienação nas varas cooperantes, e essa lista unificada servirá para alimentar os processos de alienação </w:t>
      </w:r>
      <w:r w:rsidRPr="00FE2937">
        <w:rPr>
          <w:lang w:val="pt-BR"/>
        </w:rPr>
        <w:lastRenderedPageBreak/>
        <w:t>unificada. Em cada processo unificado haverá apenas um leilão (evento) e, após a conclusão do leilão, o processo unificado será extinto.</w:t>
      </w:r>
    </w:p>
    <w:p w14:paraId="0EEB1622" w14:textId="77777777" w:rsidR="00A24043" w:rsidRPr="00FE2937" w:rsidRDefault="00000000">
      <w:pPr>
        <w:spacing w:after="0" w:line="360" w:lineRule="auto"/>
        <w:ind w:firstLine="709"/>
        <w:jc w:val="both"/>
        <w:rPr>
          <w:lang w:val="pt-BR"/>
        </w:rPr>
      </w:pPr>
      <w:r w:rsidRPr="00FE2937">
        <w:rPr>
          <w:lang w:val="pt-BR"/>
        </w:rPr>
        <w:t>A ideia é abrir um novo processo unificado a cada edição do leilão. Por exemplo, se forem realizados leilões unificados anuais, a cada ano abrir-se-ão três novos processos (um criminal, um para bens móveis cíveis e outro para bens imóveis cíveis) que, depois de realizado o leilão e distribuído o produto da venda, serão encerrados.</w:t>
      </w:r>
    </w:p>
    <w:p w14:paraId="6BBCD9B6" w14:textId="77777777" w:rsidR="00A24043" w:rsidRPr="00FE2937" w:rsidRDefault="00000000">
      <w:pPr>
        <w:spacing w:after="0" w:line="360" w:lineRule="auto"/>
        <w:ind w:firstLine="709"/>
        <w:jc w:val="both"/>
        <w:rPr>
          <w:lang w:val="pt-BR"/>
        </w:rPr>
      </w:pPr>
      <w:r w:rsidRPr="00FE2937">
        <w:rPr>
          <w:lang w:val="pt-BR"/>
        </w:rPr>
        <w:t>Nos arts. 4º e 5º do Ato Concertado, há disposições específicas para operacionalizar a transferência documental dos bens a serem leiloados dos processos de origem para os processos unificados. No âmbito criminal, após o trânsito em julgado da decisão que decreta o perdimento ou determina a alienação do bem, o servidor deve extrair cópias das peças (auto de apreensão, sentença ou decisão que decretou a perda do bem e certidão de trânsito em julgado) e juntá-las ao processo unificado criminal. Simultaneamente, certifica-se no processo original que essas informações foram trasladadas, indicando-se o número do processo de leilão, e em seguida o processo originário, caso não haja outras pendências, pode ser arquivado. Essa medida previne a duplicidade de tramitações: o feito principal encerra-se quanto à questão do bem, passando a execução da venda a ocorrer integralmente no processo unificado.</w:t>
      </w:r>
    </w:p>
    <w:p w14:paraId="46F90045" w14:textId="77777777" w:rsidR="00A24043" w:rsidRPr="00FE2937" w:rsidRDefault="00000000">
      <w:pPr>
        <w:spacing w:after="0" w:line="360" w:lineRule="auto"/>
        <w:ind w:firstLine="709"/>
        <w:jc w:val="both"/>
        <w:rPr>
          <w:lang w:val="pt-BR"/>
        </w:rPr>
      </w:pPr>
      <w:r w:rsidRPr="00FE2937">
        <w:rPr>
          <w:lang w:val="pt-BR"/>
        </w:rPr>
        <w:t>Quanto à destinação do produto da alienação dos bens oriundos de processos criminais, o ato determina que seja encaminhado à entidade ou fundo previsto na sentença/acórdão; não havendo destinação expressa, direciona-se ao FUNPEN/FUNCERN (Fundo Penitenciário, nos termos da Lei Complementar n. 79/1994 combinada com a Lei Complementar Estadual n. 289/2005). Por fim, diante da possibilidade de bens de baixo valor ou em péssimo estado não atraírem interessados, o ato autoriza que o Juiz Presidente delibere sobre seu destino, inclusive determinando a doação ou destruição, evitando indefinições ou gastos de armazenamento com bens inservíveis.</w:t>
      </w:r>
    </w:p>
    <w:p w14:paraId="598C394C" w14:textId="77777777" w:rsidR="00A24043" w:rsidRPr="00FE2937" w:rsidRDefault="00000000">
      <w:pPr>
        <w:spacing w:after="0" w:line="360" w:lineRule="auto"/>
        <w:ind w:firstLine="709"/>
        <w:jc w:val="both"/>
        <w:rPr>
          <w:lang w:val="pt-BR"/>
        </w:rPr>
      </w:pPr>
      <w:r w:rsidRPr="00FE2937">
        <w:rPr>
          <w:lang w:val="pt-BR"/>
        </w:rPr>
        <w:t xml:space="preserve">No âmbito dos processos cíveis, o art. 5º do Ato Concertado 01/2024 lista os documentos e informações que devem instruir o processo unificado respectivo: cópia da decisão de avaliação do bem e que determinou a alienação judicial (com certidão de preclusão), cópia do auto de penhora e do laudo de avaliação (ou auto de avaliação atualizado), bem como os dados qualificadores das partes executadas (CPF/CNPJ dos devedores, por exemplo), entre outros. Em essência, replica-se a lógica de trasladar os documentos essenciais de cada execução para compor o novo processo de leilão unificado, garantindo que este contenha todas as informações indispensáveis para a publicitação do </w:t>
      </w:r>
      <w:r w:rsidRPr="00FE2937">
        <w:rPr>
          <w:lang w:val="pt-BR"/>
        </w:rPr>
        <w:lastRenderedPageBreak/>
        <w:t>edital, para o exame de eventual impugnação na fase de expropriação e para a expedição da carta de arrematação ou mandado de entrega em favor do arrematante.</w:t>
      </w:r>
    </w:p>
    <w:p w14:paraId="737EF777" w14:textId="77777777" w:rsidR="00A24043" w:rsidRPr="00FE2937" w:rsidRDefault="00000000">
      <w:pPr>
        <w:spacing w:after="0" w:line="360" w:lineRule="auto"/>
        <w:ind w:firstLine="709"/>
        <w:jc w:val="both"/>
        <w:rPr>
          <w:lang w:val="pt-BR"/>
        </w:rPr>
      </w:pPr>
      <w:r w:rsidRPr="00FE2937">
        <w:rPr>
          <w:lang w:val="pt-BR"/>
        </w:rPr>
        <w:t>Após a arrematação, o produto da alienação dos bens cíveis é depositado, de forma individualizada, em cada processo de origem, que retoma seu curso normal. Caso o leilão resulte negativo, o resultado também é informado ao processo de origem para que o juiz natural decida sobre o destino do bem, preservando a competência jurisdicional residual. Dessa forma, o fluxograma operacional do leilão mitiga o retrabalho dos serventuários da justiça.</w:t>
      </w:r>
    </w:p>
    <w:p w14:paraId="68E88EC8" w14:textId="2752CF91" w:rsidR="00A24043" w:rsidRPr="00FE2937" w:rsidRDefault="00000000">
      <w:pPr>
        <w:spacing w:before="120" w:after="120" w:line="360" w:lineRule="auto"/>
        <w:rPr>
          <w:lang w:val="pt-BR"/>
        </w:rPr>
      </w:pPr>
      <w:r w:rsidRPr="00FE2937">
        <w:rPr>
          <w:b/>
          <w:lang w:val="pt-BR"/>
        </w:rPr>
        <w:t>4.</w:t>
      </w:r>
      <w:r w:rsidR="00747C30">
        <w:rPr>
          <w:b/>
          <w:lang w:val="pt-BR"/>
        </w:rPr>
        <w:t>3</w:t>
      </w:r>
      <w:r w:rsidRPr="00FE2937">
        <w:rPr>
          <w:b/>
          <w:lang w:val="pt-BR"/>
        </w:rPr>
        <w:t xml:space="preserve"> Resultados empíricos do Ato Concertado n. 01/2024: do protótipo local à formulação de política pública judiciária nacional de alienação unificada de bens</w:t>
      </w:r>
    </w:p>
    <w:p w14:paraId="3CBA86EB" w14:textId="77777777" w:rsidR="00A24043" w:rsidRPr="00FE2937" w:rsidRDefault="00000000">
      <w:pPr>
        <w:spacing w:after="0" w:line="360" w:lineRule="auto"/>
        <w:ind w:firstLine="709"/>
        <w:jc w:val="both"/>
        <w:rPr>
          <w:lang w:val="pt-BR"/>
        </w:rPr>
      </w:pPr>
      <w:r w:rsidRPr="00FE2937">
        <w:rPr>
          <w:lang w:val="pt-BR"/>
        </w:rPr>
        <w:t>Os atos concertados funcionam como um "instrumento com elevado potencial de contribuição para o desenvolvimento de políticas de gestão de processos pelo Judiciário" (Lunardi, 2017, p. 273), pois permitem que juízes cooperantes aglutinem demandas e racionalizem o processamento de atos executórios repetitivos.</w:t>
      </w:r>
    </w:p>
    <w:p w14:paraId="5AD6AD4D" w14:textId="77777777" w:rsidR="00A24043" w:rsidRPr="00FE2937" w:rsidRDefault="00000000">
      <w:pPr>
        <w:spacing w:after="0" w:line="360" w:lineRule="auto"/>
        <w:ind w:firstLine="709"/>
        <w:jc w:val="both"/>
        <w:rPr>
          <w:lang w:val="pt-BR"/>
        </w:rPr>
      </w:pPr>
      <w:r w:rsidRPr="00FE2937">
        <w:rPr>
          <w:lang w:val="pt-BR"/>
        </w:rPr>
        <w:t>No âmbito local, a pesquisa-ação sobre o Ato Concertado n. 01/2024 permitiu testar um novo arranjo para a alienação de bens, revelando-se uma ferramenta eficaz para contornar a ineficiência do modelo tradicional atomizado. O projeto-piloto teve início no segundo semestre de 2025, com a publicação do Edital de Leilão Judicial Unificado de bens criminais n. 01/2025, composto por 35 lotes. Na primeira praça, realizada em 10/10/2025, todos os lotes foram arrematados, arrecadando R$ 91.497,00 com a alienação de sucatas e veículos obsoletos acumulados no pátio do fórum.</w:t>
      </w:r>
    </w:p>
    <w:p w14:paraId="78C34B32" w14:textId="77777777" w:rsidR="00A24043" w:rsidRPr="00FE2937" w:rsidRDefault="00000000">
      <w:pPr>
        <w:spacing w:after="0" w:line="360" w:lineRule="auto"/>
        <w:ind w:firstLine="709"/>
        <w:jc w:val="both"/>
        <w:rPr>
          <w:lang w:val="pt-BR"/>
        </w:rPr>
      </w:pPr>
      <w:r w:rsidRPr="00FE2937">
        <w:rPr>
          <w:lang w:val="pt-BR"/>
        </w:rPr>
        <w:t>Paralelamente, deflagrou-se o procedimento de alienação unificada de bens móveis vinculados a ações cíveis (Cumprimentos de Sentença, Execuções de Títulos Extrajudiciais, Fiscais e Monitórias) por meio do Edital n. 02/2025. Na praça ocorrida em 07/11/2025, obteve-se êxito quase integral, restando sem licitante apenas o lote 6, composto por equipamentos de informática.</w:t>
      </w:r>
    </w:p>
    <w:p w14:paraId="7728B067" w14:textId="77777777" w:rsidR="00A24043" w:rsidRPr="00FE2937" w:rsidRDefault="00000000">
      <w:pPr>
        <w:spacing w:after="0" w:line="360" w:lineRule="auto"/>
        <w:ind w:firstLine="709"/>
        <w:jc w:val="both"/>
        <w:rPr>
          <w:lang w:val="pt-BR"/>
        </w:rPr>
      </w:pPr>
      <w:r w:rsidRPr="00FE2937">
        <w:rPr>
          <w:lang w:val="pt-BR"/>
        </w:rPr>
        <w:t>A análise do Ato Concertado n. 01/2024 da Comarca de Pau dos Ferros/RN evidencia que a alienação judicial unificada, enquanto instrumento de cooperação judiciária, configura uma experiência relevante de pesquisa-ação voltada ao enfrentamento da ineficiência institucional na fase de expropriação. Em escala local, o modelo demonstrou a viabilidade de racionalização da hasta pública mediante centralização procedimental, divisão funcional de competências e coordenação entre unidades judiciais.</w:t>
      </w:r>
    </w:p>
    <w:p w14:paraId="6F044757" w14:textId="77777777" w:rsidR="00A24043" w:rsidRPr="00FE2937" w:rsidRDefault="00000000">
      <w:pPr>
        <w:spacing w:after="0" w:line="360" w:lineRule="auto"/>
        <w:ind w:firstLine="709"/>
        <w:jc w:val="both"/>
        <w:rPr>
          <w:lang w:val="pt-BR"/>
        </w:rPr>
      </w:pPr>
      <w:r w:rsidRPr="00FE2937">
        <w:rPr>
          <w:lang w:val="pt-BR"/>
        </w:rPr>
        <w:lastRenderedPageBreak/>
        <w:t>A pesquisa-ação do Ato Concertado n. 01/2024 operou como laboratório empírico ao produzir aprendizados operacionais sobre o fluxo dos leilões e a gestão de bens. Contudo, a experiência revelou que a inovação incremental conduzida pelos juízes de primeiro grau tende a encontrar um teto de escala e apresenta visíveis limites estruturais que impedem a replicação eficiente em âmbito nacional.</w:t>
      </w:r>
    </w:p>
    <w:p w14:paraId="1231D26A" w14:textId="77777777" w:rsidR="00A24043" w:rsidRPr="00FE2937" w:rsidRDefault="00000000">
      <w:pPr>
        <w:spacing w:after="0" w:line="360" w:lineRule="auto"/>
        <w:ind w:firstLine="709"/>
        <w:jc w:val="both"/>
        <w:rPr>
          <w:lang w:val="pt-BR"/>
        </w:rPr>
      </w:pPr>
      <w:r w:rsidRPr="00FE2937">
        <w:rPr>
          <w:lang w:val="pt-BR"/>
        </w:rPr>
        <w:t>Um primeiro obstáculo decorre da própria natureza do instituto, que depende da adesão dos magistrados de cada unidade jurisdicional. Em um Judiciário fragmentado, com segmentação entre justiças estadual, federal e do trabalho, e capilarização em milhares de unidades, a condução de uma política de alienação baseada apenas em atos concertados locais torna-se, do ponto de vista da gestão pública, inviável e de difícil monitoramento.</w:t>
      </w:r>
    </w:p>
    <w:p w14:paraId="1C61DF16" w14:textId="77777777" w:rsidR="00A24043" w:rsidRPr="00FE2937" w:rsidRDefault="00000000">
      <w:pPr>
        <w:spacing w:after="0" w:line="360" w:lineRule="auto"/>
        <w:ind w:firstLine="709"/>
        <w:jc w:val="both"/>
        <w:rPr>
          <w:lang w:val="pt-BR"/>
        </w:rPr>
      </w:pPr>
      <w:r w:rsidRPr="00FE2937">
        <w:rPr>
          <w:lang w:val="pt-BR"/>
        </w:rPr>
        <w:t>A esse obstáculo gerencial soma-se o problema de escala. O arranjo de Pau dos Ferros/RN foi implementado em uma comarca com mais de uma vara, o que permitiu aglutinar os acervos de bens a serem leiloados para formar lotes atrativos. No entanto, o volume não permite realizar leilões judiciais unificados em intervalos menores, não atendendo, da melhor forma possível, o princípio da razoável duração do processo na fase satisfativa. Ademais, a realidade brasileira é majoritariamente composta por comarcas de vara única (ou com número muito reduzido de unidades), em razão da dimensão territorial dos municípios e do modelo capilarizado da justiça. Nesses cenários, o modelo de ato concertado perde utilidade prática, pois o volume de bens em uma única vara, isoladamente, tende a ser insuficiente para formar lotes competitivos, capazes de atrair leiloeiros e arrematantes, mantendo o problema do gargalo da execução.</w:t>
      </w:r>
    </w:p>
    <w:p w14:paraId="71B819C5" w14:textId="77777777" w:rsidR="00A24043" w:rsidRPr="00FE2937" w:rsidRDefault="00000000">
      <w:pPr>
        <w:spacing w:after="0" w:line="360" w:lineRule="auto"/>
        <w:ind w:firstLine="709"/>
        <w:jc w:val="both"/>
        <w:rPr>
          <w:lang w:val="pt-BR"/>
        </w:rPr>
      </w:pPr>
      <w:r w:rsidRPr="00FE2937">
        <w:rPr>
          <w:lang w:val="pt-BR"/>
        </w:rPr>
        <w:t>Para além do problema do volume de bens a serem leiloados por unidade judiciária, outro entrave diz respeito ao modelo atual de distribuição dos leilões entre os leiloeiros, cada qual com plataforma própria, nomeados via sorteio, na forma da Resolução CNJ n. 236/2016 (CNJ, 2016, art. 9º). Segundo dados do portal do Instituto Nacional de Leiloeiros e Tecnologia (</w:t>
      </w:r>
      <w:proofErr w:type="spellStart"/>
      <w:r w:rsidRPr="00FE2937">
        <w:rPr>
          <w:lang w:val="pt-BR"/>
        </w:rPr>
        <w:t>InnLei</w:t>
      </w:r>
      <w:proofErr w:type="spellEnd"/>
      <w:r w:rsidRPr="00FE2937">
        <w:rPr>
          <w:lang w:val="pt-BR"/>
        </w:rPr>
        <w:t>), o Brasil conta com mais de 2.200 (dois mil e duzentos) leiloeiros ativos. A pluralidade de profissionais, embora seja positiva sob o prisma da livre iniciativa, compromete a eficácia do leilão, sob a ótica da ampla concorrência, posto que a divulgação do leilão depende da amplitude da plataforma do leiloeiro sorteado.</w:t>
      </w:r>
    </w:p>
    <w:p w14:paraId="3EC17F0C" w14:textId="77777777" w:rsidR="00A24043" w:rsidRPr="00FE2937" w:rsidRDefault="00000000">
      <w:pPr>
        <w:spacing w:after="0" w:line="360" w:lineRule="auto"/>
        <w:ind w:firstLine="709"/>
        <w:jc w:val="both"/>
        <w:rPr>
          <w:lang w:val="pt-BR"/>
        </w:rPr>
      </w:pPr>
      <w:r w:rsidRPr="00FE2937">
        <w:rPr>
          <w:lang w:val="pt-BR"/>
        </w:rPr>
        <w:t>Dessa forma, embora o arranjo do modelo de leilões com base no ato concertado tenha racionalizado a gestão processual, não elimina a dependência de sites particulares de leiloeiros. Assim, a eficiência do leilão permanece subordinada ao poder de alcance do portal privado do leiloeiro, de modo que bens levados a hasta em sites de pouca visibilidade tendem a receber menos lances pelos potenciais interessados.</w:t>
      </w:r>
    </w:p>
    <w:p w14:paraId="2033B92A" w14:textId="77777777" w:rsidR="00A24043" w:rsidRPr="00FE2937" w:rsidRDefault="00000000">
      <w:pPr>
        <w:spacing w:after="0" w:line="360" w:lineRule="auto"/>
        <w:ind w:firstLine="709"/>
        <w:jc w:val="both"/>
        <w:rPr>
          <w:lang w:val="pt-BR"/>
        </w:rPr>
      </w:pPr>
      <w:r w:rsidRPr="00FE2937">
        <w:rPr>
          <w:lang w:val="pt-BR"/>
        </w:rPr>
        <w:lastRenderedPageBreak/>
        <w:t>A expropriação judicial de bens demanda política pública judiciária nacional estruturada em torno de um Sistema Eletrônico de Leilão Judicial Unificado centralizado em plataforma eletrônica única, capaz de ampliar a visibilidade dos certames e fortalecer a ampla concorrência entre arrematantes. Na modelagem proposta, os leiloeiros continuam desempenhando a função operacional, mas a realização do leilão ocorreria na plataforma pública nacional.</w:t>
      </w:r>
    </w:p>
    <w:p w14:paraId="7B5356DF" w14:textId="77777777" w:rsidR="00A24043" w:rsidRPr="00FE2937" w:rsidRDefault="00000000">
      <w:pPr>
        <w:spacing w:after="0" w:line="360" w:lineRule="auto"/>
        <w:ind w:firstLine="709"/>
        <w:jc w:val="both"/>
        <w:rPr>
          <w:lang w:val="pt-BR"/>
        </w:rPr>
      </w:pPr>
      <w:r w:rsidRPr="00FE2937">
        <w:rPr>
          <w:lang w:val="pt-BR"/>
        </w:rPr>
        <w:t>Essa centralização encontra paradigma, validado há mais de uma década, no benchmark da Receita Federal do Brasil (RFB). O órgão fazendário, que antes realizava pregões pulverizados, promoveu uma verdadeira inovação ao implementar o Sistema de Leilão Eletrônico (SLE) que permitiu a realização de leilões unificados de bens apreendidos. Os resultados relativos aos quatro anos iniciais de operação do SLE estão descritos no relatório da Receita Federal do Brasil (2015, p.768) que integra o processo n. 10168.001160/2010-05, o qual afirma que:</w:t>
      </w:r>
    </w:p>
    <w:p w14:paraId="4738A851" w14:textId="77777777" w:rsidR="00A24043" w:rsidRPr="00FE2937" w:rsidRDefault="00000000" w:rsidP="00917F09">
      <w:pPr>
        <w:spacing w:after="0" w:line="360" w:lineRule="auto"/>
        <w:ind w:left="2268"/>
        <w:jc w:val="both"/>
        <w:rPr>
          <w:lang w:val="pt-BR"/>
        </w:rPr>
      </w:pPr>
      <w:r w:rsidRPr="00917F09">
        <w:rPr>
          <w:sz w:val="22"/>
          <w:szCs w:val="20"/>
          <w:lang w:val="pt-BR"/>
        </w:rPr>
        <w:t>O SLE é ferramenta de fundamental importância para a RFB promover a eficiente saída das mercadorias apreendidas dos depósitos. Desde a sua efetiva utilização (janeiro/2011 a junho/2015), foram realizados cerca de 700 leilões eletrônicos, que totalizaram uma arrecadação da ordem de R$ 1 bilhão relativa à venda de cerca de 45 mil lotes. A inovação propiciada pelo SLE resultou no aumento significativo do quantitativo de certames e de licitantes, o que alavancou a competitividade, o número de leilões realizados e de lotes vendidos, com consequente incremento na arrecadação. O SLE também simplificou procedimentos, reduziu custos e ampliou a segurança e a confiabilidade dos leilões.</w:t>
      </w:r>
    </w:p>
    <w:p w14:paraId="639DF647" w14:textId="77777777" w:rsidR="00A24043" w:rsidRPr="00FE2937" w:rsidRDefault="00000000">
      <w:pPr>
        <w:spacing w:after="0" w:line="360" w:lineRule="auto"/>
        <w:ind w:firstLine="709"/>
        <w:jc w:val="both"/>
        <w:rPr>
          <w:lang w:val="pt-BR"/>
        </w:rPr>
      </w:pPr>
      <w:r w:rsidRPr="00FE2937">
        <w:rPr>
          <w:lang w:val="pt-BR"/>
        </w:rPr>
        <w:t>A centralização tecnológica simplificou os procedimentos, em decorrência da padronização, reduziu os custos operacionais e ampliou a confiabilidade dos leilões.  Transportando para o modelo de alienação judicial de bens, a criação de um "Portal Nacional de Leilões Judiciais", integrado à Plataforma Digital do Poder Judiciário Brasileiro (PDPJ-Br), formaria uma vitrine única, padronizada e de maior acesso, resolvendo o obstáculo da multiplicidade de plataformas privadas, cujo alcance dos leilões fica refém da popularidade dos sites dos leiloeiros.</w:t>
      </w:r>
    </w:p>
    <w:p w14:paraId="3DFDED3E" w14:textId="77777777" w:rsidR="00A24043" w:rsidRPr="00FE2937" w:rsidRDefault="00000000">
      <w:pPr>
        <w:spacing w:after="0" w:line="360" w:lineRule="auto"/>
        <w:ind w:firstLine="709"/>
        <w:jc w:val="both"/>
        <w:rPr>
          <w:lang w:val="pt-BR"/>
        </w:rPr>
      </w:pPr>
      <w:r w:rsidRPr="00FE2937">
        <w:rPr>
          <w:lang w:val="pt-BR"/>
        </w:rPr>
        <w:t>A transição do modelo de cooperação com base no Ato Concertado n. 01/2024 para o modelo proposto demanda a implantação de Política Pública Judiciária nacional, gerenciada pelo CNJ. Como órgão formulador (policymaker), o CNJ dispõe de capacidade estatal para padronizar o Sistema Eletrônico de Leilão Judicial Unificado e definir, por normatização top-</w:t>
      </w:r>
      <w:proofErr w:type="spellStart"/>
      <w:r w:rsidRPr="00FE2937">
        <w:rPr>
          <w:lang w:val="pt-BR"/>
        </w:rPr>
        <w:lastRenderedPageBreak/>
        <w:t>down</w:t>
      </w:r>
      <w:proofErr w:type="spellEnd"/>
      <w:r w:rsidRPr="00FE2937">
        <w:rPr>
          <w:lang w:val="pt-BR"/>
        </w:rPr>
        <w:t>, as competências dos atores envolvidos, além de estabelecer objetivos, responsabilidades e os instrumentos tecnológicos comuns necessários para a efetivação.</w:t>
      </w:r>
    </w:p>
    <w:p w14:paraId="51832922" w14:textId="77777777" w:rsidR="00A24043" w:rsidRPr="00FE2937" w:rsidRDefault="00000000">
      <w:pPr>
        <w:spacing w:after="0" w:line="360" w:lineRule="auto"/>
        <w:ind w:firstLine="709"/>
        <w:jc w:val="both"/>
        <w:rPr>
          <w:lang w:val="pt-BR"/>
        </w:rPr>
      </w:pPr>
      <w:r w:rsidRPr="00FE2937">
        <w:rPr>
          <w:lang w:val="pt-BR"/>
        </w:rPr>
        <w:t>O Ato Concertado n. 01/2024 desempenha função de inovação institucional na gestão da expropriação judicial de bens, cuja principal contribuição consiste em oferecer base empírica para que o CNJ, na condição de formulador de política judiciária nacional (Resolução CNJ n. 325/2020, art. 2º, V), institua uma Política Nacional de Alienação Unificada de Bens, estruturada em governança multinível. Noutros termos, o Ato Concertado constitui etapa de aprendizagem institucional ao demonstrar que o enfrentamento do problema exige a transição de práticas cooperativas locais para uma política pública judiciária nacional estruturante, dotada de arranjos institucionais e capacidade estatal adequada para promover eficiência, efetividade e qualidade na prestação jurisdicional.</w:t>
      </w:r>
    </w:p>
    <w:p w14:paraId="2FCDCD60" w14:textId="77777777" w:rsidR="00A24043" w:rsidRPr="00FE2937" w:rsidRDefault="00000000">
      <w:pPr>
        <w:spacing w:after="0" w:line="360" w:lineRule="auto"/>
        <w:ind w:firstLine="709"/>
        <w:jc w:val="both"/>
        <w:rPr>
          <w:lang w:val="pt-BR"/>
        </w:rPr>
      </w:pPr>
      <w:r w:rsidRPr="00FE2937">
        <w:rPr>
          <w:lang w:val="pt-BR"/>
        </w:rPr>
        <w:t>Enfim, a pesquisa-ação sobre o Ato Concertado n. 01/2024 contribuiu para estruturar o processo de aprendizagem institucional, ao testar empiricamente um modelo de alienação judicial de bens, produzindo conhecimento aplicado para o desenho de uma política pública nacional (</w:t>
      </w:r>
      <w:proofErr w:type="spellStart"/>
      <w:r w:rsidRPr="00FE2937">
        <w:rPr>
          <w:lang w:val="pt-BR"/>
        </w:rPr>
        <w:t>Thiollent</w:t>
      </w:r>
      <w:proofErr w:type="spellEnd"/>
      <w:r w:rsidRPr="00FE2937">
        <w:rPr>
          <w:lang w:val="pt-BR"/>
        </w:rPr>
        <w:t xml:space="preserve">, 2025). Os resultados do Ato Concertado demonstraram que a agregação de atos executórios pode elevar a eficiência, mas não resolve as dificuldades operacionais do modelo pautado na iniciativa voluntária dos juízes, uma vez que permanece o problema de escala e de uniformidade dos procedimentos expropriatórios. Dessa forma, a experiência, como protótipo </w:t>
      </w:r>
      <w:proofErr w:type="spellStart"/>
      <w:r w:rsidRPr="00747C30">
        <w:rPr>
          <w:i/>
          <w:iCs/>
          <w:lang w:val="pt-BR"/>
        </w:rPr>
        <w:t>bottom-up</w:t>
      </w:r>
      <w:proofErr w:type="spellEnd"/>
      <w:r w:rsidRPr="00FE2937">
        <w:rPr>
          <w:lang w:val="pt-BR"/>
        </w:rPr>
        <w:t>, foi capaz de fornece insumos empíricos para uma política top-</w:t>
      </w:r>
      <w:proofErr w:type="spellStart"/>
      <w:r w:rsidRPr="00747C30">
        <w:rPr>
          <w:i/>
          <w:iCs/>
          <w:lang w:val="pt-BR"/>
        </w:rPr>
        <w:t>down</w:t>
      </w:r>
      <w:proofErr w:type="spellEnd"/>
      <w:r w:rsidRPr="00FE2937">
        <w:rPr>
          <w:lang w:val="pt-BR"/>
        </w:rPr>
        <w:t>.</w:t>
      </w:r>
    </w:p>
    <w:p w14:paraId="054CB56B" w14:textId="77777777" w:rsidR="00A24043" w:rsidRPr="00FE2937" w:rsidRDefault="00000000">
      <w:pPr>
        <w:spacing w:before="240" w:after="120" w:line="360" w:lineRule="auto"/>
        <w:rPr>
          <w:lang w:val="pt-BR"/>
        </w:rPr>
      </w:pPr>
      <w:r w:rsidRPr="00FE2937">
        <w:rPr>
          <w:b/>
          <w:lang w:val="pt-BR"/>
        </w:rPr>
        <w:t>5 CONCLUSÕES</w:t>
      </w:r>
    </w:p>
    <w:p w14:paraId="6AD87FAB" w14:textId="77777777" w:rsidR="00A24043" w:rsidRPr="00FE2937" w:rsidRDefault="00000000">
      <w:pPr>
        <w:spacing w:after="0" w:line="360" w:lineRule="auto"/>
        <w:ind w:firstLine="709"/>
        <w:jc w:val="both"/>
        <w:rPr>
          <w:lang w:val="pt-BR"/>
        </w:rPr>
      </w:pPr>
      <w:r w:rsidRPr="00FE2937">
        <w:rPr>
          <w:lang w:val="pt-BR"/>
        </w:rPr>
        <w:t>O estudo sobre a alienação judicial unificada a partir do Ato Concertado n. 01/2024 da Comarca de Pau dos Ferros/RN evidenciou que o gargalo da fase de expropriação no processo civil brasileiro não decorre apenas de entraves jurídicos, mas também de falhas estruturais e administrativas. Os dados compilados nos sucessivos relatórios "Justiça em Números" do CNJ demonstram que mais da metade dos processos pendentes de julgamento estão concentrados na fase de execução (52,3% no ano de 2022; 56,5% em 2023; e 55,5% no primeiro grau em 2024). Esse cenário é agravado pela ineficiência na alienação de bens penhorados e apreendidos oriundos dos processos criminais, problema identificado pelo CNJ desde 2009, cujo relatório recomendou o aperfeiçoamento dos mecanismos de alienação.</w:t>
      </w:r>
    </w:p>
    <w:p w14:paraId="0EA6AD00" w14:textId="77777777" w:rsidR="00A24043" w:rsidRPr="00FE2937" w:rsidRDefault="00000000">
      <w:pPr>
        <w:spacing w:after="0" w:line="360" w:lineRule="auto"/>
        <w:ind w:firstLine="709"/>
        <w:jc w:val="both"/>
        <w:rPr>
          <w:lang w:val="pt-BR"/>
        </w:rPr>
      </w:pPr>
      <w:r w:rsidRPr="00FE2937">
        <w:rPr>
          <w:lang w:val="pt-BR"/>
        </w:rPr>
        <w:t>Nesse cenário, o artigo demonstrou que a dispersão das medidas expropriatórias entre varas, a inexistência de governança multinível e a ausência de cooperação judiciária criam um arranjo institucional incapaz de dar efetividade ao princípio da razoável duração do processo.</w:t>
      </w:r>
    </w:p>
    <w:p w14:paraId="2B477F71" w14:textId="77777777" w:rsidR="00A24043" w:rsidRPr="00FE2937" w:rsidRDefault="00000000">
      <w:pPr>
        <w:spacing w:after="0" w:line="360" w:lineRule="auto"/>
        <w:ind w:firstLine="709"/>
        <w:jc w:val="both"/>
        <w:rPr>
          <w:lang w:val="pt-BR"/>
        </w:rPr>
      </w:pPr>
      <w:r w:rsidRPr="00FE2937">
        <w:rPr>
          <w:lang w:val="pt-BR"/>
        </w:rPr>
        <w:lastRenderedPageBreak/>
        <w:t>A abordagem do Direito e Políticas Públicas (DPP) revelou-se o referencial teórico adequado para fundamentar essa transformação, fornecendo as categorias analíticas necessárias para tratar a alienação unificada de bens como um programa de ação governamental. Identificou-se que a solução para a ineficiência expropriatória demanda a construção de novos arranjos jurídico-institucionais a partir da articulação de diferentes atores, normas e fluxos de decisão.</w:t>
      </w:r>
    </w:p>
    <w:p w14:paraId="70F0CC7E" w14:textId="77777777" w:rsidR="00A24043" w:rsidRPr="00FE2937" w:rsidRDefault="00000000">
      <w:pPr>
        <w:spacing w:after="0" w:line="360" w:lineRule="auto"/>
        <w:ind w:firstLine="709"/>
        <w:jc w:val="both"/>
        <w:rPr>
          <w:lang w:val="pt-BR"/>
        </w:rPr>
      </w:pPr>
      <w:r w:rsidRPr="00FE2937">
        <w:rPr>
          <w:lang w:val="pt-BR"/>
        </w:rPr>
        <w:t>É nesse contexto que a cooperação judiciária deixa de ser um mero instrumento de auxílio voluntário (via ato concertado) para se consolidar como ferramenta de governança, com base no modelo de cooperação por provocação de instâncias da administração judiciária, no qual o CNJ assume a função de instância normativa e supervisora, enquanto os tribunais e varas atuam como gestores e executores integrados em uma rede de cooperação estruturante. Dessa forma, o projeto reafirma o compromisso do Judiciário com a "terceira onda renovatória" de acesso à justiça, garantindo uma ordem jurídica justa, tempestiva e confiável.</w:t>
      </w:r>
    </w:p>
    <w:p w14:paraId="60E1F1B0" w14:textId="77777777" w:rsidR="00A24043" w:rsidRPr="00FE2937" w:rsidRDefault="00000000">
      <w:pPr>
        <w:spacing w:after="0" w:line="360" w:lineRule="auto"/>
        <w:ind w:firstLine="709"/>
        <w:jc w:val="both"/>
        <w:rPr>
          <w:lang w:val="pt-BR"/>
        </w:rPr>
      </w:pPr>
      <w:r w:rsidRPr="00FE2937">
        <w:rPr>
          <w:lang w:val="pt-BR"/>
        </w:rPr>
        <w:t>Os resultados empíricos do projeto-piloto confirmaram a hipótese de que a unificação das hastas públicas aumenta a competitividade, racionaliza o trabalho cartorário e amplia a arrecadação, como evidenciado pelo sucesso dos primeiros editais lançados: a) o primeiro certame (Edital n. 01/2025) alcançou a alienação de todos os 35 lotes de bens criminais, arrecadando R$ 91.497,00 com itens obsoletos que se deterioravam há anos nos depósitos do fórum; b) o segundo certame (Edital n. 02/2025), de natureza cível, obteve êxito quase integral.</w:t>
      </w:r>
    </w:p>
    <w:p w14:paraId="5701C6C7" w14:textId="77777777" w:rsidR="00A24043" w:rsidRPr="00FE2937" w:rsidRDefault="00000000">
      <w:pPr>
        <w:spacing w:after="0" w:line="360" w:lineRule="auto"/>
        <w:ind w:firstLine="709"/>
        <w:jc w:val="both"/>
        <w:rPr>
          <w:lang w:val="pt-BR"/>
        </w:rPr>
      </w:pPr>
      <w:r w:rsidRPr="00FE2937">
        <w:rPr>
          <w:lang w:val="pt-BR"/>
        </w:rPr>
        <w:t>Ao mesmo tempo, a experiência demonstrou a existência de obstáculos de escala diante da realidade brasileira composta, em sua maioria, por comarcas de vara única, onde o volume isolado de bens é insuficiente para formar lotes atrativos. Além disso, a dependência da adesão voluntária de juízes em um sistema de justiça fragmentado (dividido entre as justiças estadual, federal, do trabalho etc.) torna a replicação da medida inviável.</w:t>
      </w:r>
    </w:p>
    <w:p w14:paraId="7A3391F6" w14:textId="77777777" w:rsidR="00A24043" w:rsidRPr="00FE2937" w:rsidRDefault="00000000">
      <w:pPr>
        <w:spacing w:after="0" w:line="360" w:lineRule="auto"/>
        <w:ind w:firstLine="709"/>
        <w:jc w:val="both"/>
        <w:rPr>
          <w:lang w:val="pt-BR"/>
        </w:rPr>
      </w:pPr>
      <w:r w:rsidRPr="00FE2937">
        <w:rPr>
          <w:lang w:val="pt-BR"/>
        </w:rPr>
        <w:t xml:space="preserve">Portanto, a principal contribuição metodológica e institucional do Ato Concertado n. 01/2024 foi atuar como um laboratório, fornecendo as bases empíricas e os </w:t>
      </w:r>
      <w:proofErr w:type="spellStart"/>
      <w:r w:rsidRPr="00F1076B">
        <w:rPr>
          <w:i/>
          <w:iCs/>
          <w:lang w:val="pt-BR"/>
        </w:rPr>
        <w:t>policy</w:t>
      </w:r>
      <w:proofErr w:type="spellEnd"/>
      <w:r w:rsidRPr="00F1076B">
        <w:rPr>
          <w:i/>
          <w:iCs/>
          <w:lang w:val="pt-BR"/>
        </w:rPr>
        <w:t xml:space="preserve"> designs</w:t>
      </w:r>
      <w:r w:rsidRPr="00FE2937">
        <w:rPr>
          <w:lang w:val="pt-BR"/>
        </w:rPr>
        <w:t xml:space="preserve"> para justificar a transição de um modelo de inovação local (</w:t>
      </w:r>
      <w:proofErr w:type="spellStart"/>
      <w:r w:rsidRPr="00F1076B">
        <w:rPr>
          <w:i/>
          <w:iCs/>
          <w:lang w:val="pt-BR"/>
        </w:rPr>
        <w:t>bottom-up</w:t>
      </w:r>
      <w:proofErr w:type="spellEnd"/>
      <w:r w:rsidRPr="00FE2937">
        <w:rPr>
          <w:lang w:val="pt-BR"/>
        </w:rPr>
        <w:t>) para uma política pública estruturante de caráter nacional (</w:t>
      </w:r>
      <w:r w:rsidRPr="00F1076B">
        <w:rPr>
          <w:i/>
          <w:iCs/>
          <w:lang w:val="pt-BR"/>
        </w:rPr>
        <w:t>top-</w:t>
      </w:r>
      <w:proofErr w:type="spellStart"/>
      <w:r w:rsidRPr="00F1076B">
        <w:rPr>
          <w:i/>
          <w:iCs/>
          <w:lang w:val="pt-BR"/>
        </w:rPr>
        <w:t>down</w:t>
      </w:r>
      <w:proofErr w:type="spellEnd"/>
      <w:r w:rsidRPr="00FE2937">
        <w:rPr>
          <w:lang w:val="pt-BR"/>
        </w:rPr>
        <w:t>), pautada na "cooperação por provocação de instâncias da administração judiciária" (Aragão, 2020).</w:t>
      </w:r>
    </w:p>
    <w:p w14:paraId="27738A1F" w14:textId="77777777" w:rsidR="00A24043" w:rsidRPr="00FE2937" w:rsidRDefault="00000000">
      <w:pPr>
        <w:spacing w:after="0" w:line="360" w:lineRule="auto"/>
        <w:ind w:firstLine="709"/>
        <w:jc w:val="both"/>
        <w:rPr>
          <w:lang w:val="pt-BR"/>
        </w:rPr>
      </w:pPr>
      <w:r w:rsidRPr="00FE2937">
        <w:rPr>
          <w:lang w:val="pt-BR"/>
        </w:rPr>
        <w:t>Com base nos resultados teóricos e empíricos consolidados na pesquisa, propõe a instituição da política pública de alienação unificada de bens pelo CNJ capazes de contribuir com o enfrentamento da morosidade na fase de expropriação de bens no Brasil, apresentado, para tanto, as seguintes recomendações:</w:t>
      </w:r>
    </w:p>
    <w:p w14:paraId="16869591" w14:textId="77777777" w:rsidR="00A24043" w:rsidRPr="00FE2937" w:rsidRDefault="00000000">
      <w:pPr>
        <w:spacing w:after="0" w:line="360" w:lineRule="auto"/>
        <w:ind w:firstLine="709"/>
        <w:jc w:val="both"/>
        <w:rPr>
          <w:lang w:val="pt-BR"/>
        </w:rPr>
      </w:pPr>
      <w:r w:rsidRPr="00FE2937">
        <w:rPr>
          <w:lang w:val="pt-BR"/>
        </w:rPr>
        <w:lastRenderedPageBreak/>
        <w:t xml:space="preserve">a) </w:t>
      </w:r>
      <w:r w:rsidRPr="00917F09">
        <w:rPr>
          <w:i/>
          <w:iCs/>
          <w:lang w:val="pt-BR"/>
        </w:rPr>
        <w:t>Instituição do SELJU em âmbito nacional</w:t>
      </w:r>
      <w:r w:rsidRPr="00FE2937">
        <w:rPr>
          <w:lang w:val="pt-BR"/>
        </w:rPr>
        <w:t xml:space="preserve">. O CNJ deve editar resolução criando o Sistema Eletrônico de Leilão Judicial Unificado, integrando-o à Plataforma Digital do Poder Judiciário Brasileiro (PDPJ-Br) e com interoperabilidade aos sistemas judiciais (SNGB, </w:t>
      </w:r>
      <w:proofErr w:type="spellStart"/>
      <w:r w:rsidRPr="00FE2937">
        <w:rPr>
          <w:lang w:val="pt-BR"/>
        </w:rPr>
        <w:t>PJe</w:t>
      </w:r>
      <w:proofErr w:type="spellEnd"/>
      <w:r w:rsidRPr="00FE2937">
        <w:rPr>
          <w:lang w:val="pt-BR"/>
        </w:rPr>
        <w:t xml:space="preserve"> etc.). Essa centralização tecnológica mitigará a dispersão da oferta de bens penhorados e apreendidos em centenas de sites distintos, consolidando uma vitrine única e de amplo alcance.</w:t>
      </w:r>
    </w:p>
    <w:p w14:paraId="44248809" w14:textId="77777777" w:rsidR="00A24043" w:rsidRPr="00FE2937" w:rsidRDefault="00000000">
      <w:pPr>
        <w:spacing w:after="0" w:line="360" w:lineRule="auto"/>
        <w:ind w:firstLine="709"/>
        <w:jc w:val="both"/>
        <w:rPr>
          <w:lang w:val="pt-BR"/>
        </w:rPr>
      </w:pPr>
      <w:r w:rsidRPr="00FE2937">
        <w:rPr>
          <w:lang w:val="pt-BR"/>
        </w:rPr>
        <w:t xml:space="preserve">b) </w:t>
      </w:r>
      <w:r w:rsidRPr="00917F09">
        <w:rPr>
          <w:i/>
          <w:iCs/>
          <w:lang w:val="pt-BR"/>
        </w:rPr>
        <w:t>Criação de núcleos de expropriação</w:t>
      </w:r>
      <w:r w:rsidRPr="00FE2937">
        <w:rPr>
          <w:lang w:val="pt-BR"/>
        </w:rPr>
        <w:t>. Cada tribunal deverá instituir unidades especializadas para gerir a fase de expropriação de bens. Ao transferir a elevada carga burocrática e administrativa do leilão (publicações, designações, controle de depositários) das varas de origem para setores que detêm expertise exclusiva na alienação, o Judiciário otimiza sua força de trabalho e confere agilidade aos trâmites.</w:t>
      </w:r>
    </w:p>
    <w:p w14:paraId="48838920" w14:textId="77777777" w:rsidR="00A24043" w:rsidRPr="00FE2937" w:rsidRDefault="00000000">
      <w:pPr>
        <w:spacing w:after="0" w:line="360" w:lineRule="auto"/>
        <w:ind w:firstLine="709"/>
        <w:jc w:val="both"/>
        <w:rPr>
          <w:lang w:val="pt-BR"/>
        </w:rPr>
      </w:pPr>
      <w:r w:rsidRPr="00FE2937">
        <w:rPr>
          <w:lang w:val="pt-BR"/>
        </w:rPr>
        <w:t xml:space="preserve">c) </w:t>
      </w:r>
      <w:r w:rsidRPr="00917F09">
        <w:rPr>
          <w:i/>
          <w:iCs/>
          <w:lang w:val="pt-BR"/>
        </w:rPr>
        <w:t>Padronização de procedimentos e editais</w:t>
      </w:r>
      <w:r w:rsidRPr="00FE2937">
        <w:rPr>
          <w:lang w:val="pt-BR"/>
        </w:rPr>
        <w:t>. Elaborar um protocolo operacional contemplando as etapas da fase de expropriação e modelos de editais. A uniformização das rotinas processuais (desde a decisão de homologação da penhora/avaliação até o auto de arrematação) garante segurança jurídica às partes, previne nulidades recursais e estabelece uma trilha de auditoria e governança clara para os leilões judiciais. O arranjo proposto tem respaldo na padronização de minuta de edital e de ato normativo adotado pela Receita Federal que estruturou o SLE com a finalidade de utilização uniforme pelas unidades descentralizadas da SRF. Em termos de desenho institucional, trata-se de modelo que combina centralização normativa e execução descentralizada, conferindo escala e racionalidade à política de alienação eletrônica de bens penhorados e apreendidos.</w:t>
      </w:r>
    </w:p>
    <w:p w14:paraId="793071E1" w14:textId="77777777" w:rsidR="00A24043" w:rsidRPr="00FE2937" w:rsidRDefault="00000000">
      <w:pPr>
        <w:spacing w:after="0" w:line="360" w:lineRule="auto"/>
        <w:ind w:firstLine="709"/>
        <w:jc w:val="both"/>
        <w:rPr>
          <w:lang w:val="pt-BR"/>
        </w:rPr>
      </w:pPr>
      <w:r w:rsidRPr="00FE2937">
        <w:rPr>
          <w:lang w:val="pt-BR"/>
        </w:rPr>
        <w:t xml:space="preserve">d) </w:t>
      </w:r>
      <w:r w:rsidRPr="00917F09">
        <w:rPr>
          <w:i/>
          <w:iCs/>
          <w:lang w:val="pt-BR"/>
        </w:rPr>
        <w:t>Criação de indicadores de monitoramento e avaliação</w:t>
      </w:r>
      <w:r w:rsidRPr="00FE2937">
        <w:rPr>
          <w:lang w:val="pt-BR"/>
        </w:rPr>
        <w:t xml:space="preserve">. Implementar indicadores de desempenho (tempo médio entre penhora e venda, taxa de arrematação, razão entre valor de avaliação/alienação, número de bens alienados) e publicar relatórios periódicos. A transparência nos resultados é imprescindível para legitimar a política e possibilitar ajustes. A </w:t>
      </w:r>
      <w:proofErr w:type="spellStart"/>
      <w:r w:rsidRPr="00F1076B">
        <w:rPr>
          <w:i/>
          <w:iCs/>
          <w:lang w:val="pt-BR"/>
        </w:rPr>
        <w:t>accountability</w:t>
      </w:r>
      <w:proofErr w:type="spellEnd"/>
      <w:r w:rsidRPr="00FE2937">
        <w:rPr>
          <w:lang w:val="pt-BR"/>
        </w:rPr>
        <w:t xml:space="preserve"> sobre a conversão dos bens em ativos garantirá que as disfunções sejam corrigidas de forma baseada em evidências.</w:t>
      </w:r>
    </w:p>
    <w:p w14:paraId="528DBC19" w14:textId="77777777" w:rsidR="00A24043" w:rsidRPr="00FE2937" w:rsidRDefault="00000000">
      <w:pPr>
        <w:spacing w:after="0" w:line="360" w:lineRule="auto"/>
        <w:ind w:firstLine="709"/>
        <w:jc w:val="both"/>
        <w:rPr>
          <w:lang w:val="pt-BR"/>
        </w:rPr>
      </w:pPr>
      <w:r w:rsidRPr="00FE2937">
        <w:rPr>
          <w:lang w:val="pt-BR"/>
        </w:rPr>
        <w:t xml:space="preserve">e) </w:t>
      </w:r>
      <w:r w:rsidRPr="00917F09">
        <w:rPr>
          <w:i/>
          <w:iCs/>
          <w:lang w:val="pt-BR"/>
        </w:rPr>
        <w:t>Capacitação de magistrados e servidores</w:t>
      </w:r>
      <w:r w:rsidRPr="00FE2937">
        <w:rPr>
          <w:lang w:val="pt-BR"/>
        </w:rPr>
        <w:t>. Investir na formação continuada dos atores envolvidos (magistrados e servidores) para a gestão por resultados e governança de plataformas, a fim de que o SELJU se torne o “Mercado Livre” do Judiciário. A inovação institucional proposta depende da mudança da cultura organizacional.</w:t>
      </w:r>
    </w:p>
    <w:p w14:paraId="2275F28F" w14:textId="77777777" w:rsidR="00A24043" w:rsidRPr="00FE2937" w:rsidRDefault="00000000">
      <w:pPr>
        <w:spacing w:after="0" w:line="360" w:lineRule="auto"/>
        <w:ind w:firstLine="709"/>
        <w:jc w:val="both"/>
        <w:rPr>
          <w:lang w:val="pt-BR"/>
        </w:rPr>
      </w:pPr>
      <w:r w:rsidRPr="00FE2937">
        <w:rPr>
          <w:lang w:val="pt-BR"/>
        </w:rPr>
        <w:t xml:space="preserve">Conclui-se que, ao promover a unificação das hastas públicas, a Política Nacional de Alienação Unificada de Bens tem potencialidade para mitigar a ineficiência executória na fase de expropriação, contribuindo para a celeridade, transparência e efetividade da prestação </w:t>
      </w:r>
      <w:r w:rsidRPr="00FE2937">
        <w:rPr>
          <w:lang w:val="pt-BR"/>
        </w:rPr>
        <w:lastRenderedPageBreak/>
        <w:t>jurisdicional e assegurando que o princípio constitucional da razoável duração do processo se materialize na efetiva satisfação do crédito.</w:t>
      </w:r>
    </w:p>
    <w:p w14:paraId="21E72BDF" w14:textId="77777777" w:rsidR="00A24043" w:rsidRPr="00FE2937" w:rsidRDefault="00000000">
      <w:pPr>
        <w:spacing w:before="240" w:after="120" w:line="360" w:lineRule="auto"/>
        <w:rPr>
          <w:lang w:val="pt-BR"/>
        </w:rPr>
      </w:pPr>
      <w:r w:rsidRPr="00FE2937">
        <w:rPr>
          <w:b/>
          <w:lang w:val="pt-BR"/>
        </w:rPr>
        <w:t>REFERÊNCIAS</w:t>
      </w:r>
    </w:p>
    <w:p w14:paraId="500E4983"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ARAGÃO, </w:t>
      </w:r>
      <w:proofErr w:type="spellStart"/>
      <w:r w:rsidRPr="00917F09">
        <w:rPr>
          <w:rFonts w:cs="Times New Roman"/>
          <w:color w:val="000000" w:themeColor="text1"/>
          <w:szCs w:val="24"/>
          <w:lang w:val="pt-BR"/>
        </w:rPr>
        <w:t>Nilsiton</w:t>
      </w:r>
      <w:proofErr w:type="spellEnd"/>
      <w:r w:rsidRPr="00917F09">
        <w:rPr>
          <w:rFonts w:cs="Times New Roman"/>
          <w:color w:val="000000" w:themeColor="text1"/>
          <w:szCs w:val="24"/>
          <w:lang w:val="pt-BR"/>
        </w:rPr>
        <w:t xml:space="preserve"> Rodrigues de Andrade. Potencialidades e limites da cooperação judiciária nacional. </w:t>
      </w:r>
      <w:r w:rsidRPr="00917F09">
        <w:rPr>
          <w:rFonts w:cs="Times New Roman"/>
          <w:b/>
          <w:bCs/>
          <w:color w:val="000000" w:themeColor="text1"/>
          <w:szCs w:val="24"/>
          <w:lang w:val="pt-BR"/>
        </w:rPr>
        <w:t>Civil Procedure Review</w:t>
      </w:r>
      <w:r w:rsidRPr="00917F09">
        <w:rPr>
          <w:rFonts w:cs="Times New Roman"/>
          <w:color w:val="000000" w:themeColor="text1"/>
          <w:szCs w:val="24"/>
          <w:lang w:val="pt-BR"/>
        </w:rPr>
        <w:t xml:space="preserve">, v. 11, n. 1, p. 155-177, 2020. Disponível em: </w:t>
      </w:r>
      <w:hyperlink r:id="rId6" w:tgtFrame="_new" w:history="1">
        <w:r w:rsidRPr="00917F09">
          <w:rPr>
            <w:rStyle w:val="Hyperlink"/>
            <w:rFonts w:cs="Times New Roman"/>
            <w:color w:val="000000" w:themeColor="text1"/>
            <w:szCs w:val="24"/>
            <w:lang w:val="pt-BR"/>
          </w:rPr>
          <w:t>https://civilprocedurereview.faculdadebaianadedireito.com.br/revista/article/view/200</w:t>
        </w:r>
      </w:hyperlink>
      <w:r w:rsidRPr="00917F09">
        <w:rPr>
          <w:rFonts w:cs="Times New Roman"/>
          <w:color w:val="000000" w:themeColor="text1"/>
          <w:szCs w:val="24"/>
          <w:lang w:val="pt-BR"/>
        </w:rPr>
        <w:t>. Acesso em: 15 set. 2025.</w:t>
      </w:r>
    </w:p>
    <w:p w14:paraId="4F270CB7"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BARROSO, Luís Roberto. </w:t>
      </w:r>
      <w:r w:rsidRPr="00917F09">
        <w:rPr>
          <w:rFonts w:cs="Times New Roman"/>
          <w:b/>
          <w:bCs/>
          <w:color w:val="000000" w:themeColor="text1"/>
          <w:szCs w:val="24"/>
          <w:lang w:val="pt-BR"/>
        </w:rPr>
        <w:t>Inteligência artificial, plataformas digitais e democracia</w:t>
      </w:r>
      <w:r w:rsidRPr="00917F09">
        <w:rPr>
          <w:rFonts w:cs="Times New Roman"/>
          <w:color w:val="000000" w:themeColor="text1"/>
          <w:szCs w:val="24"/>
          <w:lang w:val="pt-BR"/>
        </w:rPr>
        <w:t>: direito e tecnologia no mundo atual. 1. reimpressão. Belo Horizonte: Fórum, 2024, 265p.</w:t>
      </w:r>
    </w:p>
    <w:p w14:paraId="281FB86D"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Diagnóstico do contencioso judicial tributário brasileiro</w:t>
      </w:r>
      <w:r w:rsidRPr="00917F09">
        <w:rPr>
          <w:rFonts w:cs="Times New Roman"/>
          <w:color w:val="000000" w:themeColor="text1"/>
          <w:szCs w:val="24"/>
          <w:lang w:val="pt-BR"/>
        </w:rPr>
        <w:t>: relatório final de pesquisa. Brasília: CNJ; Instituto de Ensino e Pesquisa, 2022. 314 p. Disponível em: https://www.cnj.jus.br/wp-content/uploads/2022/02/relatorio-contencioso-tributario-final-v10-2.pdf. Acesso em: 15 set. 2025.</w:t>
      </w:r>
    </w:p>
    <w:p w14:paraId="63F2EF4F"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Justiça em números 2023</w:t>
      </w:r>
      <w:r w:rsidRPr="00917F09">
        <w:rPr>
          <w:rFonts w:cs="Times New Roman"/>
          <w:color w:val="000000" w:themeColor="text1"/>
          <w:szCs w:val="24"/>
          <w:lang w:val="pt-BR"/>
        </w:rPr>
        <w:t xml:space="preserve">. Brasília: CNJ, 2023. Disponível em: </w:t>
      </w:r>
      <w:hyperlink r:id="rId7" w:tgtFrame="_new" w:history="1">
        <w:r w:rsidRPr="00917F09">
          <w:rPr>
            <w:rStyle w:val="Hyperlink"/>
            <w:rFonts w:cs="Times New Roman"/>
            <w:color w:val="000000" w:themeColor="text1"/>
            <w:szCs w:val="24"/>
            <w:lang w:val="pt-BR"/>
          </w:rPr>
          <w:t>https://www.cnj.jus.br/wp-content/uploads/2024/02/justica-em-numeros-2023-16022024.pdf</w:t>
        </w:r>
      </w:hyperlink>
      <w:r w:rsidRPr="00917F09">
        <w:rPr>
          <w:rFonts w:cs="Times New Roman"/>
          <w:color w:val="000000" w:themeColor="text1"/>
          <w:szCs w:val="24"/>
          <w:lang w:val="pt-BR"/>
        </w:rPr>
        <w:t>. Acesso em: 25 nov. 2025.</w:t>
      </w:r>
    </w:p>
    <w:p w14:paraId="79D38F00"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Justiça em números 2024</w:t>
      </w:r>
      <w:r w:rsidRPr="00917F09">
        <w:rPr>
          <w:rFonts w:cs="Times New Roman"/>
          <w:color w:val="000000" w:themeColor="text1"/>
          <w:szCs w:val="24"/>
          <w:lang w:val="pt-BR"/>
        </w:rPr>
        <w:t xml:space="preserve">. Brasília: CNJ, 2024. Disponível em: </w:t>
      </w:r>
      <w:hyperlink r:id="rId8" w:tgtFrame="_new" w:history="1">
        <w:r w:rsidRPr="00917F09">
          <w:rPr>
            <w:rStyle w:val="Hyperlink"/>
            <w:rFonts w:cs="Times New Roman"/>
            <w:color w:val="000000" w:themeColor="text1"/>
            <w:szCs w:val="24"/>
            <w:lang w:val="pt-BR"/>
          </w:rPr>
          <w:t>https://www.cnj.jus.br/wp-content/uploads/2024/05/justica-em-numeros-2024.pdf</w:t>
        </w:r>
      </w:hyperlink>
      <w:r w:rsidRPr="00917F09">
        <w:rPr>
          <w:rFonts w:cs="Times New Roman"/>
          <w:color w:val="000000" w:themeColor="text1"/>
          <w:szCs w:val="24"/>
          <w:lang w:val="pt-BR"/>
        </w:rPr>
        <w:t>. Acesso em: 25 nov. 2025.</w:t>
      </w:r>
    </w:p>
    <w:p w14:paraId="4421E305"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Justiça em números 2025</w:t>
      </w:r>
      <w:r w:rsidRPr="00917F09">
        <w:rPr>
          <w:rFonts w:cs="Times New Roman"/>
          <w:color w:val="000000" w:themeColor="text1"/>
          <w:szCs w:val="24"/>
          <w:lang w:val="pt-BR"/>
        </w:rPr>
        <w:t xml:space="preserve">. Brasília: CNJ, 2025. Disponível em: </w:t>
      </w:r>
      <w:hyperlink r:id="rId9" w:tgtFrame="_new" w:history="1">
        <w:r w:rsidRPr="00917F09">
          <w:rPr>
            <w:rStyle w:val="Hyperlink"/>
            <w:rFonts w:cs="Times New Roman"/>
            <w:color w:val="000000" w:themeColor="text1"/>
            <w:szCs w:val="24"/>
            <w:lang w:val="pt-BR"/>
          </w:rPr>
          <w:t>https://www.cnj.jus.br/wp-content/uploads/2025/11/justica-em-numeros-2025.pdf</w:t>
        </w:r>
      </w:hyperlink>
      <w:r w:rsidRPr="00917F09">
        <w:rPr>
          <w:rFonts w:cs="Times New Roman"/>
          <w:color w:val="000000" w:themeColor="text1"/>
          <w:szCs w:val="24"/>
          <w:lang w:val="pt-BR"/>
        </w:rPr>
        <w:t>. Acesso em: 25 nov. 2025.</w:t>
      </w:r>
    </w:p>
    <w:p w14:paraId="630EFF92"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Relatório anual 2009</w:t>
      </w:r>
      <w:r w:rsidRPr="00917F09">
        <w:rPr>
          <w:rFonts w:cs="Times New Roman"/>
          <w:color w:val="000000" w:themeColor="text1"/>
          <w:szCs w:val="24"/>
          <w:lang w:val="pt-BR"/>
        </w:rPr>
        <w:t xml:space="preserve">. Brasília: CNJ, 2009. Disponível em: </w:t>
      </w:r>
      <w:hyperlink r:id="rId10" w:tgtFrame="_new" w:history="1">
        <w:r w:rsidRPr="00917F09">
          <w:rPr>
            <w:rStyle w:val="Hyperlink"/>
            <w:rFonts w:cs="Times New Roman"/>
            <w:color w:val="000000" w:themeColor="text1"/>
            <w:szCs w:val="24"/>
            <w:lang w:val="pt-BR"/>
          </w:rPr>
          <w:t>https://www.cnj.jus.br/wp-content/uploads/2011/02/relatorio_anual_cnj_2009.pdf</w:t>
        </w:r>
      </w:hyperlink>
      <w:r w:rsidRPr="00917F09">
        <w:rPr>
          <w:rFonts w:cs="Times New Roman"/>
          <w:color w:val="000000" w:themeColor="text1"/>
          <w:szCs w:val="24"/>
          <w:lang w:val="pt-BR"/>
        </w:rPr>
        <w:t>. Acesso em: 8 nov. 2025.</w:t>
      </w:r>
    </w:p>
    <w:p w14:paraId="516F6C30"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Resolução CNJ n. 236, de 13 de julho de 2016</w:t>
      </w:r>
      <w:r w:rsidRPr="00917F09">
        <w:rPr>
          <w:rFonts w:cs="Times New Roman"/>
          <w:color w:val="000000" w:themeColor="text1"/>
          <w:szCs w:val="24"/>
          <w:lang w:val="pt-BR"/>
        </w:rPr>
        <w:t xml:space="preserve">. Dispõe sobre os leilões judiciais eletrônicos no âmbito do Poder Judiciário. Disponível em: </w:t>
      </w:r>
      <w:hyperlink r:id="rId11" w:tgtFrame="_new" w:history="1">
        <w:r w:rsidRPr="00917F09">
          <w:rPr>
            <w:rStyle w:val="Hyperlink"/>
            <w:rFonts w:cs="Times New Roman"/>
            <w:color w:val="000000" w:themeColor="text1"/>
            <w:szCs w:val="24"/>
            <w:lang w:val="pt-BR"/>
          </w:rPr>
          <w:t>https://atos.cnj.jus.br/atos/detalhar/2290</w:t>
        </w:r>
      </w:hyperlink>
      <w:r w:rsidRPr="00917F09">
        <w:rPr>
          <w:rFonts w:cs="Times New Roman"/>
          <w:color w:val="000000" w:themeColor="text1"/>
          <w:szCs w:val="24"/>
          <w:lang w:val="pt-BR"/>
        </w:rPr>
        <w:t>. Acesso em: 5 maio 2025.</w:t>
      </w:r>
    </w:p>
    <w:p w14:paraId="3A9659B6"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Resolução CNJ n. 350, de 27 de outubro de 2020</w:t>
      </w:r>
      <w:r w:rsidRPr="00917F09">
        <w:rPr>
          <w:rFonts w:cs="Times New Roman"/>
          <w:color w:val="000000" w:themeColor="text1"/>
          <w:szCs w:val="24"/>
          <w:lang w:val="pt-BR"/>
        </w:rPr>
        <w:t xml:space="preserve">. Estabelece diretrizes e procedimentos sobre a cooperação judiciária nacional entre os órgãos do Poder Judiciário e outras instituições e entidades. Disponível em: </w:t>
      </w:r>
      <w:hyperlink r:id="rId12" w:tgtFrame="_new" w:history="1">
        <w:r w:rsidRPr="00917F09">
          <w:rPr>
            <w:rStyle w:val="Hyperlink"/>
            <w:rFonts w:cs="Times New Roman"/>
            <w:color w:val="000000" w:themeColor="text1"/>
            <w:szCs w:val="24"/>
            <w:lang w:val="pt-BR"/>
          </w:rPr>
          <w:t>https://atos.cnj.jus.br/atos/detalhar/3556</w:t>
        </w:r>
      </w:hyperlink>
      <w:r w:rsidRPr="00917F09">
        <w:rPr>
          <w:rFonts w:cs="Times New Roman"/>
          <w:color w:val="000000" w:themeColor="text1"/>
          <w:szCs w:val="24"/>
          <w:lang w:val="pt-BR"/>
        </w:rPr>
        <w:t>. Acesso em: 18 abr. 2025.</w:t>
      </w:r>
    </w:p>
    <w:p w14:paraId="34FC60A7"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Conselho Nacional de Justiça. </w:t>
      </w:r>
      <w:r w:rsidRPr="00917F09">
        <w:rPr>
          <w:rFonts w:cs="Times New Roman"/>
          <w:b/>
          <w:bCs/>
          <w:color w:val="000000" w:themeColor="text1"/>
          <w:szCs w:val="24"/>
          <w:lang w:val="pt-BR"/>
        </w:rPr>
        <w:t>Resolução CNJ n. 558, de 6 de maio de 2024</w:t>
      </w:r>
      <w:r w:rsidRPr="00917F09">
        <w:rPr>
          <w:rFonts w:cs="Times New Roman"/>
          <w:color w:val="000000" w:themeColor="text1"/>
          <w:szCs w:val="24"/>
          <w:lang w:val="pt-BR"/>
        </w:rPr>
        <w:t xml:space="preserve">. Estabelece diretrizes para a gestão e destinação de valores e bens oriundos de pena de multa, perda de bens e valores e prestações pecuniárias decorrentes de condenações criminais, </w:t>
      </w:r>
      <w:r w:rsidRPr="00917F09">
        <w:rPr>
          <w:rFonts w:cs="Times New Roman"/>
          <w:color w:val="000000" w:themeColor="text1"/>
          <w:szCs w:val="24"/>
          <w:lang w:val="pt-BR"/>
        </w:rPr>
        <w:lastRenderedPageBreak/>
        <w:t xml:space="preserve">colaboração premiada, acordos de leniência e acordos de cooperação internacional no âmbito do Poder Judiciário e dá outras providências. Disponível em: </w:t>
      </w:r>
      <w:hyperlink r:id="rId13" w:tgtFrame="_new" w:history="1">
        <w:r w:rsidRPr="00917F09">
          <w:rPr>
            <w:rStyle w:val="Hyperlink"/>
            <w:rFonts w:cs="Times New Roman"/>
            <w:color w:val="000000" w:themeColor="text1"/>
            <w:szCs w:val="24"/>
            <w:lang w:val="pt-BR"/>
          </w:rPr>
          <w:t>https://atos.cnj.jus.br/atos/detalhar/5555</w:t>
        </w:r>
      </w:hyperlink>
      <w:r w:rsidRPr="00917F09">
        <w:rPr>
          <w:rFonts w:cs="Times New Roman"/>
          <w:color w:val="000000" w:themeColor="text1"/>
          <w:szCs w:val="24"/>
          <w:lang w:val="pt-BR"/>
        </w:rPr>
        <w:t>. Acesso em: 20 abr. 2025.</w:t>
      </w:r>
    </w:p>
    <w:p w14:paraId="5114AFB9"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w:t>
      </w:r>
      <w:r w:rsidRPr="00917F09">
        <w:rPr>
          <w:rFonts w:cs="Times New Roman"/>
          <w:b/>
          <w:bCs/>
          <w:color w:val="000000" w:themeColor="text1"/>
          <w:szCs w:val="24"/>
          <w:lang w:val="pt-BR"/>
        </w:rPr>
        <w:t>Lei n. 13.105, de 16 de março de 2015</w:t>
      </w:r>
      <w:r w:rsidRPr="00917F09">
        <w:rPr>
          <w:rFonts w:cs="Times New Roman"/>
          <w:color w:val="000000" w:themeColor="text1"/>
          <w:szCs w:val="24"/>
          <w:lang w:val="pt-BR"/>
        </w:rPr>
        <w:t xml:space="preserve">. Código de Processo Civil. Disponível em: </w:t>
      </w:r>
      <w:hyperlink r:id="rId14" w:tgtFrame="_new" w:history="1">
        <w:r w:rsidRPr="00917F09">
          <w:rPr>
            <w:rStyle w:val="Hyperlink"/>
            <w:rFonts w:cs="Times New Roman"/>
            <w:color w:val="000000" w:themeColor="text1"/>
            <w:szCs w:val="24"/>
            <w:lang w:val="pt-BR"/>
          </w:rPr>
          <w:t>https://www.planalto.gov.br/ccivil_03/_ato2015-2018/2015/lei/l13105.htm</w:t>
        </w:r>
      </w:hyperlink>
      <w:r w:rsidRPr="00917F09">
        <w:rPr>
          <w:rFonts w:cs="Times New Roman"/>
          <w:color w:val="000000" w:themeColor="text1"/>
          <w:szCs w:val="24"/>
          <w:lang w:val="pt-BR"/>
        </w:rPr>
        <w:t>. Acesso em: 10 out. 2025.</w:t>
      </w:r>
    </w:p>
    <w:p w14:paraId="21A629DF"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Ministério da Fazenda. Secretaria da Receita Federal do Brasil. </w:t>
      </w:r>
      <w:r w:rsidRPr="00917F09">
        <w:rPr>
          <w:rFonts w:cs="Times New Roman"/>
          <w:b/>
          <w:bCs/>
          <w:color w:val="000000" w:themeColor="text1"/>
          <w:szCs w:val="24"/>
          <w:lang w:val="pt-BR"/>
        </w:rPr>
        <w:t>Nota RFB/</w:t>
      </w:r>
      <w:proofErr w:type="spellStart"/>
      <w:r w:rsidRPr="00917F09">
        <w:rPr>
          <w:rFonts w:cs="Times New Roman"/>
          <w:b/>
          <w:bCs/>
          <w:color w:val="000000" w:themeColor="text1"/>
          <w:szCs w:val="24"/>
          <w:lang w:val="pt-BR"/>
        </w:rPr>
        <w:t>Audit</w:t>
      </w:r>
      <w:proofErr w:type="spellEnd"/>
      <w:r w:rsidRPr="00917F09">
        <w:rPr>
          <w:rFonts w:cs="Times New Roman"/>
          <w:b/>
          <w:bCs/>
          <w:color w:val="000000" w:themeColor="text1"/>
          <w:szCs w:val="24"/>
          <w:lang w:val="pt-BR"/>
        </w:rPr>
        <w:t>/</w:t>
      </w:r>
      <w:proofErr w:type="spellStart"/>
      <w:r w:rsidRPr="00917F09">
        <w:rPr>
          <w:rFonts w:cs="Times New Roman"/>
          <w:b/>
          <w:bCs/>
          <w:color w:val="000000" w:themeColor="text1"/>
          <w:szCs w:val="24"/>
          <w:lang w:val="pt-BR"/>
        </w:rPr>
        <w:t>Diaex</w:t>
      </w:r>
      <w:proofErr w:type="spellEnd"/>
      <w:r w:rsidRPr="00917F09">
        <w:rPr>
          <w:rFonts w:cs="Times New Roman"/>
          <w:b/>
          <w:bCs/>
          <w:color w:val="000000" w:themeColor="text1"/>
          <w:szCs w:val="24"/>
          <w:lang w:val="pt-BR"/>
        </w:rPr>
        <w:t xml:space="preserve"> nº 34, de 29 de junho de 2015</w:t>
      </w:r>
      <w:r w:rsidRPr="00917F09">
        <w:rPr>
          <w:rFonts w:cs="Times New Roman"/>
          <w:color w:val="000000" w:themeColor="text1"/>
          <w:szCs w:val="24"/>
          <w:lang w:val="pt-BR"/>
        </w:rPr>
        <w:t>. Brasília, DF, 2015. Inserta no Processo administrativo nº 10168.001160/2010-05. Documento digital compartilhado por correio eletrônico com o pesquisador.</w:t>
      </w:r>
    </w:p>
    <w:p w14:paraId="7EA1056F"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BRASIL. Ministério da Fazenda. Secretaria da Receita Federal do Brasil. Subsecretaria de Gestão Corporativa. Coordenação-Geral de Programação e Logística. Divisão de Controle de Mercadorias Apreendidas. </w:t>
      </w:r>
      <w:r w:rsidRPr="00917F09">
        <w:rPr>
          <w:rFonts w:cs="Times New Roman"/>
          <w:b/>
          <w:bCs/>
          <w:color w:val="000000" w:themeColor="text1"/>
          <w:szCs w:val="24"/>
          <w:lang w:val="pt-BR"/>
        </w:rPr>
        <w:t>Processo administrativo nº 10168.001160/2010-05</w:t>
      </w:r>
      <w:r w:rsidRPr="00917F09">
        <w:rPr>
          <w:rFonts w:cs="Times New Roman"/>
          <w:color w:val="000000" w:themeColor="text1"/>
          <w:szCs w:val="24"/>
          <w:lang w:val="pt-BR"/>
        </w:rPr>
        <w:t>. Assunto: propostas de normatização e de edital-padrão do leilão eletrônico. Brasília, DF, 7 maio 2010. Documento administrativo digital compartilhado com o pesquisador.</w:t>
      </w:r>
    </w:p>
    <w:p w14:paraId="025A60B9"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BUCCI, Maria Paula Dallari. </w:t>
      </w:r>
      <w:r w:rsidRPr="00917F09">
        <w:rPr>
          <w:rFonts w:cs="Times New Roman"/>
          <w:b/>
          <w:bCs/>
          <w:color w:val="000000" w:themeColor="text1"/>
          <w:szCs w:val="24"/>
          <w:lang w:val="pt-BR"/>
        </w:rPr>
        <w:t>Fundamentos para uma teoria jurídica das políticas públicas</w:t>
      </w:r>
      <w:r w:rsidRPr="00917F09">
        <w:rPr>
          <w:rFonts w:cs="Times New Roman"/>
          <w:color w:val="000000" w:themeColor="text1"/>
          <w:szCs w:val="24"/>
          <w:lang w:val="pt-BR"/>
        </w:rPr>
        <w:t>. São Paulo: Saraiva, 2013.</w:t>
      </w:r>
    </w:p>
    <w:p w14:paraId="603D542D"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BUCCI, Maria Paula Dallari. </w:t>
      </w:r>
      <w:r w:rsidRPr="00917F09">
        <w:rPr>
          <w:rFonts w:cs="Times New Roman"/>
          <w:b/>
          <w:bCs/>
          <w:color w:val="000000" w:themeColor="text1"/>
          <w:szCs w:val="24"/>
          <w:lang w:val="pt-BR"/>
        </w:rPr>
        <w:t>Quadro de referência de uma política pública</w:t>
      </w:r>
      <w:r w:rsidRPr="00917F09">
        <w:rPr>
          <w:rFonts w:cs="Times New Roman"/>
          <w:color w:val="000000" w:themeColor="text1"/>
          <w:szCs w:val="24"/>
          <w:lang w:val="pt-BR"/>
        </w:rPr>
        <w:t>: primeiras linhas de uma visão jurídico-institucional. In: SMANIO, Gianpaolo Poggio; BERTOLIN, Patrícia Tuma Martins; BRASIL, Patrícia Cristina (org.). O Direito na fronteira das políticas públicas. São Paulo: Páginas &amp; Letras, 2015.</w:t>
      </w:r>
    </w:p>
    <w:p w14:paraId="2BD31A51"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BUCCI, Maria Paula Dallari. Método e aplicações da abordagem Direito e Políticas Públicas (DPP). </w:t>
      </w:r>
      <w:r w:rsidRPr="00917F09">
        <w:rPr>
          <w:rFonts w:cs="Times New Roman"/>
          <w:b/>
          <w:bCs/>
          <w:color w:val="000000" w:themeColor="text1"/>
          <w:szCs w:val="24"/>
          <w:lang w:val="pt-BR"/>
        </w:rPr>
        <w:t>REI – Revista Estudos Institucionais</w:t>
      </w:r>
      <w:r w:rsidRPr="00917F09">
        <w:rPr>
          <w:rFonts w:cs="Times New Roman"/>
          <w:color w:val="000000" w:themeColor="text1"/>
          <w:szCs w:val="24"/>
          <w:lang w:val="pt-BR"/>
        </w:rPr>
        <w:t xml:space="preserve">, v. 5, n. 3, p. 791-832, 2019. DOI: </w:t>
      </w:r>
      <w:hyperlink r:id="rId15" w:tgtFrame="_new" w:history="1">
        <w:r w:rsidRPr="00917F09">
          <w:rPr>
            <w:rStyle w:val="Hyperlink"/>
            <w:rFonts w:cs="Times New Roman"/>
            <w:color w:val="000000" w:themeColor="text1"/>
            <w:szCs w:val="24"/>
            <w:lang w:val="pt-BR"/>
          </w:rPr>
          <w:t>https://doi.org/10.21783/rei.v5i3.430</w:t>
        </w:r>
      </w:hyperlink>
      <w:r w:rsidRPr="00917F09">
        <w:rPr>
          <w:rFonts w:cs="Times New Roman"/>
          <w:color w:val="000000" w:themeColor="text1"/>
          <w:szCs w:val="24"/>
          <w:lang w:val="pt-BR"/>
        </w:rPr>
        <w:t>.</w:t>
      </w:r>
    </w:p>
    <w:p w14:paraId="5CA56958"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DIDIER JÚNIOR, </w:t>
      </w:r>
      <w:proofErr w:type="spellStart"/>
      <w:r w:rsidRPr="00917F09">
        <w:rPr>
          <w:rFonts w:cs="Times New Roman"/>
          <w:color w:val="000000" w:themeColor="text1"/>
          <w:szCs w:val="24"/>
          <w:lang w:val="pt-BR"/>
        </w:rPr>
        <w:t>Fredie</w:t>
      </w:r>
      <w:proofErr w:type="spellEnd"/>
      <w:r w:rsidRPr="00917F09">
        <w:rPr>
          <w:rFonts w:cs="Times New Roman"/>
          <w:color w:val="000000" w:themeColor="text1"/>
          <w:szCs w:val="24"/>
          <w:lang w:val="pt-BR"/>
        </w:rPr>
        <w:t xml:space="preserve">. </w:t>
      </w:r>
      <w:r w:rsidRPr="00917F09">
        <w:rPr>
          <w:rFonts w:cs="Times New Roman"/>
          <w:b/>
          <w:bCs/>
          <w:color w:val="000000" w:themeColor="text1"/>
          <w:szCs w:val="24"/>
          <w:lang w:val="pt-BR"/>
        </w:rPr>
        <w:t>Cooperação judiciária nacional</w:t>
      </w:r>
      <w:r w:rsidRPr="00917F09">
        <w:rPr>
          <w:rFonts w:cs="Times New Roman"/>
          <w:color w:val="000000" w:themeColor="text1"/>
          <w:szCs w:val="24"/>
          <w:lang w:val="pt-BR"/>
        </w:rPr>
        <w:t xml:space="preserve">: esboço de uma teoria para o Direito </w:t>
      </w:r>
      <w:proofErr w:type="gramStart"/>
      <w:r w:rsidRPr="00917F09">
        <w:rPr>
          <w:rFonts w:cs="Times New Roman"/>
          <w:color w:val="000000" w:themeColor="text1"/>
          <w:szCs w:val="24"/>
          <w:lang w:val="pt-BR"/>
        </w:rPr>
        <w:t>Brasileiro</w:t>
      </w:r>
      <w:proofErr w:type="gramEnd"/>
      <w:r w:rsidRPr="00917F09">
        <w:rPr>
          <w:rFonts w:cs="Times New Roman"/>
          <w:color w:val="000000" w:themeColor="text1"/>
          <w:szCs w:val="24"/>
          <w:lang w:val="pt-BR"/>
        </w:rPr>
        <w:t xml:space="preserve"> (arts. 67–69, CPC). 2. ed. rev. </w:t>
      </w:r>
      <w:proofErr w:type="spellStart"/>
      <w:r w:rsidRPr="00917F09">
        <w:rPr>
          <w:rFonts w:cs="Times New Roman"/>
          <w:color w:val="000000" w:themeColor="text1"/>
          <w:szCs w:val="24"/>
          <w:lang w:val="pt-BR"/>
        </w:rPr>
        <w:t>ampl</w:t>
      </w:r>
      <w:proofErr w:type="spellEnd"/>
      <w:r w:rsidRPr="00917F09">
        <w:rPr>
          <w:rFonts w:cs="Times New Roman"/>
          <w:color w:val="000000" w:themeColor="text1"/>
          <w:szCs w:val="24"/>
          <w:lang w:val="pt-BR"/>
        </w:rPr>
        <w:t xml:space="preserve">. Salvador: </w:t>
      </w:r>
      <w:proofErr w:type="spellStart"/>
      <w:r w:rsidRPr="00917F09">
        <w:rPr>
          <w:rFonts w:cs="Times New Roman"/>
          <w:color w:val="000000" w:themeColor="text1"/>
          <w:szCs w:val="24"/>
          <w:lang w:val="pt-BR"/>
        </w:rPr>
        <w:t>JusPodivm</w:t>
      </w:r>
      <w:proofErr w:type="spellEnd"/>
      <w:r w:rsidRPr="00917F09">
        <w:rPr>
          <w:rFonts w:cs="Times New Roman"/>
          <w:color w:val="000000" w:themeColor="text1"/>
          <w:szCs w:val="24"/>
          <w:lang w:val="pt-BR"/>
        </w:rPr>
        <w:t>, 2021.</w:t>
      </w:r>
    </w:p>
    <w:p w14:paraId="50C73F97"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DINIZ, Rodrigo </w:t>
      </w:r>
      <w:proofErr w:type="spellStart"/>
      <w:r w:rsidRPr="00917F09">
        <w:rPr>
          <w:rFonts w:cs="Times New Roman"/>
          <w:color w:val="000000" w:themeColor="text1"/>
          <w:szCs w:val="24"/>
          <w:lang w:val="pt-BR"/>
        </w:rPr>
        <w:t>Vaslin</w:t>
      </w:r>
      <w:proofErr w:type="spellEnd"/>
      <w:r w:rsidRPr="00917F09">
        <w:rPr>
          <w:rFonts w:cs="Times New Roman"/>
          <w:color w:val="000000" w:themeColor="text1"/>
          <w:szCs w:val="24"/>
          <w:lang w:val="pt-BR"/>
        </w:rPr>
        <w:t xml:space="preserve">. </w:t>
      </w:r>
      <w:r w:rsidRPr="00917F09">
        <w:rPr>
          <w:rFonts w:cs="Times New Roman"/>
          <w:b/>
          <w:bCs/>
          <w:color w:val="000000" w:themeColor="text1"/>
          <w:szCs w:val="24"/>
          <w:lang w:val="pt-BR"/>
        </w:rPr>
        <w:t>Execução civil</w:t>
      </w:r>
      <w:r w:rsidRPr="00917F09">
        <w:rPr>
          <w:rFonts w:cs="Times New Roman"/>
          <w:color w:val="000000" w:themeColor="text1"/>
          <w:szCs w:val="24"/>
          <w:lang w:val="pt-BR"/>
        </w:rPr>
        <w:t>: entre o passado, o presente e o futuro. 2024. Dissertação (Mestrado em Direito Processual Civil) – Faculdade de Direito, Universidade de São Paulo, São Paulo, 2024.</w:t>
      </w:r>
    </w:p>
    <w:p w14:paraId="06DF6FE8"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DINIZ, Rodrigo </w:t>
      </w:r>
      <w:proofErr w:type="spellStart"/>
      <w:r w:rsidRPr="00917F09">
        <w:rPr>
          <w:rFonts w:cs="Times New Roman"/>
          <w:color w:val="000000" w:themeColor="text1"/>
          <w:szCs w:val="24"/>
          <w:lang w:val="pt-BR"/>
        </w:rPr>
        <w:t>Vaslin</w:t>
      </w:r>
      <w:proofErr w:type="spellEnd"/>
      <w:r w:rsidRPr="00917F09">
        <w:rPr>
          <w:rFonts w:cs="Times New Roman"/>
          <w:color w:val="000000" w:themeColor="text1"/>
          <w:szCs w:val="24"/>
          <w:lang w:val="pt-BR"/>
        </w:rPr>
        <w:t xml:space="preserve">. </w:t>
      </w:r>
      <w:r w:rsidRPr="00917F09">
        <w:rPr>
          <w:rFonts w:cs="Times New Roman"/>
          <w:b/>
          <w:bCs/>
          <w:color w:val="000000" w:themeColor="text1"/>
          <w:szCs w:val="24"/>
          <w:lang w:val="pt-BR"/>
        </w:rPr>
        <w:t>Justiça 6.0</w:t>
      </w:r>
      <w:r w:rsidRPr="00917F09">
        <w:rPr>
          <w:rFonts w:cs="Times New Roman"/>
          <w:color w:val="000000" w:themeColor="text1"/>
          <w:szCs w:val="24"/>
          <w:lang w:val="pt-BR"/>
        </w:rPr>
        <w:t>: inteligência artificial e o futuro do Poder Judiciário. Belo Horizonte: Fórum, 2024.</w:t>
      </w:r>
    </w:p>
    <w:p w14:paraId="44D4C7E9"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DYE, Thomas R. </w:t>
      </w:r>
      <w:r w:rsidRPr="00917F09">
        <w:rPr>
          <w:rFonts w:cs="Times New Roman"/>
          <w:b/>
          <w:bCs/>
          <w:color w:val="000000" w:themeColor="text1"/>
          <w:szCs w:val="24"/>
          <w:lang w:val="pt-BR"/>
        </w:rPr>
        <w:t>Mapeamento dos modelos de análise de políticas públicas</w:t>
      </w:r>
      <w:r w:rsidRPr="00917F09">
        <w:rPr>
          <w:rFonts w:cs="Times New Roman"/>
          <w:color w:val="000000" w:themeColor="text1"/>
          <w:szCs w:val="24"/>
          <w:lang w:val="pt-BR"/>
        </w:rPr>
        <w:t>. In: HEIDEMANN, F. G.; SALM, J. F. (org.). Políticas públicas e desenvolvimento. Brasília, DF: Editora UnB, 2005.</w:t>
      </w:r>
    </w:p>
    <w:p w14:paraId="32060B10"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ENGEL, Irineu. Pesquisa-ação. </w:t>
      </w:r>
      <w:r w:rsidRPr="00917F09">
        <w:rPr>
          <w:rFonts w:cs="Times New Roman"/>
          <w:b/>
          <w:bCs/>
          <w:color w:val="000000" w:themeColor="text1"/>
          <w:szCs w:val="24"/>
          <w:lang w:val="pt-BR"/>
        </w:rPr>
        <w:t>Educação</w:t>
      </w:r>
      <w:r w:rsidRPr="00917F09">
        <w:rPr>
          <w:rFonts w:cs="Times New Roman"/>
          <w:color w:val="000000" w:themeColor="text1"/>
          <w:szCs w:val="24"/>
          <w:lang w:val="pt-BR"/>
        </w:rPr>
        <w:t>, Santa Maria, v. 25, n. 2, p. 181-191, 2000.</w:t>
      </w:r>
    </w:p>
    <w:p w14:paraId="2CE3415A"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lastRenderedPageBreak/>
        <w:t xml:space="preserve">FARAH, Marta Ferreira Santos. Teorias de política pública. </w:t>
      </w:r>
      <w:r w:rsidRPr="00917F09">
        <w:rPr>
          <w:rFonts w:cs="Times New Roman"/>
          <w:b/>
          <w:bCs/>
          <w:color w:val="000000" w:themeColor="text1"/>
          <w:szCs w:val="24"/>
          <w:lang w:val="pt-BR"/>
        </w:rPr>
        <w:t>Rev. @mbienteeducação</w:t>
      </w:r>
      <w:r w:rsidRPr="00917F09">
        <w:rPr>
          <w:rFonts w:cs="Times New Roman"/>
          <w:color w:val="000000" w:themeColor="text1"/>
          <w:szCs w:val="24"/>
          <w:lang w:val="pt-BR"/>
        </w:rPr>
        <w:t>, São Paulo, v. 14, n. 3, p. 631-665, set./dez. 2021.</w:t>
      </w:r>
    </w:p>
    <w:p w14:paraId="254ED9B0"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FARIA, Fabrício. Indicadores de desempenho de pregões eletrônicos: ganhos de eficiência. </w:t>
      </w:r>
      <w:r w:rsidRPr="00917F09">
        <w:rPr>
          <w:rFonts w:cs="Times New Roman"/>
          <w:b/>
          <w:bCs/>
          <w:color w:val="000000" w:themeColor="text1"/>
          <w:szCs w:val="24"/>
          <w:lang w:val="pt-BR"/>
        </w:rPr>
        <w:t>Revista de Administração Pública</w:t>
      </w:r>
      <w:r w:rsidRPr="00917F09">
        <w:rPr>
          <w:rFonts w:cs="Times New Roman"/>
          <w:color w:val="000000" w:themeColor="text1"/>
          <w:szCs w:val="24"/>
          <w:lang w:val="pt-BR"/>
        </w:rPr>
        <w:t>, Rio de Janeiro, v. 51, n. 3, p. 375–397, 2017.</w:t>
      </w:r>
    </w:p>
    <w:p w14:paraId="5D01ED0F"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INSTITUTO INNOVARE. </w:t>
      </w:r>
      <w:r w:rsidRPr="00917F09">
        <w:rPr>
          <w:rFonts w:cs="Times New Roman"/>
          <w:b/>
          <w:bCs/>
          <w:color w:val="000000" w:themeColor="text1"/>
          <w:szCs w:val="24"/>
          <w:lang w:val="pt-BR"/>
        </w:rPr>
        <w:t xml:space="preserve">Execuções </w:t>
      </w:r>
      <w:proofErr w:type="spellStart"/>
      <w:r w:rsidRPr="00917F09">
        <w:rPr>
          <w:rFonts w:cs="Times New Roman"/>
          <w:b/>
          <w:bCs/>
          <w:color w:val="000000" w:themeColor="text1"/>
          <w:szCs w:val="24"/>
          <w:lang w:val="pt-BR"/>
        </w:rPr>
        <w:t>Plúrimas</w:t>
      </w:r>
      <w:proofErr w:type="spellEnd"/>
      <w:r w:rsidRPr="00917F09">
        <w:rPr>
          <w:rFonts w:cs="Times New Roman"/>
          <w:color w:val="000000" w:themeColor="text1"/>
          <w:szCs w:val="24"/>
          <w:lang w:val="pt-BR"/>
        </w:rPr>
        <w:t xml:space="preserve">. Prêmio </w:t>
      </w:r>
      <w:proofErr w:type="spellStart"/>
      <w:r w:rsidRPr="00917F09">
        <w:rPr>
          <w:rFonts w:cs="Times New Roman"/>
          <w:color w:val="000000" w:themeColor="text1"/>
          <w:szCs w:val="24"/>
          <w:lang w:val="pt-BR"/>
        </w:rPr>
        <w:t>Innovare</w:t>
      </w:r>
      <w:proofErr w:type="spellEnd"/>
      <w:r w:rsidRPr="00917F09">
        <w:rPr>
          <w:rFonts w:cs="Times New Roman"/>
          <w:color w:val="000000" w:themeColor="text1"/>
          <w:szCs w:val="24"/>
          <w:lang w:val="pt-BR"/>
        </w:rPr>
        <w:t xml:space="preserve"> – Práticas Reconhecidas, 2006. Disponível em: </w:t>
      </w:r>
      <w:hyperlink r:id="rId16" w:tgtFrame="_new" w:history="1">
        <w:r w:rsidRPr="00917F09">
          <w:rPr>
            <w:rStyle w:val="Hyperlink"/>
            <w:rFonts w:cs="Times New Roman"/>
            <w:color w:val="000000" w:themeColor="text1"/>
            <w:szCs w:val="24"/>
            <w:lang w:val="pt-BR"/>
          </w:rPr>
          <w:t>https://www.premioinnovare.com.br/pratica/execucoes-plurimas/5077</w:t>
        </w:r>
      </w:hyperlink>
      <w:r w:rsidRPr="00917F09">
        <w:rPr>
          <w:rFonts w:cs="Times New Roman"/>
          <w:color w:val="000000" w:themeColor="text1"/>
          <w:szCs w:val="24"/>
          <w:lang w:val="pt-BR"/>
        </w:rPr>
        <w:t>. Acesso em: 25 nov. 2025.</w:t>
      </w:r>
    </w:p>
    <w:p w14:paraId="2DF0342A"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JANNUZZI, Paulo de Martino. Eficiência econômica, eficácia procedural ou efetividade social: Três valores em disputa na Avaliação de Políticas e Programas Sociais. </w:t>
      </w:r>
      <w:r w:rsidRPr="00917F09">
        <w:rPr>
          <w:rFonts w:cs="Times New Roman"/>
          <w:b/>
          <w:bCs/>
          <w:color w:val="000000" w:themeColor="text1"/>
          <w:szCs w:val="24"/>
          <w:lang w:val="pt-BR"/>
        </w:rPr>
        <w:t>Desenvolvimento em Debate</w:t>
      </w:r>
      <w:r w:rsidRPr="00917F09">
        <w:rPr>
          <w:rFonts w:cs="Times New Roman"/>
          <w:color w:val="000000" w:themeColor="text1"/>
          <w:szCs w:val="24"/>
          <w:lang w:val="pt-BR"/>
        </w:rPr>
        <w:t>, Rio de Janeiro, v. 4, n. 1, p. 117-142, 2016.</w:t>
      </w:r>
    </w:p>
    <w:p w14:paraId="730DEF52"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JANNUZZI, Paulo de Martino. Avaliação de programas sociais em uma perspectiva sistêmica, plural e progressista. Revista Aval, [S. l.], v. 4, n. 18, p. 38–69, 2020.</w:t>
      </w:r>
    </w:p>
    <w:p w14:paraId="78A3023D"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KOERICH, Magda Santos et al. Pesquisa-ação: ferramenta metodológica para a pesquisa qualitativa. </w:t>
      </w:r>
      <w:r w:rsidRPr="00917F09">
        <w:rPr>
          <w:rFonts w:cs="Times New Roman"/>
          <w:b/>
          <w:bCs/>
          <w:color w:val="000000" w:themeColor="text1"/>
          <w:szCs w:val="24"/>
          <w:lang w:val="pt-BR"/>
        </w:rPr>
        <w:t>Revista Eletrônica de Enfermagem</w:t>
      </w:r>
      <w:r w:rsidRPr="00917F09">
        <w:rPr>
          <w:rFonts w:cs="Times New Roman"/>
          <w:color w:val="000000" w:themeColor="text1"/>
          <w:szCs w:val="24"/>
          <w:lang w:val="pt-BR"/>
        </w:rPr>
        <w:t>, Goiânia, v. 11, n. 3, p. 717-723, 2009.</w:t>
      </w:r>
    </w:p>
    <w:p w14:paraId="2099DC44"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LOTTA, Gabriela </w:t>
      </w:r>
      <w:proofErr w:type="spellStart"/>
      <w:r w:rsidRPr="00917F09">
        <w:rPr>
          <w:rFonts w:cs="Times New Roman"/>
          <w:color w:val="000000" w:themeColor="text1"/>
          <w:szCs w:val="24"/>
          <w:lang w:val="pt-BR"/>
        </w:rPr>
        <w:t>Spanghero</w:t>
      </w:r>
      <w:proofErr w:type="spellEnd"/>
      <w:r w:rsidRPr="00917F09">
        <w:rPr>
          <w:rFonts w:cs="Times New Roman"/>
          <w:color w:val="000000" w:themeColor="text1"/>
          <w:szCs w:val="24"/>
          <w:lang w:val="pt-BR"/>
        </w:rPr>
        <w:t xml:space="preserve"> et al. Por uma agenda brasileira de estudos sobre implementação de políticas públicas. </w:t>
      </w:r>
      <w:r w:rsidRPr="00917F09">
        <w:rPr>
          <w:rFonts w:cs="Times New Roman"/>
          <w:b/>
          <w:bCs/>
          <w:color w:val="000000" w:themeColor="text1"/>
          <w:szCs w:val="24"/>
          <w:lang w:val="pt-BR"/>
        </w:rPr>
        <w:t>Revista do Serviço Público</w:t>
      </w:r>
      <w:r w:rsidRPr="00917F09">
        <w:rPr>
          <w:rFonts w:cs="Times New Roman"/>
          <w:color w:val="000000" w:themeColor="text1"/>
          <w:szCs w:val="24"/>
          <w:lang w:val="pt-BR"/>
        </w:rPr>
        <w:t>, Brasília, DF, v. 69, n. 4, p. 779–816, 2018.</w:t>
      </w:r>
    </w:p>
    <w:p w14:paraId="49A3EB27"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LUNARDI, Thaís Amoroso Paschoal. Atos concertados entre juízes cooperantes como ferramenta adequada de gestão processual: uma possibilidade para a aplicação do </w:t>
      </w:r>
      <w:proofErr w:type="spellStart"/>
      <w:r w:rsidRPr="00917F09">
        <w:rPr>
          <w:rFonts w:cs="Times New Roman"/>
          <w:color w:val="000000" w:themeColor="text1"/>
          <w:szCs w:val="24"/>
          <w:lang w:val="pt-BR"/>
        </w:rPr>
        <w:t>multidistrict</w:t>
      </w:r>
      <w:proofErr w:type="spellEnd"/>
      <w:r w:rsidRPr="00917F09">
        <w:rPr>
          <w:rFonts w:cs="Times New Roman"/>
          <w:color w:val="000000" w:themeColor="text1"/>
          <w:szCs w:val="24"/>
          <w:lang w:val="pt-BR"/>
        </w:rPr>
        <w:t xml:space="preserve"> </w:t>
      </w:r>
      <w:proofErr w:type="spellStart"/>
      <w:r w:rsidRPr="00917F09">
        <w:rPr>
          <w:rFonts w:cs="Times New Roman"/>
          <w:color w:val="000000" w:themeColor="text1"/>
          <w:szCs w:val="24"/>
          <w:lang w:val="pt-BR"/>
        </w:rPr>
        <w:t>litigation</w:t>
      </w:r>
      <w:proofErr w:type="spellEnd"/>
      <w:r w:rsidRPr="00917F09">
        <w:rPr>
          <w:rFonts w:cs="Times New Roman"/>
          <w:color w:val="000000" w:themeColor="text1"/>
          <w:szCs w:val="24"/>
          <w:lang w:val="pt-BR"/>
        </w:rPr>
        <w:t xml:space="preserve"> no sistema brasileiro. </w:t>
      </w:r>
      <w:r w:rsidRPr="00917F09">
        <w:rPr>
          <w:rFonts w:cs="Times New Roman"/>
          <w:i/>
          <w:iCs/>
          <w:color w:val="000000" w:themeColor="text1"/>
          <w:szCs w:val="24"/>
          <w:lang w:val="pt-BR"/>
        </w:rPr>
        <w:t>In</w:t>
      </w:r>
      <w:r w:rsidRPr="00917F09">
        <w:rPr>
          <w:rFonts w:cs="Times New Roman"/>
          <w:color w:val="000000" w:themeColor="text1"/>
          <w:szCs w:val="24"/>
          <w:lang w:val="pt-BR"/>
        </w:rPr>
        <w:t xml:space="preserve">: ARENHART, S. Cruz; MITIDIERO, D.; DOTTI, R. (coord.). </w:t>
      </w:r>
      <w:r w:rsidRPr="00917F09">
        <w:rPr>
          <w:rFonts w:cs="Times New Roman"/>
          <w:b/>
          <w:bCs/>
          <w:color w:val="000000" w:themeColor="text1"/>
          <w:szCs w:val="24"/>
          <w:lang w:val="pt-BR"/>
        </w:rPr>
        <w:t>O processo civil entre a técnica processual e a tutela dos direitos</w:t>
      </w:r>
      <w:r w:rsidRPr="00917F09">
        <w:rPr>
          <w:rFonts w:cs="Times New Roman"/>
          <w:color w:val="000000" w:themeColor="text1"/>
          <w:szCs w:val="24"/>
          <w:lang w:val="pt-BR"/>
        </w:rPr>
        <w:t>: estudos em homenagem a Luiz Guilherme Marinoni. São Paulo: RT, 2017. p. 367-389.</w:t>
      </w:r>
    </w:p>
    <w:p w14:paraId="308117D4"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Receita Federal do Brasil. (2010, maio 17). </w:t>
      </w:r>
      <w:r w:rsidRPr="00917F09">
        <w:rPr>
          <w:rFonts w:cs="Times New Roman"/>
          <w:b/>
          <w:bCs/>
          <w:color w:val="000000" w:themeColor="text1"/>
          <w:szCs w:val="24"/>
          <w:lang w:val="pt-BR"/>
        </w:rPr>
        <w:t>Processo administrativo n. 10168.001160/2010-05</w:t>
      </w:r>
      <w:r w:rsidRPr="00917F09">
        <w:rPr>
          <w:rFonts w:cs="Times New Roman"/>
          <w:color w:val="000000" w:themeColor="text1"/>
          <w:szCs w:val="24"/>
          <w:lang w:val="pt-BR"/>
        </w:rPr>
        <w:t>. Ministério da Fazenda.</w:t>
      </w:r>
    </w:p>
    <w:p w14:paraId="637BDFA1"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REPETTE, </w:t>
      </w:r>
      <w:proofErr w:type="spellStart"/>
      <w:r w:rsidRPr="00917F09">
        <w:rPr>
          <w:rFonts w:cs="Times New Roman"/>
          <w:color w:val="000000" w:themeColor="text1"/>
          <w:szCs w:val="24"/>
          <w:lang w:val="pt-BR"/>
        </w:rPr>
        <w:t>Palmyra</w:t>
      </w:r>
      <w:proofErr w:type="spellEnd"/>
      <w:r w:rsidRPr="00917F09">
        <w:rPr>
          <w:rFonts w:cs="Times New Roman"/>
          <w:color w:val="000000" w:themeColor="text1"/>
          <w:szCs w:val="24"/>
          <w:lang w:val="pt-BR"/>
        </w:rPr>
        <w:t xml:space="preserve"> </w:t>
      </w:r>
      <w:proofErr w:type="spellStart"/>
      <w:r w:rsidRPr="00917F09">
        <w:rPr>
          <w:rFonts w:cs="Times New Roman"/>
          <w:color w:val="000000" w:themeColor="text1"/>
          <w:szCs w:val="24"/>
          <w:lang w:val="pt-BR"/>
        </w:rPr>
        <w:t>Farinazzo</w:t>
      </w:r>
      <w:proofErr w:type="spellEnd"/>
      <w:r w:rsidRPr="00917F09">
        <w:rPr>
          <w:rFonts w:cs="Times New Roman"/>
          <w:color w:val="000000" w:themeColor="text1"/>
          <w:szCs w:val="24"/>
          <w:lang w:val="pt-BR"/>
        </w:rPr>
        <w:t xml:space="preserve"> Reis; MORALES, Paula Dora </w:t>
      </w:r>
      <w:proofErr w:type="spellStart"/>
      <w:r w:rsidRPr="00917F09">
        <w:rPr>
          <w:rFonts w:cs="Times New Roman"/>
          <w:color w:val="000000" w:themeColor="text1"/>
          <w:szCs w:val="24"/>
          <w:lang w:val="pt-BR"/>
        </w:rPr>
        <w:t>Aostri</w:t>
      </w:r>
      <w:proofErr w:type="spellEnd"/>
      <w:r w:rsidRPr="00917F09">
        <w:rPr>
          <w:rFonts w:cs="Times New Roman"/>
          <w:color w:val="000000" w:themeColor="text1"/>
          <w:szCs w:val="24"/>
          <w:lang w:val="pt-BR"/>
        </w:rPr>
        <w:t xml:space="preserve">; DANDOLINI, Gertrudes Aparecida. Tipologias e conceitos de inovação no setor público. In: SOUZA, João Artur de et al. (org.). </w:t>
      </w:r>
      <w:r w:rsidRPr="00917F09">
        <w:rPr>
          <w:rFonts w:cs="Times New Roman"/>
          <w:b/>
          <w:bCs/>
          <w:color w:val="000000" w:themeColor="text1"/>
          <w:szCs w:val="24"/>
          <w:lang w:val="pt-BR"/>
        </w:rPr>
        <w:t>Inovação no setor público</w:t>
      </w:r>
      <w:r w:rsidRPr="00917F09">
        <w:rPr>
          <w:rFonts w:cs="Times New Roman"/>
          <w:color w:val="000000" w:themeColor="text1"/>
          <w:szCs w:val="24"/>
          <w:lang w:val="pt-BR"/>
        </w:rPr>
        <w:t>: teoria e prática. Florianópolis: Pimenta Cultural, 2022.</w:t>
      </w:r>
    </w:p>
    <w:p w14:paraId="223F057F"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RICHA, Morgana de Almeida. </w:t>
      </w:r>
      <w:r w:rsidRPr="00917F09">
        <w:rPr>
          <w:rFonts w:cs="Times New Roman"/>
          <w:b/>
          <w:bCs/>
          <w:color w:val="000000" w:themeColor="text1"/>
          <w:szCs w:val="24"/>
          <w:lang w:val="pt-BR"/>
        </w:rPr>
        <w:t>Políticas públicas judiciárias e acesso à justiça</w:t>
      </w:r>
      <w:r w:rsidRPr="00917F09">
        <w:rPr>
          <w:rFonts w:cs="Times New Roman"/>
          <w:color w:val="000000" w:themeColor="text1"/>
          <w:szCs w:val="24"/>
          <w:lang w:val="pt-BR"/>
        </w:rPr>
        <w:t xml:space="preserve">. São Paulo: </w:t>
      </w:r>
      <w:proofErr w:type="spellStart"/>
      <w:r w:rsidRPr="00917F09">
        <w:rPr>
          <w:rFonts w:cs="Times New Roman"/>
          <w:color w:val="000000" w:themeColor="text1"/>
          <w:szCs w:val="24"/>
          <w:lang w:val="pt-BR"/>
        </w:rPr>
        <w:t>LTr</w:t>
      </w:r>
      <w:proofErr w:type="spellEnd"/>
      <w:r w:rsidRPr="00917F09">
        <w:rPr>
          <w:rFonts w:cs="Times New Roman"/>
          <w:color w:val="000000" w:themeColor="text1"/>
          <w:szCs w:val="24"/>
          <w:lang w:val="pt-BR"/>
        </w:rPr>
        <w:t>, 2022.</w:t>
      </w:r>
    </w:p>
    <w:p w14:paraId="66C2A317"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Rio Grande do Norte. Comarca de Pau dos Ferros. (2024, 25 novembro). </w:t>
      </w:r>
      <w:r w:rsidRPr="00917F09">
        <w:rPr>
          <w:rFonts w:cs="Times New Roman"/>
          <w:b/>
          <w:bCs/>
          <w:color w:val="000000" w:themeColor="text1"/>
          <w:szCs w:val="24"/>
          <w:lang w:val="pt-BR"/>
        </w:rPr>
        <w:t>Ato Concertado n. 01/2024</w:t>
      </w:r>
      <w:r w:rsidRPr="00917F09">
        <w:rPr>
          <w:rFonts w:cs="Times New Roman"/>
          <w:color w:val="000000" w:themeColor="text1"/>
          <w:szCs w:val="24"/>
          <w:lang w:val="pt-BR"/>
        </w:rPr>
        <w:t>: Adota procedimento para realização de Leilão Judicial Unificado. Diário de Justiça Eletrônico do Tribunal de Justiça do Estado do Rio Grande do Norte, Natal, RN, 2024, nº 484, pág. 494-497, 25 nov. 2024.</w:t>
      </w:r>
    </w:p>
    <w:p w14:paraId="53F78DE9"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lastRenderedPageBreak/>
        <w:t xml:space="preserve">RODRIGUES, Fernanda Rosa. O processo judicial eletrônico: aspectos teóricos e práticos. </w:t>
      </w:r>
      <w:r w:rsidRPr="00917F09">
        <w:rPr>
          <w:rFonts w:cs="Times New Roman"/>
          <w:b/>
          <w:bCs/>
          <w:color w:val="000000" w:themeColor="text1"/>
          <w:szCs w:val="24"/>
          <w:lang w:val="pt-BR"/>
        </w:rPr>
        <w:t>Revista de Direito Processual</w:t>
      </w:r>
      <w:r w:rsidRPr="00917F09">
        <w:rPr>
          <w:rFonts w:cs="Times New Roman"/>
          <w:color w:val="000000" w:themeColor="text1"/>
          <w:szCs w:val="24"/>
          <w:lang w:val="pt-BR"/>
        </w:rPr>
        <w:t>, [S. l.], v. 45, p. 661–687, 2021.</w:t>
      </w:r>
    </w:p>
    <w:p w14:paraId="5B0BF457"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RUIZ, Isabela; BUCCI, Maria Paula Dallari. Quadro de problemas de políticas públicas: uma ferramenta para análise jurídico-institucional. </w:t>
      </w:r>
      <w:r w:rsidRPr="00917F09">
        <w:rPr>
          <w:rFonts w:cs="Times New Roman"/>
          <w:b/>
          <w:bCs/>
          <w:color w:val="000000" w:themeColor="text1"/>
          <w:szCs w:val="24"/>
          <w:lang w:val="pt-BR"/>
        </w:rPr>
        <w:t>Revista Estudos Institucionais</w:t>
      </w:r>
      <w:r w:rsidRPr="00917F09">
        <w:rPr>
          <w:rFonts w:cs="Times New Roman"/>
          <w:color w:val="000000" w:themeColor="text1"/>
          <w:szCs w:val="24"/>
          <w:lang w:val="pt-BR"/>
        </w:rPr>
        <w:t>, [S. l.], v. 5, n. 3, p. 1142–1167, 2019.</w:t>
      </w:r>
    </w:p>
    <w:p w14:paraId="74A99F7E"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SCHMIDT, João Pedro. Para estudar políticas públicas: aspectos conceituais, metodológicos e abordagens teóricas. </w:t>
      </w:r>
      <w:r w:rsidRPr="00917F09">
        <w:rPr>
          <w:rFonts w:cs="Times New Roman"/>
          <w:b/>
          <w:bCs/>
          <w:color w:val="000000" w:themeColor="text1"/>
          <w:szCs w:val="24"/>
          <w:lang w:val="pt-BR"/>
        </w:rPr>
        <w:t>Revista do Direito</w:t>
      </w:r>
      <w:r w:rsidRPr="00917F09">
        <w:rPr>
          <w:rFonts w:cs="Times New Roman"/>
          <w:color w:val="000000" w:themeColor="text1"/>
          <w:szCs w:val="24"/>
          <w:lang w:val="pt-BR"/>
        </w:rPr>
        <w:t>. Santa Cruz do Sul, v. 3, n. 56, p. 119-149, set/dez. 2018.</w:t>
      </w:r>
    </w:p>
    <w:p w14:paraId="2A58A893"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THIOLLENT, Michel. </w:t>
      </w:r>
      <w:r w:rsidRPr="00917F09">
        <w:rPr>
          <w:rFonts w:cs="Times New Roman"/>
          <w:b/>
          <w:bCs/>
          <w:color w:val="000000" w:themeColor="text1"/>
          <w:szCs w:val="24"/>
          <w:lang w:val="pt-BR"/>
        </w:rPr>
        <w:t>Metodologia da pesquisa-ação</w:t>
      </w:r>
      <w:r w:rsidRPr="00917F09">
        <w:rPr>
          <w:rFonts w:cs="Times New Roman"/>
          <w:color w:val="000000" w:themeColor="text1"/>
          <w:szCs w:val="24"/>
          <w:lang w:val="pt-BR"/>
        </w:rPr>
        <w:t xml:space="preserve">. 19. ed. São Paulo: Cortez, 2025. </w:t>
      </w:r>
    </w:p>
    <w:p w14:paraId="2647D65D"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TRINDADE, Rodrigo </w:t>
      </w:r>
      <w:proofErr w:type="spellStart"/>
      <w:r w:rsidRPr="00917F09">
        <w:rPr>
          <w:rFonts w:cs="Times New Roman"/>
          <w:color w:val="000000" w:themeColor="text1"/>
          <w:szCs w:val="24"/>
          <w:lang w:val="pt-BR"/>
        </w:rPr>
        <w:t>Vaslin</w:t>
      </w:r>
      <w:proofErr w:type="spellEnd"/>
      <w:r w:rsidRPr="00917F09">
        <w:rPr>
          <w:rFonts w:cs="Times New Roman"/>
          <w:color w:val="000000" w:themeColor="text1"/>
          <w:szCs w:val="24"/>
          <w:lang w:val="pt-BR"/>
        </w:rPr>
        <w:t xml:space="preserve"> Diniz. </w:t>
      </w:r>
      <w:r w:rsidRPr="00917F09">
        <w:rPr>
          <w:rFonts w:cs="Times New Roman"/>
          <w:b/>
          <w:bCs/>
          <w:color w:val="000000" w:themeColor="text1"/>
          <w:szCs w:val="24"/>
          <w:lang w:val="pt-BR"/>
        </w:rPr>
        <w:t>Justiça 6.0</w:t>
      </w:r>
      <w:r w:rsidRPr="00917F09">
        <w:rPr>
          <w:rFonts w:cs="Times New Roman"/>
          <w:color w:val="000000" w:themeColor="text1"/>
          <w:szCs w:val="24"/>
          <w:lang w:val="pt-BR"/>
        </w:rPr>
        <w:t>: inteligência artificial e o futuro do Poder Judiciário. Belo Horizonte: Fórum, 2025.</w:t>
      </w:r>
    </w:p>
    <w:p w14:paraId="2CF761C9" w14:textId="77777777" w:rsidR="00917F09" w:rsidRPr="00917F09" w:rsidRDefault="00917F09" w:rsidP="00917F09">
      <w:pPr>
        <w:spacing w:after="240"/>
        <w:rPr>
          <w:rFonts w:cs="Times New Roman"/>
          <w:color w:val="000000" w:themeColor="text1"/>
          <w:szCs w:val="24"/>
          <w:lang w:val="pt-BR"/>
        </w:rPr>
      </w:pPr>
      <w:r w:rsidRPr="00917F09">
        <w:rPr>
          <w:rFonts w:cs="Times New Roman"/>
          <w:color w:val="000000" w:themeColor="text1"/>
          <w:szCs w:val="24"/>
          <w:lang w:val="pt-BR"/>
        </w:rPr>
        <w:t xml:space="preserve">TRIPP, David. </w:t>
      </w:r>
      <w:r w:rsidRPr="00917F09">
        <w:rPr>
          <w:rFonts w:cs="Times New Roman"/>
          <w:b/>
          <w:bCs/>
          <w:color w:val="000000" w:themeColor="text1"/>
          <w:szCs w:val="24"/>
          <w:lang w:val="pt-BR"/>
        </w:rPr>
        <w:t>Pesquisa-ação</w:t>
      </w:r>
      <w:r w:rsidRPr="00917F09">
        <w:rPr>
          <w:rFonts w:cs="Times New Roman"/>
          <w:color w:val="000000" w:themeColor="text1"/>
          <w:szCs w:val="24"/>
          <w:lang w:val="pt-BR"/>
        </w:rPr>
        <w:t>: uma introdução metodológica. Educação e Pesquisa, São Paulo, v. 31, n. 3, p. 443-466, 2005.</w:t>
      </w:r>
    </w:p>
    <w:p w14:paraId="3D9904CA" w14:textId="296F381C" w:rsidR="00A24043" w:rsidRDefault="00917F09" w:rsidP="00917F09">
      <w:pPr>
        <w:spacing w:after="0" w:line="360" w:lineRule="auto"/>
        <w:jc w:val="both"/>
      </w:pPr>
      <w:r w:rsidRPr="00D90BC6">
        <w:rPr>
          <w:rFonts w:cs="Times New Roman"/>
          <w:color w:val="000000" w:themeColor="text1"/>
          <w:szCs w:val="24"/>
        </w:rPr>
        <w:t xml:space="preserve">WU, Xun; RAMESH, M.; HOWLETT, Michael. </w:t>
      </w:r>
      <w:r w:rsidRPr="00D90BC6">
        <w:rPr>
          <w:rFonts w:cs="Times New Roman"/>
          <w:b/>
          <w:bCs/>
          <w:color w:val="000000" w:themeColor="text1"/>
          <w:szCs w:val="24"/>
        </w:rPr>
        <w:t>Policy capacity and governance</w:t>
      </w:r>
      <w:r w:rsidRPr="00D90BC6">
        <w:rPr>
          <w:rFonts w:cs="Times New Roman"/>
          <w:color w:val="000000" w:themeColor="text1"/>
          <w:szCs w:val="24"/>
        </w:rPr>
        <w:t>. London: Palgrave Macmillan, 2014.</w:t>
      </w:r>
    </w:p>
    <w:sectPr w:rsidR="00A24043" w:rsidSect="00034616">
      <w:pgSz w:w="11906" w:h="16838"/>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157529140">
    <w:abstractNumId w:val="8"/>
  </w:num>
  <w:num w:numId="2" w16cid:durableId="774635933">
    <w:abstractNumId w:val="6"/>
  </w:num>
  <w:num w:numId="3" w16cid:durableId="85227386">
    <w:abstractNumId w:val="5"/>
  </w:num>
  <w:num w:numId="4" w16cid:durableId="255940440">
    <w:abstractNumId w:val="4"/>
  </w:num>
  <w:num w:numId="5" w16cid:durableId="1261716472">
    <w:abstractNumId w:val="7"/>
  </w:num>
  <w:num w:numId="6" w16cid:durableId="1063604419">
    <w:abstractNumId w:val="3"/>
  </w:num>
  <w:num w:numId="7" w16cid:durableId="483547803">
    <w:abstractNumId w:val="2"/>
  </w:num>
  <w:num w:numId="8" w16cid:durableId="1075709228">
    <w:abstractNumId w:val="1"/>
  </w:num>
  <w:num w:numId="9" w16cid:durableId="51203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0F5E"/>
    <w:rsid w:val="002F4027"/>
    <w:rsid w:val="00326F90"/>
    <w:rsid w:val="00536667"/>
    <w:rsid w:val="00747C30"/>
    <w:rsid w:val="00917F09"/>
    <w:rsid w:val="00A24043"/>
    <w:rsid w:val="00AA1D8D"/>
    <w:rsid w:val="00B16C36"/>
    <w:rsid w:val="00B47730"/>
    <w:rsid w:val="00CB0664"/>
    <w:rsid w:val="00F1076B"/>
    <w:rsid w:val="00FC693F"/>
    <w:rsid w:val="00FE2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14BDAA"/>
  <w14:defaultImageDpi w14:val="300"/>
  <w15:docId w15:val="{E004E3B2-94D1-427B-8C06-4F3FEC8D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epargpadro"/>
    <w:uiPriority w:val="99"/>
    <w:unhideWhenUsed/>
    <w:rsid w:val="00917F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j.jus.br/wp-content/uploads/2024/05/justica-em-numeros-2024.pdf" TargetMode="External"/><Relationship Id="rId13" Type="http://schemas.openxmlformats.org/officeDocument/2006/relationships/hyperlink" Target="https://atos.cnj.jus.br/atos/detalhar/5555?utm_source=chatgp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nj.jus.br/wp-content/uploads/2024/02/justica-em-numeros-2023-16022024.pdf" TargetMode="External"/><Relationship Id="rId12" Type="http://schemas.openxmlformats.org/officeDocument/2006/relationships/hyperlink" Target="https://atos.cnj.jus.br/atos/detalhar/3556?utm_source=chatgp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remioinnovare.com.br/pratica/execucoes-plurimas/5077" TargetMode="External"/><Relationship Id="rId1" Type="http://schemas.openxmlformats.org/officeDocument/2006/relationships/customXml" Target="../customXml/item1.xml"/><Relationship Id="rId6" Type="http://schemas.openxmlformats.org/officeDocument/2006/relationships/hyperlink" Target="https://civilprocedurereview.faculdadebaianadedireito.com.br/revista/article/view/200" TargetMode="External"/><Relationship Id="rId11" Type="http://schemas.openxmlformats.org/officeDocument/2006/relationships/hyperlink" Target="https://atos.cnj.jus.br/atos/detalhar/2290" TargetMode="External"/><Relationship Id="rId5" Type="http://schemas.openxmlformats.org/officeDocument/2006/relationships/webSettings" Target="webSettings.xml"/><Relationship Id="rId15" Type="http://schemas.openxmlformats.org/officeDocument/2006/relationships/hyperlink" Target="https://doi.org/10.21783/rei.v5i3.430" TargetMode="External"/><Relationship Id="rId10" Type="http://schemas.openxmlformats.org/officeDocument/2006/relationships/hyperlink" Target="https://www.cnj.jus.br/wp-content/uploads/2011/02/relatorio_anual_cnj_2009.pdf" TargetMode="External"/><Relationship Id="rId4" Type="http://schemas.openxmlformats.org/officeDocument/2006/relationships/settings" Target="settings.xml"/><Relationship Id="rId9" Type="http://schemas.openxmlformats.org/officeDocument/2006/relationships/hyperlink" Target="https://www.cnj.jus.br/wp-content/uploads/2025/11/justica-em-numeros-2025.pdf" TargetMode="External"/><Relationship Id="rId14" Type="http://schemas.openxmlformats.org/officeDocument/2006/relationships/hyperlink" Target="https://www.planalto.gov.br/ccivil_03/_ato2015-2018/2015/lei/l131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10623</Words>
  <Characters>57368</Characters>
  <Application>Microsoft Office Word</Application>
  <DocSecurity>0</DocSecurity>
  <Lines>478</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PROPOSTA DE POLÍTICA PÚBLICA JUDICIÁRIA DE LEILÕES UNIFICADOS A PARTIR DAS EVIDÊNCIAS DA PESQUISA-AÇÃO SOBRE O ATO CONCERTADO N. 01/2024</vt:lpstr>
      <vt:lpstr/>
    </vt:vector>
  </TitlesOfParts>
  <Manager/>
  <Company/>
  <LinksUpToDate>false</LinksUpToDate>
  <CharactersWithSpaces>67856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DE POLÍTICA PÚBLICA JUDICIÁRIA DE LEILÕES UNIFICADOS A PARTIR DAS EVIDÊNCIAS DA PESQUISA-AÇÃO SOBRE O ATO CONCERTADO N. 01/2024</dc:title>
  <dc:subject>Relato de Pesquisa</dc:subject>
  <dc:creator>Edilson Chaves de Freitas; Jéssica Traguetto</dc:creator>
  <cp:keywords>política pública judiciária; cooperação judiciária; governança multinível; leilão judicial unificado</cp:keywords>
  <dc:description/>
  <cp:lastModifiedBy>Edilson Chaves</cp:lastModifiedBy>
  <cp:revision>2</cp:revision>
  <dcterms:created xsi:type="dcterms:W3CDTF">2026-03-10T02:19:00Z</dcterms:created>
  <dcterms:modified xsi:type="dcterms:W3CDTF">2026-03-10T02:19:00Z</dcterms:modified>
  <cp:category/>
</cp:coreProperties>
</file>