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565F2" w14:textId="4F09A502" w:rsidR="00F730B9" w:rsidRDefault="0090314A" w:rsidP="0090314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 </w:t>
      </w:r>
      <w:r w:rsidRPr="0090314A">
        <w:rPr>
          <w:rFonts w:ascii="Times New Roman" w:hAnsi="Times New Roman" w:cs="Times New Roman"/>
          <w:b/>
          <w:bCs/>
          <w:sz w:val="24"/>
          <w:szCs w:val="24"/>
        </w:rPr>
        <w:t>ANÁLISE DE IMPACTO REGULATÓRIO COMO POLÍTICA DE ESTADO NOS EXECUTIVOS ESTADUAIS</w:t>
      </w:r>
      <w:r>
        <w:rPr>
          <w:rFonts w:ascii="Times New Roman" w:hAnsi="Times New Roman" w:cs="Times New Roman"/>
          <w:b/>
          <w:bCs/>
          <w:sz w:val="24"/>
          <w:szCs w:val="24"/>
        </w:rPr>
        <w:t xml:space="preserve">: </w:t>
      </w:r>
      <w:r w:rsidRPr="0090314A">
        <w:rPr>
          <w:rFonts w:ascii="Times New Roman" w:hAnsi="Times New Roman" w:cs="Times New Roman"/>
          <w:b/>
          <w:bCs/>
          <w:sz w:val="24"/>
          <w:szCs w:val="24"/>
        </w:rPr>
        <w:t>ENTRE SETORIALIZAÇÃO E TRANSVERSALIDADE</w:t>
      </w:r>
    </w:p>
    <w:p w14:paraId="2A24D088" w14:textId="77777777" w:rsidR="0090314A" w:rsidRPr="009E1058" w:rsidRDefault="0090314A" w:rsidP="0090314A">
      <w:pPr>
        <w:spacing w:after="0" w:line="360" w:lineRule="auto"/>
        <w:jc w:val="center"/>
        <w:rPr>
          <w:rFonts w:ascii="Times New Roman" w:hAnsi="Times New Roman" w:cs="Times New Roman"/>
          <w:b/>
          <w:bCs/>
          <w:sz w:val="24"/>
          <w:szCs w:val="24"/>
        </w:rPr>
      </w:pPr>
    </w:p>
    <w:p w14:paraId="1BBE0F2F" w14:textId="04DF47B5" w:rsidR="007C7A4A" w:rsidRPr="009E1058" w:rsidRDefault="007C7A4A" w:rsidP="007C7A4A">
      <w:pPr>
        <w:spacing w:after="0" w:line="360" w:lineRule="auto"/>
        <w:jc w:val="right"/>
        <w:rPr>
          <w:rFonts w:ascii="Times New Roman" w:hAnsi="Times New Roman" w:cs="Times New Roman"/>
          <w:sz w:val="24"/>
          <w:szCs w:val="24"/>
        </w:rPr>
      </w:pPr>
      <w:r w:rsidRPr="009E1058">
        <w:rPr>
          <w:rFonts w:ascii="Times New Roman" w:hAnsi="Times New Roman" w:cs="Times New Roman"/>
          <w:sz w:val="24"/>
          <w:szCs w:val="24"/>
        </w:rPr>
        <w:t>Linara Oeiras Assunção</w:t>
      </w:r>
    </w:p>
    <w:p w14:paraId="07455BD7" w14:textId="645E9966" w:rsidR="007C7A4A" w:rsidRPr="009E1058" w:rsidRDefault="007C7A4A" w:rsidP="007C7A4A">
      <w:pPr>
        <w:spacing w:after="0" w:line="360" w:lineRule="auto"/>
        <w:jc w:val="right"/>
        <w:rPr>
          <w:rFonts w:ascii="Times New Roman" w:hAnsi="Times New Roman" w:cs="Times New Roman"/>
          <w:sz w:val="24"/>
          <w:szCs w:val="24"/>
        </w:rPr>
      </w:pPr>
      <w:r w:rsidRPr="009E1058">
        <w:rPr>
          <w:rFonts w:ascii="Times New Roman" w:hAnsi="Times New Roman" w:cs="Times New Roman"/>
          <w:sz w:val="24"/>
          <w:szCs w:val="24"/>
        </w:rPr>
        <w:t>Programa de Pós-Graduação em Direito da Universidade Federal do Amapá</w:t>
      </w:r>
    </w:p>
    <w:p w14:paraId="6E6F3532" w14:textId="489F00FF" w:rsidR="007C7A4A" w:rsidRPr="009E1058" w:rsidRDefault="007C7A4A" w:rsidP="007C7A4A">
      <w:pPr>
        <w:spacing w:after="0" w:line="360" w:lineRule="auto"/>
        <w:jc w:val="right"/>
        <w:rPr>
          <w:rFonts w:ascii="Times New Roman" w:hAnsi="Times New Roman" w:cs="Times New Roman"/>
          <w:sz w:val="24"/>
          <w:szCs w:val="24"/>
        </w:rPr>
      </w:pPr>
      <w:proofErr w:type="spellStart"/>
      <w:r w:rsidRPr="009E1058">
        <w:rPr>
          <w:rFonts w:ascii="Times New Roman" w:hAnsi="Times New Roman" w:cs="Times New Roman"/>
          <w:sz w:val="24"/>
          <w:szCs w:val="24"/>
        </w:rPr>
        <w:t>Thalyta</w:t>
      </w:r>
      <w:proofErr w:type="spellEnd"/>
      <w:r w:rsidRPr="009E1058">
        <w:rPr>
          <w:rFonts w:ascii="Times New Roman" w:hAnsi="Times New Roman" w:cs="Times New Roman"/>
          <w:sz w:val="24"/>
          <w:szCs w:val="24"/>
        </w:rPr>
        <w:t xml:space="preserve"> Rocha Belfort Pereira</w:t>
      </w:r>
    </w:p>
    <w:p w14:paraId="14D42170" w14:textId="77777777" w:rsidR="007C7A4A" w:rsidRPr="009E1058" w:rsidRDefault="007C7A4A" w:rsidP="007C7A4A">
      <w:pPr>
        <w:spacing w:after="0" w:line="360" w:lineRule="auto"/>
        <w:jc w:val="right"/>
        <w:rPr>
          <w:rFonts w:ascii="Times New Roman" w:hAnsi="Times New Roman" w:cs="Times New Roman"/>
          <w:sz w:val="24"/>
          <w:szCs w:val="24"/>
        </w:rPr>
      </w:pPr>
      <w:r w:rsidRPr="009E1058">
        <w:rPr>
          <w:rFonts w:ascii="Times New Roman" w:hAnsi="Times New Roman" w:cs="Times New Roman"/>
          <w:sz w:val="24"/>
          <w:szCs w:val="24"/>
        </w:rPr>
        <w:t>Programa de Pós-Graduação em Direito da Universidade Federal do Amapá</w:t>
      </w:r>
    </w:p>
    <w:p w14:paraId="69CBC10F" w14:textId="77777777" w:rsidR="007C7A4A" w:rsidRPr="009E1058" w:rsidRDefault="007C7A4A" w:rsidP="007C7A4A">
      <w:pPr>
        <w:spacing w:after="0" w:line="360" w:lineRule="auto"/>
        <w:jc w:val="right"/>
        <w:rPr>
          <w:rFonts w:ascii="Times New Roman" w:hAnsi="Times New Roman" w:cs="Times New Roman"/>
          <w:sz w:val="24"/>
          <w:szCs w:val="24"/>
        </w:rPr>
      </w:pPr>
    </w:p>
    <w:p w14:paraId="2DF4C1B3" w14:textId="4905E085" w:rsidR="007C7A4A" w:rsidRPr="009E1058" w:rsidRDefault="007C7A4A" w:rsidP="007C7A4A">
      <w:pPr>
        <w:spacing w:after="0" w:line="360" w:lineRule="auto"/>
        <w:jc w:val="right"/>
        <w:rPr>
          <w:rFonts w:ascii="Times New Roman" w:hAnsi="Times New Roman" w:cs="Times New Roman"/>
          <w:sz w:val="24"/>
          <w:szCs w:val="24"/>
        </w:rPr>
      </w:pPr>
      <w:r w:rsidRPr="009E1058">
        <w:rPr>
          <w:rFonts w:ascii="Times New Roman" w:hAnsi="Times New Roman" w:cs="Times New Roman"/>
          <w:sz w:val="24"/>
          <w:szCs w:val="24"/>
        </w:rPr>
        <w:t>Eixo Temático – Tema 5 – Políticas de Estado e de Governo</w:t>
      </w:r>
    </w:p>
    <w:p w14:paraId="6B8B7FAE" w14:textId="77777777" w:rsidR="007C7A4A" w:rsidRPr="009E1058" w:rsidRDefault="007C7A4A" w:rsidP="007C7A4A">
      <w:pPr>
        <w:spacing w:after="0" w:line="360" w:lineRule="auto"/>
        <w:jc w:val="both"/>
        <w:rPr>
          <w:rFonts w:ascii="Times New Roman" w:hAnsi="Times New Roman" w:cs="Times New Roman"/>
          <w:b/>
          <w:bCs/>
          <w:sz w:val="24"/>
          <w:szCs w:val="24"/>
        </w:rPr>
      </w:pPr>
    </w:p>
    <w:p w14:paraId="23BFAA39" w14:textId="7A4C30B3" w:rsidR="00F918C6" w:rsidRPr="009E1058" w:rsidRDefault="007C7A4A" w:rsidP="007C7A4A">
      <w:pPr>
        <w:spacing w:after="0" w:line="360" w:lineRule="auto"/>
        <w:jc w:val="both"/>
        <w:rPr>
          <w:rFonts w:ascii="Times New Roman" w:hAnsi="Times New Roman" w:cs="Times New Roman"/>
          <w:sz w:val="24"/>
          <w:szCs w:val="24"/>
        </w:rPr>
      </w:pPr>
      <w:r w:rsidRPr="009E1058">
        <w:rPr>
          <w:rFonts w:ascii="Times New Roman" w:hAnsi="Times New Roman" w:cs="Times New Roman"/>
          <w:b/>
          <w:bCs/>
          <w:sz w:val="24"/>
          <w:szCs w:val="24"/>
        </w:rPr>
        <w:t xml:space="preserve">Resumo: </w:t>
      </w:r>
      <w:r w:rsidR="001C51CD" w:rsidRPr="001C51CD">
        <w:rPr>
          <w:rFonts w:ascii="Times New Roman" w:hAnsi="Times New Roman" w:cs="Times New Roman"/>
          <w:sz w:val="24"/>
          <w:szCs w:val="24"/>
        </w:rPr>
        <w:t xml:space="preserve">Este relato de pesquisa analisa em que medida a Análise de Impacto Regulatório (AIR) tem sido institucionalizada como política transversal do Executivo estadual no Brasil federativo. Parte-se da distinção entre políticas de governo e políticas de Estado, compreendendo a AIR não apenas como instrumento técnico de avaliação econômica, mas como infraestrutura decisória capaz de estruturar a racionalidade administrativa. Metodologicamente, adotou-se pesquisa documental sistemática dos atos normativos estaduais publicados entre 2020 e 2025, com aplicação de análise de conteúdo para construção de tipologia classificatória. Foram considerados critérios como existência de decreto geral aplicável ao Executivo, presença de coordenação técnica central e evidências de institucionalização setorial. Os resultados indicam padrão federativo heterogêneo: apenas um estado apresenta sinais de </w:t>
      </w:r>
      <w:proofErr w:type="spellStart"/>
      <w:r w:rsidR="001C51CD" w:rsidRPr="001C51CD">
        <w:rPr>
          <w:rFonts w:ascii="Times New Roman" w:hAnsi="Times New Roman" w:cs="Times New Roman"/>
          <w:sz w:val="24"/>
          <w:szCs w:val="24"/>
        </w:rPr>
        <w:t>transversalização</w:t>
      </w:r>
      <w:proofErr w:type="spellEnd"/>
      <w:r w:rsidR="001C51CD" w:rsidRPr="001C51CD">
        <w:rPr>
          <w:rFonts w:ascii="Times New Roman" w:hAnsi="Times New Roman" w:cs="Times New Roman"/>
          <w:sz w:val="24"/>
          <w:szCs w:val="24"/>
        </w:rPr>
        <w:t xml:space="preserve"> emergente, enquanto predominam casos de formalização normativa replicada</w:t>
      </w:r>
      <w:r w:rsidR="00581549">
        <w:rPr>
          <w:rFonts w:ascii="Times New Roman" w:hAnsi="Times New Roman" w:cs="Times New Roman"/>
          <w:sz w:val="24"/>
          <w:szCs w:val="24"/>
        </w:rPr>
        <w:t xml:space="preserve">, </w:t>
      </w:r>
      <w:r w:rsidR="001C51CD" w:rsidRPr="001C51CD">
        <w:rPr>
          <w:rFonts w:ascii="Times New Roman" w:hAnsi="Times New Roman" w:cs="Times New Roman"/>
          <w:sz w:val="24"/>
          <w:szCs w:val="24"/>
        </w:rPr>
        <w:t>institucionalização restrita a agências reguladoras</w:t>
      </w:r>
      <w:r w:rsidR="00581549">
        <w:rPr>
          <w:rFonts w:ascii="Times New Roman" w:hAnsi="Times New Roman" w:cs="Times New Roman"/>
          <w:sz w:val="24"/>
          <w:szCs w:val="24"/>
        </w:rPr>
        <w:t xml:space="preserve"> e a</w:t>
      </w:r>
      <w:r w:rsidR="00581549" w:rsidRPr="00581549">
        <w:rPr>
          <w:rFonts w:ascii="Times New Roman" w:hAnsi="Times New Roman" w:cs="Times New Roman"/>
          <w:sz w:val="24"/>
          <w:szCs w:val="24"/>
        </w:rPr>
        <w:t>usência de normatização estruturada identificável</w:t>
      </w:r>
      <w:r w:rsidR="001C51CD" w:rsidRPr="001C51CD">
        <w:rPr>
          <w:rFonts w:ascii="Times New Roman" w:hAnsi="Times New Roman" w:cs="Times New Roman"/>
          <w:sz w:val="24"/>
          <w:szCs w:val="24"/>
        </w:rPr>
        <w:t>. Conclui-se que, embora consolidada no plano federal, a AIR ainda não se institucionalizou como política de Estado transversal na maioria dos Executivos estaduais, permanecendo dependente de arranjos organizacionais incipientes e capacidades administrativas desiguais. A pesquisa contribui para o debate sobre difusão institucional, governança regulatória e consolidação de políticas de Estado no federalismo brasileiro.</w:t>
      </w:r>
    </w:p>
    <w:p w14:paraId="4C1B27BE" w14:textId="0564061F" w:rsidR="00F918C6" w:rsidRPr="009E1058" w:rsidRDefault="007C7A4A" w:rsidP="007C7A4A">
      <w:pPr>
        <w:spacing w:after="0" w:line="360" w:lineRule="auto"/>
        <w:jc w:val="both"/>
        <w:rPr>
          <w:rFonts w:ascii="Times New Roman" w:hAnsi="Times New Roman" w:cs="Times New Roman"/>
          <w:sz w:val="24"/>
          <w:szCs w:val="24"/>
        </w:rPr>
      </w:pPr>
      <w:r w:rsidRPr="009E1058">
        <w:rPr>
          <w:rFonts w:ascii="Times New Roman" w:hAnsi="Times New Roman" w:cs="Times New Roman"/>
          <w:b/>
          <w:bCs/>
          <w:sz w:val="24"/>
          <w:szCs w:val="24"/>
        </w:rPr>
        <w:t>Palavras-chave:</w:t>
      </w:r>
      <w:r w:rsidRPr="009E1058">
        <w:rPr>
          <w:rFonts w:ascii="Times New Roman" w:hAnsi="Times New Roman" w:cs="Times New Roman"/>
          <w:sz w:val="24"/>
          <w:szCs w:val="24"/>
        </w:rPr>
        <w:t xml:space="preserve"> </w:t>
      </w:r>
      <w:r w:rsidR="001C51CD" w:rsidRPr="001C51CD">
        <w:rPr>
          <w:rFonts w:ascii="Times New Roman" w:hAnsi="Times New Roman" w:cs="Times New Roman"/>
          <w:sz w:val="24"/>
          <w:szCs w:val="24"/>
        </w:rPr>
        <w:t>Análise de Impacto Regulatório; Políticas de Estado; Governança regulatória; Federalismo brasileiro; Institucionalização administrativa.</w:t>
      </w:r>
    </w:p>
    <w:p w14:paraId="5906B1F9" w14:textId="77777777" w:rsidR="00F918C6" w:rsidRDefault="00F918C6" w:rsidP="007C7A4A">
      <w:pPr>
        <w:spacing w:after="0" w:line="360" w:lineRule="auto"/>
        <w:jc w:val="both"/>
        <w:rPr>
          <w:rFonts w:ascii="Times New Roman" w:hAnsi="Times New Roman" w:cs="Times New Roman"/>
          <w:sz w:val="24"/>
          <w:szCs w:val="24"/>
        </w:rPr>
      </w:pPr>
    </w:p>
    <w:p w14:paraId="6AED71E3" w14:textId="77777777" w:rsidR="00D079DB" w:rsidRDefault="00D079DB" w:rsidP="007C7A4A">
      <w:pPr>
        <w:spacing w:after="0" w:line="360" w:lineRule="auto"/>
        <w:jc w:val="both"/>
        <w:rPr>
          <w:rFonts w:ascii="Times New Roman" w:hAnsi="Times New Roman" w:cs="Times New Roman"/>
          <w:sz w:val="24"/>
          <w:szCs w:val="24"/>
        </w:rPr>
      </w:pPr>
    </w:p>
    <w:p w14:paraId="03C214E9" w14:textId="77777777" w:rsidR="00D079DB" w:rsidRDefault="00D079DB" w:rsidP="007C7A4A">
      <w:pPr>
        <w:spacing w:after="0" w:line="360" w:lineRule="auto"/>
        <w:jc w:val="both"/>
        <w:rPr>
          <w:rFonts w:ascii="Times New Roman" w:hAnsi="Times New Roman" w:cs="Times New Roman"/>
          <w:sz w:val="24"/>
          <w:szCs w:val="24"/>
        </w:rPr>
      </w:pPr>
    </w:p>
    <w:p w14:paraId="37059945" w14:textId="77777777" w:rsidR="00D079DB" w:rsidRPr="009E1058" w:rsidRDefault="00D079DB" w:rsidP="007C7A4A">
      <w:pPr>
        <w:spacing w:after="0" w:line="360" w:lineRule="auto"/>
        <w:jc w:val="both"/>
        <w:rPr>
          <w:rFonts w:ascii="Times New Roman" w:hAnsi="Times New Roman" w:cs="Times New Roman"/>
          <w:sz w:val="24"/>
          <w:szCs w:val="24"/>
        </w:rPr>
      </w:pPr>
    </w:p>
    <w:p w14:paraId="486FE37B" w14:textId="21AFF37F" w:rsidR="007C7A4A" w:rsidRPr="009E1058" w:rsidRDefault="007C7A4A" w:rsidP="007C7A4A">
      <w:pPr>
        <w:spacing w:after="0" w:line="360" w:lineRule="auto"/>
        <w:jc w:val="both"/>
        <w:rPr>
          <w:rFonts w:ascii="Times New Roman" w:hAnsi="Times New Roman" w:cs="Times New Roman"/>
          <w:b/>
          <w:bCs/>
          <w:sz w:val="24"/>
          <w:szCs w:val="24"/>
        </w:rPr>
      </w:pPr>
      <w:r w:rsidRPr="009E1058">
        <w:rPr>
          <w:rFonts w:ascii="Times New Roman" w:hAnsi="Times New Roman" w:cs="Times New Roman"/>
          <w:b/>
          <w:bCs/>
          <w:sz w:val="24"/>
          <w:szCs w:val="24"/>
        </w:rPr>
        <w:lastRenderedPageBreak/>
        <w:t>1 INTRODUÇÃO</w:t>
      </w:r>
    </w:p>
    <w:p w14:paraId="543788E8" w14:textId="77777777" w:rsidR="007C7A4A" w:rsidRPr="009E1058" w:rsidRDefault="007C7A4A" w:rsidP="007C7A4A">
      <w:pPr>
        <w:spacing w:after="0" w:line="360" w:lineRule="auto"/>
        <w:jc w:val="both"/>
        <w:rPr>
          <w:rFonts w:ascii="Times New Roman" w:hAnsi="Times New Roman" w:cs="Times New Roman"/>
          <w:sz w:val="24"/>
          <w:szCs w:val="24"/>
        </w:rPr>
      </w:pPr>
    </w:p>
    <w:p w14:paraId="0D61DA2B" w14:textId="0253E161" w:rsidR="00FB7C6E"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Este trabalho constitui relato de pesquisa</w:t>
      </w:r>
      <w:r w:rsidR="009B3D6F">
        <w:rPr>
          <w:rFonts w:ascii="Times New Roman" w:hAnsi="Times New Roman" w:cs="Times New Roman"/>
          <w:sz w:val="24"/>
          <w:szCs w:val="24"/>
        </w:rPr>
        <w:t xml:space="preserve"> em andamento</w:t>
      </w:r>
      <w:r w:rsidRPr="009E1058">
        <w:rPr>
          <w:rFonts w:ascii="Times New Roman" w:hAnsi="Times New Roman" w:cs="Times New Roman"/>
          <w:sz w:val="24"/>
          <w:szCs w:val="24"/>
        </w:rPr>
        <w:t xml:space="preserve"> desenvolvid</w:t>
      </w:r>
      <w:r w:rsidR="009B3D6F">
        <w:rPr>
          <w:rFonts w:ascii="Times New Roman" w:hAnsi="Times New Roman" w:cs="Times New Roman"/>
          <w:sz w:val="24"/>
          <w:szCs w:val="24"/>
        </w:rPr>
        <w:t>a</w:t>
      </w:r>
      <w:r w:rsidRPr="009E1058">
        <w:rPr>
          <w:rFonts w:ascii="Times New Roman" w:hAnsi="Times New Roman" w:cs="Times New Roman"/>
          <w:sz w:val="24"/>
          <w:szCs w:val="24"/>
        </w:rPr>
        <w:t xml:space="preserve"> no âmbito d</w:t>
      </w:r>
      <w:r w:rsidR="00FD4337">
        <w:rPr>
          <w:rFonts w:ascii="Times New Roman" w:hAnsi="Times New Roman" w:cs="Times New Roman"/>
          <w:sz w:val="24"/>
          <w:szCs w:val="24"/>
        </w:rPr>
        <w:t>e</w:t>
      </w:r>
      <w:r w:rsidRPr="009E1058">
        <w:rPr>
          <w:rFonts w:ascii="Times New Roman" w:hAnsi="Times New Roman" w:cs="Times New Roman"/>
          <w:sz w:val="24"/>
          <w:szCs w:val="24"/>
        </w:rPr>
        <w:t xml:space="preserve"> Programa de Pós-Graduação em Direito, vinculad</w:t>
      </w:r>
      <w:r w:rsidR="00D079DB">
        <w:rPr>
          <w:rFonts w:ascii="Times New Roman" w:hAnsi="Times New Roman" w:cs="Times New Roman"/>
          <w:sz w:val="24"/>
          <w:szCs w:val="24"/>
        </w:rPr>
        <w:t>a</w:t>
      </w:r>
      <w:r w:rsidRPr="009E1058">
        <w:rPr>
          <w:rFonts w:ascii="Times New Roman" w:hAnsi="Times New Roman" w:cs="Times New Roman"/>
          <w:sz w:val="24"/>
          <w:szCs w:val="24"/>
        </w:rPr>
        <w:t xml:space="preserve"> </w:t>
      </w:r>
      <w:r w:rsidR="0035422B">
        <w:rPr>
          <w:rFonts w:ascii="Times New Roman" w:hAnsi="Times New Roman" w:cs="Times New Roman"/>
          <w:sz w:val="24"/>
          <w:szCs w:val="24"/>
        </w:rPr>
        <w:t>a</w:t>
      </w:r>
      <w:r w:rsidRPr="009E1058">
        <w:rPr>
          <w:rFonts w:ascii="Times New Roman" w:hAnsi="Times New Roman" w:cs="Times New Roman"/>
          <w:sz w:val="24"/>
          <w:szCs w:val="24"/>
        </w:rPr>
        <w:t xml:space="preserve"> Grupo de Pesquisa</w:t>
      </w:r>
      <w:r w:rsidR="00FD4337">
        <w:rPr>
          <w:rFonts w:ascii="Times New Roman" w:hAnsi="Times New Roman" w:cs="Times New Roman"/>
          <w:sz w:val="24"/>
          <w:szCs w:val="24"/>
        </w:rPr>
        <w:t xml:space="preserve">, </w:t>
      </w:r>
      <w:r w:rsidRPr="009E1058">
        <w:rPr>
          <w:rFonts w:ascii="Times New Roman" w:hAnsi="Times New Roman" w:cs="Times New Roman"/>
          <w:sz w:val="24"/>
          <w:szCs w:val="24"/>
        </w:rPr>
        <w:t>certificado pelo CNPq. A investigação integra agenda acadêmica voltada ao estudo das relações entre Direito, instituições e políticas públicas no contexto amazônico e federativo brasileiro, com especial atenção às capacidades estatais e aos instrumentos de racionalização decisória.</w:t>
      </w:r>
    </w:p>
    <w:p w14:paraId="3AE1393E" w14:textId="2CAE4A0E" w:rsidR="009B3D6F" w:rsidRPr="009E1058" w:rsidRDefault="009B3D6F" w:rsidP="00FB7C6E">
      <w:pPr>
        <w:spacing w:after="0" w:line="360" w:lineRule="auto"/>
        <w:ind w:firstLine="708"/>
        <w:jc w:val="both"/>
        <w:rPr>
          <w:rFonts w:ascii="Times New Roman" w:hAnsi="Times New Roman" w:cs="Times New Roman"/>
          <w:sz w:val="24"/>
          <w:szCs w:val="24"/>
        </w:rPr>
      </w:pPr>
      <w:r w:rsidRPr="009B3D6F">
        <w:rPr>
          <w:rFonts w:ascii="Times New Roman" w:hAnsi="Times New Roman" w:cs="Times New Roman"/>
          <w:sz w:val="24"/>
          <w:szCs w:val="24"/>
        </w:rPr>
        <w:t>A consolidação de instrumentos procedimentais de governança regulatória constitui elemento central para a qualificação da decisão administrativa no Estado contemporâneo. No Brasil, a Análise de Impacto Regulatório (AIR) foi institucionalizada no plano federal como requisito prévio à edição de atos normativos de interesse geral. Contudo, permanece em aberto a questão sobre sua internalização como política transversal nos Executivos estaduais.</w:t>
      </w:r>
    </w:p>
    <w:p w14:paraId="31FD74BB" w14:textId="3ACF8F92"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Nas últimas duas décadas, a AIR consolidou-se como instrumento central de governança regulatória em diferentes sistemas jurídicos, especialmente nos Estados Unidos e na União Europeia. A difusão da prática está associada ao movimento internacional de melhoria regulatória, à incorporação de metodologias baseadas em evidências e à busca por decisões públicas mais transparentes, proporcionais e justificáveis (OECD, 2020).</w:t>
      </w:r>
    </w:p>
    <w:p w14:paraId="74765562" w14:textId="77777777"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Tradicionalmente vinculada à atuação de agências reguladoras independentes e à regulação econômica setorial, a AIR passou a ser compreendida, no plano internacional, como instrumento estruturante do processo decisório administrativo. Não se trata apenas de técnica econômica, mas de mecanismo de </w:t>
      </w:r>
      <w:proofErr w:type="spellStart"/>
      <w:r w:rsidRPr="009E1058">
        <w:rPr>
          <w:rFonts w:ascii="Times New Roman" w:hAnsi="Times New Roman" w:cs="Times New Roman"/>
          <w:i/>
          <w:iCs/>
          <w:sz w:val="24"/>
          <w:szCs w:val="24"/>
        </w:rPr>
        <w:t>accountability</w:t>
      </w:r>
      <w:proofErr w:type="spellEnd"/>
      <w:r w:rsidRPr="009E1058">
        <w:rPr>
          <w:rFonts w:ascii="Times New Roman" w:hAnsi="Times New Roman" w:cs="Times New Roman"/>
          <w:i/>
          <w:iCs/>
          <w:sz w:val="24"/>
          <w:szCs w:val="24"/>
        </w:rPr>
        <w:t xml:space="preserve"> </w:t>
      </w:r>
      <w:r w:rsidRPr="009E1058">
        <w:rPr>
          <w:rFonts w:ascii="Times New Roman" w:hAnsi="Times New Roman" w:cs="Times New Roman"/>
          <w:sz w:val="24"/>
          <w:szCs w:val="24"/>
        </w:rPr>
        <w:t>procedimental, voltado à qualificação da produção normativa estatal.</w:t>
      </w:r>
    </w:p>
    <w:p w14:paraId="49390938" w14:textId="29E259EB" w:rsidR="00FB7C6E"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No Brasil, a institucionalização formal da AIR no plano federal ocorreu com a edição do Decreto nº 10.411/2020, que regulamenta a AIR prevista na Lei nº 13.874/2019 e estabelece hipóteses de obrigatoriedade, conteúdo mínimo e lógica de proporcionalidade (Brasil, 2020</w:t>
      </w:r>
      <w:r w:rsidR="00D079DB">
        <w:rPr>
          <w:rFonts w:ascii="Times New Roman" w:hAnsi="Times New Roman" w:cs="Times New Roman"/>
          <w:sz w:val="24"/>
          <w:szCs w:val="24"/>
        </w:rPr>
        <w:t>; 2019</w:t>
      </w:r>
      <w:r w:rsidRPr="009E1058">
        <w:rPr>
          <w:rFonts w:ascii="Times New Roman" w:hAnsi="Times New Roman" w:cs="Times New Roman"/>
          <w:sz w:val="24"/>
          <w:szCs w:val="24"/>
        </w:rPr>
        <w:t>). O desenho normativo adotado no âmbito federal é transversal, aplicável a atos normativos de interesse geral do Poder Executivo e não restrito a agências reguladoras.</w:t>
      </w:r>
    </w:p>
    <w:p w14:paraId="3D88AF78" w14:textId="77777777"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Entretanto, a difusão do instrumento no contexto federativo permanece heterogênea. A simples existência de um marco normativo federal não garante sua consolidação como prática institucional estável nos estados. Em contextos federativos marcados por alternância política, assimetrias administrativas e capacidades estatais desiguais, instrumentos procedimentais podem ser esvaziados, formalizados de maneira meramente simbólica ou restringidos a setores específicos.</w:t>
      </w:r>
    </w:p>
    <w:p w14:paraId="65E0C867" w14:textId="77777777" w:rsidR="00FB7C6E"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lastRenderedPageBreak/>
        <w:t>Embora a incorporação inicial da AIR no plano subnacional tenha ocorrido predominantemente por meio de agências reguladoras estaduais, a consolidação do instrumento como política de Estado pressupõe sua incorporação transversal ao processo normativo do Executivo estadual. Isso significa alcançar secretarias, órgãos centrais de governo, casas civis e demais instâncias responsáveis pela formulação e edição de atos administrativos de impacto geral.</w:t>
      </w:r>
    </w:p>
    <w:p w14:paraId="728B8DB7" w14:textId="3096FF68" w:rsidR="009B3D6F" w:rsidRPr="009E1058" w:rsidRDefault="009B3D6F" w:rsidP="00FB7C6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sentido, a</w:t>
      </w:r>
      <w:r w:rsidRPr="009B3D6F">
        <w:rPr>
          <w:rFonts w:ascii="Times New Roman" w:hAnsi="Times New Roman" w:cs="Times New Roman"/>
          <w:sz w:val="24"/>
          <w:szCs w:val="24"/>
        </w:rPr>
        <w:t>pesar da consolidação normativa no âmbito da União, ainda são incipientes as análises sistemáticas sobre a difusão e institucionalização da AIR nos Executivos estaduais sob a perspectiva de políticas de Estado. A literatura tende a concentrar-se em agências reguladoras específicas ou no plano federal, deixando em aberto o exame comparado subnacional.</w:t>
      </w:r>
    </w:p>
    <w:p w14:paraId="0AB31166" w14:textId="59503810" w:rsidR="00AE5D4B"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É nesse ponto que se insere o problema de pesquisa que orienta este estudo: </w:t>
      </w:r>
      <w:r w:rsidR="00AE5D4B" w:rsidRPr="00AE5D4B">
        <w:rPr>
          <w:rFonts w:ascii="Times New Roman" w:hAnsi="Times New Roman" w:cs="Times New Roman"/>
          <w:sz w:val="24"/>
          <w:szCs w:val="24"/>
        </w:rPr>
        <w:t>Em que medida a A</w:t>
      </w:r>
      <w:r w:rsidR="00AE5D4B">
        <w:rPr>
          <w:rFonts w:ascii="Times New Roman" w:hAnsi="Times New Roman" w:cs="Times New Roman"/>
          <w:sz w:val="24"/>
          <w:szCs w:val="24"/>
        </w:rPr>
        <w:t>IR</w:t>
      </w:r>
      <w:r w:rsidR="00AE5D4B" w:rsidRPr="00AE5D4B">
        <w:rPr>
          <w:rFonts w:ascii="Times New Roman" w:hAnsi="Times New Roman" w:cs="Times New Roman"/>
          <w:sz w:val="24"/>
          <w:szCs w:val="24"/>
        </w:rPr>
        <w:t xml:space="preserve"> tem sido institucionalizada como requisito procedimental transversal nos Executivos estaduais brasileiros, configurando-se como política de Estado e não apenas como instrumento regulatório setorial ou formalização normativa inspirada no modelo federal?</w:t>
      </w:r>
    </w:p>
    <w:p w14:paraId="2B05F145" w14:textId="77777777" w:rsidR="00AE5D4B"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Parte-se da hipótese de que </w:t>
      </w:r>
      <w:r w:rsidR="00AE5D4B" w:rsidRPr="00AE5D4B">
        <w:rPr>
          <w:rFonts w:ascii="Times New Roman" w:hAnsi="Times New Roman" w:cs="Times New Roman"/>
          <w:sz w:val="24"/>
          <w:szCs w:val="24"/>
        </w:rPr>
        <w:t>a AIR somente se consolida como política de Estado quando institucionalizada como requisito procedimental transversal do Executivo estadual, com coordenação organizacional e rotinização administrativa, e que, na maioria dos estados brasileiros, sua incorporação permanece restrita a arranjos setoriais ou à formalização normativa inspirada no modelo federal.</w:t>
      </w:r>
    </w:p>
    <w:p w14:paraId="2A68CFCD" w14:textId="03C155D1"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relevância social desta pesquisa reside na centralidade que os atos normativos do Poder Executivo assumem na vida cotidiana da população. Regulamentações estaduais impactam políticas públicas de saúde, educação, infraestrutura, desenvolvimento econômico e proteção ambiental. A ausência de mecanismos estruturados de avaliação prévia pode gerar decisões pouco fundamentadas, assimetrias regulatórias e ineficiências administrativas.</w:t>
      </w:r>
    </w:p>
    <w:p w14:paraId="11F8C624" w14:textId="6F24FF57"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No contexto federativo brasileiro, especialmente em estados com capacidades administrativas desiguais, a institucionalização da AIR como política transversal do Executivo estadual pode contribuir para maior previsibilidade normativa, redução de arbitrariedades e fortalecimento da transparência decisória. Ao qualificar o processo de formulação normativa, a AIR amplia a legitimidade democrática da ação estatal e reforça a confiança social nas instituições públicas.</w:t>
      </w:r>
    </w:p>
    <w:p w14:paraId="0FD609D1" w14:textId="77777777"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Sob essa perspectiva, investigar a difusão da AIR nos Executivos estaduais não é apenas exercício técnico-regulatório, mas análise de instrumento potencialmente estruturante da qualidade das políticas públicas no país.</w:t>
      </w:r>
    </w:p>
    <w:p w14:paraId="2E9F869C" w14:textId="5DB97C40"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lastRenderedPageBreak/>
        <w:t>Do ponto de vista acadêmico, o estudo preenche lacuna relevante na literatura brasileira. Embora existam pesquisas sobre a implementação da AIR no plano federal (Seixas</w:t>
      </w:r>
      <w:r w:rsidR="00D079DB">
        <w:rPr>
          <w:rFonts w:ascii="Times New Roman" w:hAnsi="Times New Roman" w:cs="Times New Roman"/>
          <w:sz w:val="24"/>
          <w:szCs w:val="24"/>
        </w:rPr>
        <w:t xml:space="preserve"> e</w:t>
      </w:r>
      <w:r w:rsidRPr="009E1058">
        <w:rPr>
          <w:rFonts w:ascii="Times New Roman" w:hAnsi="Times New Roman" w:cs="Times New Roman"/>
          <w:sz w:val="24"/>
          <w:szCs w:val="24"/>
        </w:rPr>
        <w:t xml:space="preserve"> Saccaro J</w:t>
      </w:r>
      <w:r w:rsidR="00CC58E9" w:rsidRPr="009E1058">
        <w:rPr>
          <w:rFonts w:ascii="Times New Roman" w:hAnsi="Times New Roman" w:cs="Times New Roman"/>
          <w:sz w:val="24"/>
          <w:szCs w:val="24"/>
        </w:rPr>
        <w:t>únior</w:t>
      </w:r>
      <w:r w:rsidRPr="009E1058">
        <w:rPr>
          <w:rFonts w:ascii="Times New Roman" w:hAnsi="Times New Roman" w:cs="Times New Roman"/>
          <w:sz w:val="24"/>
          <w:szCs w:val="24"/>
        </w:rPr>
        <w:t>, 2024; Saab</w:t>
      </w:r>
      <w:r w:rsidR="00D079DB">
        <w:rPr>
          <w:rFonts w:ascii="Times New Roman" w:hAnsi="Times New Roman" w:cs="Times New Roman"/>
          <w:sz w:val="24"/>
          <w:szCs w:val="24"/>
        </w:rPr>
        <w:t xml:space="preserve"> e</w:t>
      </w:r>
      <w:r w:rsidRPr="009E1058">
        <w:rPr>
          <w:rFonts w:ascii="Times New Roman" w:hAnsi="Times New Roman" w:cs="Times New Roman"/>
          <w:sz w:val="24"/>
          <w:szCs w:val="24"/>
        </w:rPr>
        <w:t xml:space="preserve"> Silva, 202</w:t>
      </w:r>
      <w:r w:rsidR="00CC58E9" w:rsidRPr="009E1058">
        <w:rPr>
          <w:rFonts w:ascii="Times New Roman" w:hAnsi="Times New Roman" w:cs="Times New Roman"/>
          <w:sz w:val="24"/>
          <w:szCs w:val="24"/>
        </w:rPr>
        <w:t>2</w:t>
      </w:r>
      <w:r w:rsidRPr="009E1058">
        <w:rPr>
          <w:rFonts w:ascii="Times New Roman" w:hAnsi="Times New Roman" w:cs="Times New Roman"/>
          <w:sz w:val="24"/>
          <w:szCs w:val="24"/>
        </w:rPr>
        <w:t>), ainda são escassos os estudos que examinam sua institucionalização no âmbito subnacional sob a perspectiva da transversalidade no Executivo estadual.</w:t>
      </w:r>
    </w:p>
    <w:p w14:paraId="38FBED32" w14:textId="77777777"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maior parte das análises concentra-se em agências reguladoras ou em experiências setoriais específicas. Este trabalho desloca o foco para a AIR como arquitetura institucional do processo normativo estadual, dialogando com debates sobre capacidades estatais, governança regulatória e políticas de Estado.</w:t>
      </w:r>
    </w:p>
    <w:p w14:paraId="33C7632E" w14:textId="77777777" w:rsidR="00FB7C6E" w:rsidRPr="009E1058"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Além disso, a pesquisa contribui para o campo de Direito e Políticas Públicas ao examinar a AIR como mecanismo de racionalização decisória que transcende a dimensão econômica da regulação e se projeta como elemento estruturante da administração pública contemporânea.</w:t>
      </w:r>
    </w:p>
    <w:p w14:paraId="4938C7A8" w14:textId="5014ECC8" w:rsidR="00FB7C6E" w:rsidRPr="00FD03BF"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Assim, o objetivo geral da pesquisa é </w:t>
      </w:r>
      <w:r w:rsidR="00FD03BF">
        <w:rPr>
          <w:rFonts w:ascii="Times New Roman" w:hAnsi="Times New Roman" w:cs="Times New Roman"/>
          <w:sz w:val="24"/>
          <w:szCs w:val="24"/>
        </w:rPr>
        <w:t>a</w:t>
      </w:r>
      <w:r w:rsidR="00FD03BF" w:rsidRPr="00FD03BF">
        <w:rPr>
          <w:rFonts w:ascii="Times New Roman" w:hAnsi="Times New Roman" w:cs="Times New Roman"/>
          <w:sz w:val="24"/>
          <w:szCs w:val="24"/>
        </w:rPr>
        <w:t>nalisar em que medida a A</w:t>
      </w:r>
      <w:r w:rsidR="00FD03BF">
        <w:rPr>
          <w:rFonts w:ascii="Times New Roman" w:hAnsi="Times New Roman" w:cs="Times New Roman"/>
          <w:sz w:val="24"/>
          <w:szCs w:val="24"/>
        </w:rPr>
        <w:t xml:space="preserve">IR </w:t>
      </w:r>
      <w:r w:rsidR="00FD03BF" w:rsidRPr="00FD03BF">
        <w:rPr>
          <w:rFonts w:ascii="Times New Roman" w:hAnsi="Times New Roman" w:cs="Times New Roman"/>
          <w:sz w:val="24"/>
          <w:szCs w:val="24"/>
        </w:rPr>
        <w:t>tem sido institucionalizada como política transversal do Executivo estadual no Brasil federativo, avaliando seu grau de consolidação como política de Estado.</w:t>
      </w:r>
    </w:p>
    <w:p w14:paraId="3986DA7E" w14:textId="2830E20A" w:rsidR="00FD03BF" w:rsidRPr="00FD03BF" w:rsidRDefault="00FB7C6E" w:rsidP="00FD03BF">
      <w:pPr>
        <w:spacing w:after="0" w:line="360" w:lineRule="auto"/>
        <w:ind w:firstLine="708"/>
        <w:jc w:val="both"/>
        <w:rPr>
          <w:rFonts w:ascii="Times New Roman" w:hAnsi="Times New Roman" w:cs="Times New Roman"/>
          <w:sz w:val="24"/>
          <w:szCs w:val="24"/>
        </w:rPr>
      </w:pPr>
      <w:r w:rsidRPr="00FD03BF">
        <w:rPr>
          <w:rFonts w:ascii="Times New Roman" w:hAnsi="Times New Roman" w:cs="Times New Roman"/>
          <w:sz w:val="24"/>
          <w:szCs w:val="24"/>
        </w:rPr>
        <w:t xml:space="preserve">Os objetivos específicos são: </w:t>
      </w:r>
      <w:r w:rsidR="00FD03BF" w:rsidRPr="00FD03BF">
        <w:rPr>
          <w:rFonts w:ascii="Times New Roman" w:hAnsi="Times New Roman" w:cs="Times New Roman"/>
          <w:sz w:val="24"/>
          <w:szCs w:val="24"/>
        </w:rPr>
        <w:t xml:space="preserve">a) Examinar o marco normativo federal da AIR como parâmetro de transversalidade institucional; b) Identificar, nos Executivos estaduais, a existência de decretos gerais, previsões legais ou arranjos organizacionais relacionados à AIR; c) Mapear evidências documentais de institucionalização setorial da AIR em agências reguladoras estaduais e construir tipologia classificatória dos estados segundo padrões de institucionalização da AIR, distinguindo </w:t>
      </w:r>
      <w:proofErr w:type="spellStart"/>
      <w:r w:rsidR="00FD03BF" w:rsidRPr="00FD03BF">
        <w:rPr>
          <w:rFonts w:ascii="Times New Roman" w:hAnsi="Times New Roman" w:cs="Times New Roman"/>
          <w:sz w:val="24"/>
          <w:szCs w:val="24"/>
        </w:rPr>
        <w:t>transversalização</w:t>
      </w:r>
      <w:proofErr w:type="spellEnd"/>
      <w:r w:rsidR="00FD03BF" w:rsidRPr="00FD03BF">
        <w:rPr>
          <w:rFonts w:ascii="Times New Roman" w:hAnsi="Times New Roman" w:cs="Times New Roman"/>
          <w:sz w:val="24"/>
          <w:szCs w:val="24"/>
        </w:rPr>
        <w:t xml:space="preserve"> emergente, institucionalização setorial, formalização normativa replicada e ausência de normatização estruturada e; e) Analisar os resultados à luz da distinção entre políticas de governo e políticas de Estado no contexto do federalismo brasileiro.</w:t>
      </w:r>
    </w:p>
    <w:p w14:paraId="0B51B724" w14:textId="39B5CB96" w:rsidR="009B3D6F" w:rsidRDefault="00FB7C6E" w:rsidP="00FB7C6E">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Ao deslocar o foco da AIR como técnica regulatória setorial para a sua compreensão como política transversal do Executivo estadual</w:t>
      </w:r>
      <w:r w:rsidR="009B3D6F">
        <w:rPr>
          <w:rFonts w:ascii="Times New Roman" w:hAnsi="Times New Roman" w:cs="Times New Roman"/>
          <w:sz w:val="24"/>
          <w:szCs w:val="24"/>
        </w:rPr>
        <w:t xml:space="preserve">, ou seja, ao </w:t>
      </w:r>
      <w:r w:rsidR="009B3D6F" w:rsidRPr="009B3D6F">
        <w:rPr>
          <w:rFonts w:ascii="Times New Roman" w:hAnsi="Times New Roman" w:cs="Times New Roman"/>
          <w:sz w:val="24"/>
          <w:szCs w:val="24"/>
        </w:rPr>
        <w:t>examinar a AIR como infraestrutura decisória e não apenas como técnica regulatória, este estudo contribui para o debate sobre consolidação de políticas de Estado e sobre os limites da difusão institucional no federalismo brasileiro.</w:t>
      </w:r>
    </w:p>
    <w:p w14:paraId="53B1CAE2" w14:textId="3ACF5627" w:rsidR="00781037" w:rsidRPr="009E1058" w:rsidRDefault="00781037" w:rsidP="00FB7C6E">
      <w:pPr>
        <w:spacing w:after="0" w:line="360" w:lineRule="auto"/>
        <w:ind w:firstLine="708"/>
        <w:jc w:val="both"/>
        <w:rPr>
          <w:rFonts w:ascii="Times New Roman" w:hAnsi="Times New Roman" w:cs="Times New Roman"/>
          <w:sz w:val="24"/>
          <w:szCs w:val="24"/>
        </w:rPr>
      </w:pPr>
      <w:r w:rsidRPr="00781037">
        <w:rPr>
          <w:rFonts w:ascii="Times New Roman" w:hAnsi="Times New Roman" w:cs="Times New Roman"/>
          <w:sz w:val="24"/>
          <w:szCs w:val="24"/>
        </w:rPr>
        <w:t>A institucionalização da AIR é analisada neste estudo como indicador da capacidade de estabilização procedimental do Executivo estadual no federalismo brasileiro.</w:t>
      </w:r>
    </w:p>
    <w:p w14:paraId="6F65525C" w14:textId="6A506027" w:rsidR="007C7A4A" w:rsidRDefault="007C7A4A" w:rsidP="007C7A4A">
      <w:pPr>
        <w:spacing w:after="0" w:line="360" w:lineRule="auto"/>
        <w:jc w:val="both"/>
        <w:rPr>
          <w:rFonts w:ascii="Times New Roman" w:hAnsi="Times New Roman" w:cs="Times New Roman"/>
          <w:sz w:val="24"/>
          <w:szCs w:val="24"/>
        </w:rPr>
      </w:pPr>
    </w:p>
    <w:p w14:paraId="6075261F" w14:textId="77777777" w:rsidR="00083E2F" w:rsidRDefault="00083E2F" w:rsidP="007C7A4A">
      <w:pPr>
        <w:spacing w:after="0" w:line="360" w:lineRule="auto"/>
        <w:jc w:val="both"/>
        <w:rPr>
          <w:rFonts w:ascii="Times New Roman" w:hAnsi="Times New Roman" w:cs="Times New Roman"/>
          <w:sz w:val="24"/>
          <w:szCs w:val="24"/>
        </w:rPr>
      </w:pPr>
    </w:p>
    <w:p w14:paraId="1D15768E" w14:textId="729316CF" w:rsidR="007C7A4A" w:rsidRPr="009E1058" w:rsidRDefault="007C7A4A" w:rsidP="007C7A4A">
      <w:pPr>
        <w:spacing w:after="0" w:line="360" w:lineRule="auto"/>
        <w:jc w:val="both"/>
        <w:rPr>
          <w:rFonts w:ascii="Times New Roman" w:hAnsi="Times New Roman" w:cs="Times New Roman"/>
          <w:b/>
          <w:bCs/>
          <w:sz w:val="24"/>
          <w:szCs w:val="24"/>
        </w:rPr>
      </w:pPr>
      <w:r w:rsidRPr="009E1058">
        <w:rPr>
          <w:rFonts w:ascii="Times New Roman" w:hAnsi="Times New Roman" w:cs="Times New Roman"/>
          <w:b/>
          <w:bCs/>
          <w:sz w:val="24"/>
          <w:szCs w:val="24"/>
        </w:rPr>
        <w:lastRenderedPageBreak/>
        <w:t>2 MÉTODOS EMPREGADOS</w:t>
      </w:r>
    </w:p>
    <w:p w14:paraId="77FFEA44" w14:textId="77777777" w:rsidR="007C7A4A" w:rsidRPr="009E1058" w:rsidRDefault="007C7A4A" w:rsidP="007C7A4A">
      <w:pPr>
        <w:spacing w:after="0" w:line="360" w:lineRule="auto"/>
        <w:jc w:val="both"/>
        <w:rPr>
          <w:rFonts w:ascii="Times New Roman" w:hAnsi="Times New Roman" w:cs="Times New Roman"/>
          <w:b/>
          <w:bCs/>
          <w:sz w:val="24"/>
          <w:szCs w:val="24"/>
        </w:rPr>
      </w:pPr>
    </w:p>
    <w:p w14:paraId="4F3E4A86"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presente investigação pode ser classificada, segundo a tipologia proposta por Gil (2019), como pesquisa aplicada quanto à sua finalidade, uma vez que busca produzir conhecimento com potencial de aplicação institucional no aprimoramento da governança regulatória subnacional. Quanto aos objetivos, enquadra-se como pesquisa exploratória e descritiva, na medida em que busca examinar fenômeno ainda pouco sistematizado na literatura nacional, a institucionalização da AIR como política transversal do Executivo estadual, e descrever seus padrões de ocorrência no contexto federativo brasileiro.</w:t>
      </w:r>
    </w:p>
    <w:p w14:paraId="7DBCDDB7"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No que se refere aos procedimentos técnicos, trata-se de pesquisa documental, uma vez que se baseia na análise de documentos oficiais ainda não submetidos a tratamento analítico sistemático no campo acadêmico (Gil, 2019). A opção pela pesquisa documental mostra-se adequada ao objeto investigado, pois a institucionalização da AIR manifesta-se primordialmente por meio de atos normativos, decretos, leis e regulamentos administrativos.</w:t>
      </w:r>
    </w:p>
    <w:p w14:paraId="1ED57957"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análise concentrou-se no período posterior à edição do Decreto nº 10.411/2020, considerado marco normativo federal estruturante da transversalidade da AIR no âmbito do Executivo. Foram examinados documentos publicados até o ano de 2025.</w:t>
      </w:r>
    </w:p>
    <w:p w14:paraId="011BA9BD" w14:textId="682929B3"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O </w:t>
      </w:r>
      <w:r w:rsidRPr="00083E2F">
        <w:rPr>
          <w:rFonts w:ascii="Times New Roman" w:hAnsi="Times New Roman" w:cs="Times New Roman"/>
          <w:i/>
          <w:iCs/>
          <w:sz w:val="24"/>
          <w:szCs w:val="24"/>
        </w:rPr>
        <w:t xml:space="preserve">corpus </w:t>
      </w:r>
      <w:r w:rsidRPr="009E1058">
        <w:rPr>
          <w:rFonts w:ascii="Times New Roman" w:hAnsi="Times New Roman" w:cs="Times New Roman"/>
          <w:sz w:val="24"/>
          <w:szCs w:val="24"/>
        </w:rPr>
        <w:t xml:space="preserve">documental incluiu: Decreto nº 10.411/2020, leis estaduais que mencionam ou disciplinam AIR, decretos estaduais gerais eventualmente aplicáveis ao Executivo, normativos internos de agências reguladoras estaduais, relatórios públicos de AIR disponibilizados em portais </w:t>
      </w:r>
      <w:r w:rsidR="002F2E22">
        <w:rPr>
          <w:rFonts w:ascii="Times New Roman" w:hAnsi="Times New Roman" w:cs="Times New Roman"/>
          <w:sz w:val="24"/>
          <w:szCs w:val="24"/>
        </w:rPr>
        <w:t>institucionais</w:t>
      </w:r>
      <w:r w:rsidRPr="009E1058">
        <w:rPr>
          <w:rFonts w:ascii="Times New Roman" w:hAnsi="Times New Roman" w:cs="Times New Roman"/>
          <w:sz w:val="24"/>
          <w:szCs w:val="24"/>
        </w:rPr>
        <w:t>, documentos orientativos federais e relatórios e princípios internacionais (OECD,</w:t>
      </w:r>
      <w:r w:rsidR="00083E2F">
        <w:rPr>
          <w:rFonts w:ascii="Times New Roman" w:hAnsi="Times New Roman" w:cs="Times New Roman"/>
          <w:sz w:val="24"/>
          <w:szCs w:val="24"/>
        </w:rPr>
        <w:t xml:space="preserve"> 2020;</w:t>
      </w:r>
      <w:r w:rsidRPr="009E1058">
        <w:rPr>
          <w:rFonts w:ascii="Times New Roman" w:hAnsi="Times New Roman" w:cs="Times New Roman"/>
          <w:sz w:val="24"/>
          <w:szCs w:val="24"/>
        </w:rPr>
        <w:t xml:space="preserve"> World Bank</w:t>
      </w:r>
      <w:r w:rsidR="00083E2F">
        <w:rPr>
          <w:rFonts w:ascii="Times New Roman" w:hAnsi="Times New Roman" w:cs="Times New Roman"/>
          <w:sz w:val="24"/>
          <w:szCs w:val="24"/>
        </w:rPr>
        <w:t>, 2015</w:t>
      </w:r>
      <w:r w:rsidRPr="009E1058">
        <w:rPr>
          <w:rFonts w:ascii="Times New Roman" w:hAnsi="Times New Roman" w:cs="Times New Roman"/>
          <w:sz w:val="24"/>
          <w:szCs w:val="24"/>
        </w:rPr>
        <w:t>).</w:t>
      </w:r>
    </w:p>
    <w:p w14:paraId="1378CBD2" w14:textId="7238DAF3"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Foram considerados apenas documentos oficiais publicados em bases normativas formais ou portais</w:t>
      </w:r>
      <w:r w:rsidR="00B642AF">
        <w:rPr>
          <w:rFonts w:ascii="Times New Roman" w:hAnsi="Times New Roman" w:cs="Times New Roman"/>
          <w:sz w:val="24"/>
          <w:szCs w:val="24"/>
        </w:rPr>
        <w:t xml:space="preserve"> </w:t>
      </w:r>
      <w:r w:rsidRPr="009E1058">
        <w:rPr>
          <w:rFonts w:ascii="Times New Roman" w:hAnsi="Times New Roman" w:cs="Times New Roman"/>
          <w:sz w:val="24"/>
          <w:szCs w:val="24"/>
        </w:rPr>
        <w:t>institucionais.</w:t>
      </w:r>
    </w:p>
    <w:p w14:paraId="20404213"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Para o tratamento sistemático do material documental, adotou-se a técnica de Análise de Conteúdo proposta por Bardin (2016), especialmente em sua vertente categorial temática.</w:t>
      </w:r>
    </w:p>
    <w:p w14:paraId="0AC8617D"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escolha da Análise de Conteúdo justifica-se pela necessidade de identificar padrões, categorias institucionais e recorrências normativas nos documentos examinados, permitindo superar a mera descrição textual e alcançar inferências analíticas.</w:t>
      </w:r>
    </w:p>
    <w:p w14:paraId="5EAF5030"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O procedimento seguiu as três fases clássicas indicadas por Bardin (2016):</w:t>
      </w:r>
    </w:p>
    <w:p w14:paraId="7160A239"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a) </w:t>
      </w:r>
      <w:proofErr w:type="spellStart"/>
      <w:r w:rsidRPr="009E1058">
        <w:rPr>
          <w:rFonts w:ascii="Times New Roman" w:hAnsi="Times New Roman" w:cs="Times New Roman"/>
          <w:sz w:val="24"/>
          <w:szCs w:val="24"/>
        </w:rPr>
        <w:t>Pré-análise</w:t>
      </w:r>
      <w:proofErr w:type="spellEnd"/>
      <w:r w:rsidRPr="009E1058">
        <w:rPr>
          <w:rFonts w:ascii="Times New Roman" w:hAnsi="Times New Roman" w:cs="Times New Roman"/>
          <w:sz w:val="24"/>
          <w:szCs w:val="24"/>
        </w:rPr>
        <w:t>: Leitura flutuante dos documentos normativos e seleção dos textos relevantes à institucionalização da AIR nos Executivos estaduais;</w:t>
      </w:r>
    </w:p>
    <w:p w14:paraId="6C76548D"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lastRenderedPageBreak/>
        <w:t>b) Exploração do material: Codificação dos documentos com base em categorias previamente definidas (decreto geral aplicável ao Executivo, previsão legal transversal, coordenação central, aplicação setorial, ausência de normatização);</w:t>
      </w:r>
    </w:p>
    <w:p w14:paraId="161316BD"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c) Tratamento dos resultados e interpretação:</w:t>
      </w:r>
      <w:r w:rsidRPr="009E1058">
        <w:rPr>
          <w:rFonts w:ascii="Times New Roman" w:hAnsi="Times New Roman" w:cs="Times New Roman"/>
          <w:b/>
          <w:bCs/>
          <w:sz w:val="24"/>
          <w:szCs w:val="24"/>
        </w:rPr>
        <w:t xml:space="preserve"> </w:t>
      </w:r>
      <w:r w:rsidRPr="009E1058">
        <w:rPr>
          <w:rFonts w:ascii="Times New Roman" w:hAnsi="Times New Roman" w:cs="Times New Roman"/>
          <w:sz w:val="24"/>
          <w:szCs w:val="24"/>
        </w:rPr>
        <w:t>Agrupamento dos estados segundo níveis de institucionalização.</w:t>
      </w:r>
    </w:p>
    <w:p w14:paraId="370A8993"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categorização foi orientada por critérios analíticos definidos a priori, com base na literatura sobre políticas de Estado e governança regulatória, permitindo coerência entre fundamentação teórica e análise empírica.</w:t>
      </w:r>
    </w:p>
    <w:p w14:paraId="3F749166"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unidade de análise da pesquisa é o Executivo estadual enquanto estrutura organizacional e normativa. Não se analisa a qualidade técnica de relatórios individuais de AIR, mas a existência de institucionalização formal que permita sua aplicação transversal.</w:t>
      </w:r>
    </w:p>
    <w:p w14:paraId="31A3F5DB"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Dessa forma, distingue-se entre: AIR como política transversal do Executivo, AIR como prática setorial restrita a agências reguladoras e Ausência de institucionalização estruturada.</w:t>
      </w:r>
    </w:p>
    <w:p w14:paraId="65BC8234"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Essa delimitação é fundamental para preservar coerência com o problema de pesquisa e com a hipótese formulada. Com base nas categorias extraídas da Análise de Conteúdo, foi construída matriz analítica composta pelos seguintes critérios: a) Existência de decreto estadual geral aplicável ao conjunto do Executivo; b) Existência de previsão legal com alcance transversal; c) Existência de instância de coordenação central; d) Evidência de aplicação restrita a agências reguladoras; e) Ausência de normatização estruturada.</w:t>
      </w:r>
    </w:p>
    <w:p w14:paraId="72430DDA" w14:textId="77777777" w:rsidR="00431C6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Esses critérios permitiram classificar os estados segundo níveis de maturidade institucional transversal. </w:t>
      </w:r>
    </w:p>
    <w:p w14:paraId="7DA4564F" w14:textId="4C199D77" w:rsidR="00D079DB" w:rsidRPr="009E1058" w:rsidRDefault="00D079DB" w:rsidP="00431C68">
      <w:pPr>
        <w:spacing w:after="0" w:line="360" w:lineRule="auto"/>
        <w:ind w:firstLine="708"/>
        <w:jc w:val="both"/>
        <w:rPr>
          <w:rFonts w:ascii="Times New Roman" w:hAnsi="Times New Roman" w:cs="Times New Roman"/>
          <w:sz w:val="24"/>
          <w:szCs w:val="24"/>
        </w:rPr>
      </w:pPr>
      <w:r w:rsidRPr="00D079DB">
        <w:rPr>
          <w:rFonts w:ascii="Times New Roman" w:hAnsi="Times New Roman" w:cs="Times New Roman"/>
          <w:sz w:val="24"/>
          <w:szCs w:val="24"/>
        </w:rPr>
        <w:t xml:space="preserve">A construção da tipologia classificatória foi orientada pela hipótese de que a </w:t>
      </w:r>
      <w:proofErr w:type="spellStart"/>
      <w:r w:rsidRPr="00D079DB">
        <w:rPr>
          <w:rFonts w:ascii="Times New Roman" w:hAnsi="Times New Roman" w:cs="Times New Roman"/>
          <w:sz w:val="24"/>
          <w:szCs w:val="24"/>
        </w:rPr>
        <w:t>transversalização</w:t>
      </w:r>
      <w:proofErr w:type="spellEnd"/>
      <w:r w:rsidRPr="00D079DB">
        <w:rPr>
          <w:rFonts w:ascii="Times New Roman" w:hAnsi="Times New Roman" w:cs="Times New Roman"/>
          <w:sz w:val="24"/>
          <w:szCs w:val="24"/>
        </w:rPr>
        <w:t xml:space="preserve"> da AIR exige elementos organizacionais verificáveis para além da previsão normativa.</w:t>
      </w:r>
    </w:p>
    <w:p w14:paraId="3F2499C7" w14:textId="2BD67E66" w:rsidR="00C90E3E" w:rsidRPr="009E1058" w:rsidRDefault="00C90E3E"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A busca documental foi realizada de forma sistemática nos portais </w:t>
      </w:r>
      <w:r w:rsidR="002F2E22">
        <w:rPr>
          <w:rFonts w:ascii="Times New Roman" w:hAnsi="Times New Roman" w:cs="Times New Roman"/>
          <w:sz w:val="24"/>
          <w:szCs w:val="24"/>
        </w:rPr>
        <w:t>institucionais</w:t>
      </w:r>
      <w:r w:rsidRPr="009E1058">
        <w:rPr>
          <w:rFonts w:ascii="Times New Roman" w:hAnsi="Times New Roman" w:cs="Times New Roman"/>
          <w:sz w:val="24"/>
          <w:szCs w:val="24"/>
        </w:rPr>
        <w:t xml:space="preserve"> dos governos estaduais, incluindo diários oficiais eletrônicos, </w:t>
      </w:r>
      <w:r w:rsidR="00083E2F">
        <w:rPr>
          <w:rFonts w:ascii="Times New Roman" w:hAnsi="Times New Roman" w:cs="Times New Roman"/>
          <w:sz w:val="24"/>
          <w:szCs w:val="24"/>
        </w:rPr>
        <w:t xml:space="preserve">assembleias legislativas, </w:t>
      </w:r>
      <w:r w:rsidRPr="009E1058">
        <w:rPr>
          <w:rFonts w:ascii="Times New Roman" w:hAnsi="Times New Roman" w:cs="Times New Roman"/>
          <w:sz w:val="24"/>
          <w:szCs w:val="24"/>
        </w:rPr>
        <w:t>bases de legislação consolidada e páginas institucionais de secretarias de governo, casas civis e agências reguladoras. Foram utilizados descritores padronizados,</w:t>
      </w:r>
      <w:r w:rsidR="00083E2F">
        <w:rPr>
          <w:rFonts w:ascii="Times New Roman" w:hAnsi="Times New Roman" w:cs="Times New Roman"/>
          <w:sz w:val="24"/>
          <w:szCs w:val="24"/>
        </w:rPr>
        <w:t xml:space="preserve"> </w:t>
      </w:r>
      <w:r w:rsidRPr="009E1058">
        <w:rPr>
          <w:rFonts w:ascii="Times New Roman" w:hAnsi="Times New Roman" w:cs="Times New Roman"/>
          <w:sz w:val="24"/>
          <w:szCs w:val="24"/>
        </w:rPr>
        <w:t>como “Análise de Impacto Regulatório”, “AIR”</w:t>
      </w:r>
      <w:r w:rsidR="00083E2F">
        <w:rPr>
          <w:rFonts w:ascii="Times New Roman" w:hAnsi="Times New Roman" w:cs="Times New Roman"/>
          <w:sz w:val="24"/>
          <w:szCs w:val="24"/>
        </w:rPr>
        <w:t xml:space="preserve"> e </w:t>
      </w:r>
      <w:r w:rsidRPr="009E1058">
        <w:rPr>
          <w:rFonts w:ascii="Times New Roman" w:hAnsi="Times New Roman" w:cs="Times New Roman"/>
          <w:sz w:val="24"/>
          <w:szCs w:val="24"/>
        </w:rPr>
        <w:t xml:space="preserve">“Avaliação de Impacto Normativo”, no período compreendido entre 2020 e 2025. A ausência de norma identificada em determinado </w:t>
      </w:r>
      <w:r w:rsidR="00C974D3">
        <w:rPr>
          <w:rFonts w:ascii="Times New Roman" w:hAnsi="Times New Roman" w:cs="Times New Roman"/>
          <w:sz w:val="24"/>
          <w:szCs w:val="24"/>
        </w:rPr>
        <w:t>E</w:t>
      </w:r>
      <w:r w:rsidRPr="009E1058">
        <w:rPr>
          <w:rFonts w:ascii="Times New Roman" w:hAnsi="Times New Roman" w:cs="Times New Roman"/>
          <w:sz w:val="24"/>
          <w:szCs w:val="24"/>
        </w:rPr>
        <w:t>stado refere-se à inexistência de evidência documental pública nos repositórios oficiais consultados, dentro dos critérios temporais e terminológicos adotados.</w:t>
      </w:r>
    </w:p>
    <w:p w14:paraId="77772192" w14:textId="77777777" w:rsidR="00431C68" w:rsidRPr="009E1058" w:rsidRDefault="00431C6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A pesquisa apresenta limitações inerentes à abordagem documental. A análise não permite aferir grau efetivo de implementação prática para além do que está formalmente </w:t>
      </w:r>
      <w:r w:rsidRPr="009E1058">
        <w:rPr>
          <w:rFonts w:ascii="Times New Roman" w:hAnsi="Times New Roman" w:cs="Times New Roman"/>
          <w:sz w:val="24"/>
          <w:szCs w:val="24"/>
        </w:rPr>
        <w:lastRenderedPageBreak/>
        <w:t xml:space="preserve">registrado. A ausência de norma identificada não implica inexistência absoluta de práticas informais, mas indica ausência de institucionalização formal observável. </w:t>
      </w:r>
    </w:p>
    <w:p w14:paraId="46348259" w14:textId="5ACEF239" w:rsidR="001D1858" w:rsidRPr="009E1058" w:rsidRDefault="001D1858" w:rsidP="00431C68">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Ressalta-se que a classificação decorre exclusivamente de evidências documentais publicamente disponíveis, não contemplando práticas informais ou atos não divulgados nos portais </w:t>
      </w:r>
      <w:r w:rsidR="00B642AF">
        <w:rPr>
          <w:rFonts w:ascii="Times New Roman" w:hAnsi="Times New Roman" w:cs="Times New Roman"/>
          <w:sz w:val="24"/>
          <w:szCs w:val="24"/>
        </w:rPr>
        <w:t>institucionais</w:t>
      </w:r>
      <w:r w:rsidRPr="009E1058">
        <w:rPr>
          <w:rFonts w:ascii="Times New Roman" w:hAnsi="Times New Roman" w:cs="Times New Roman"/>
          <w:sz w:val="24"/>
          <w:szCs w:val="24"/>
        </w:rPr>
        <w:t>.</w:t>
      </w:r>
    </w:p>
    <w:p w14:paraId="411B73BA" w14:textId="33D41A52" w:rsidR="00F730B9" w:rsidRDefault="00431C68" w:rsidP="00FA20E5">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Ainda assim, para fins de análise de políticas de Estado, a formalização institucional constitui elemento essencial, pois políticas de Estado exigem respaldo normativo e organizacional verificável.</w:t>
      </w:r>
    </w:p>
    <w:p w14:paraId="04744529" w14:textId="75CA65AE" w:rsidR="00032876" w:rsidRPr="009E1058" w:rsidRDefault="00032876" w:rsidP="00FA20E5">
      <w:pPr>
        <w:spacing w:after="0" w:line="360" w:lineRule="auto"/>
        <w:ind w:firstLine="708"/>
        <w:jc w:val="both"/>
        <w:rPr>
          <w:rFonts w:ascii="Times New Roman" w:hAnsi="Times New Roman" w:cs="Times New Roman"/>
          <w:sz w:val="24"/>
          <w:szCs w:val="24"/>
        </w:rPr>
      </w:pPr>
      <w:r w:rsidRPr="00032876">
        <w:rPr>
          <w:rFonts w:ascii="Times New Roman" w:hAnsi="Times New Roman" w:cs="Times New Roman"/>
          <w:sz w:val="24"/>
          <w:szCs w:val="24"/>
        </w:rPr>
        <w:t xml:space="preserve">Cumpre registrar </w:t>
      </w:r>
      <w:r>
        <w:rPr>
          <w:rFonts w:ascii="Times New Roman" w:hAnsi="Times New Roman" w:cs="Times New Roman"/>
          <w:sz w:val="24"/>
          <w:szCs w:val="24"/>
        </w:rPr>
        <w:t xml:space="preserve">também </w:t>
      </w:r>
      <w:r w:rsidRPr="00032876">
        <w:rPr>
          <w:rFonts w:ascii="Times New Roman" w:hAnsi="Times New Roman" w:cs="Times New Roman"/>
          <w:sz w:val="24"/>
          <w:szCs w:val="24"/>
        </w:rPr>
        <w:t xml:space="preserve">que a presente pesquisa </w:t>
      </w:r>
      <w:r>
        <w:rPr>
          <w:rFonts w:ascii="Times New Roman" w:hAnsi="Times New Roman" w:cs="Times New Roman"/>
          <w:sz w:val="24"/>
          <w:szCs w:val="24"/>
        </w:rPr>
        <w:t xml:space="preserve">se </w:t>
      </w:r>
      <w:r w:rsidRPr="00032876">
        <w:rPr>
          <w:rFonts w:ascii="Times New Roman" w:hAnsi="Times New Roman" w:cs="Times New Roman"/>
          <w:sz w:val="24"/>
          <w:szCs w:val="24"/>
        </w:rPr>
        <w:t>encontra</w:t>
      </w:r>
      <w:r>
        <w:rPr>
          <w:rFonts w:ascii="Times New Roman" w:hAnsi="Times New Roman" w:cs="Times New Roman"/>
          <w:sz w:val="24"/>
          <w:szCs w:val="24"/>
        </w:rPr>
        <w:t xml:space="preserve"> </w:t>
      </w:r>
      <w:r w:rsidRPr="00032876">
        <w:rPr>
          <w:rFonts w:ascii="Times New Roman" w:hAnsi="Times New Roman" w:cs="Times New Roman"/>
          <w:sz w:val="24"/>
          <w:szCs w:val="24"/>
        </w:rPr>
        <w:t>em desenvolvimento. Paralelamente à análise documental realizada com base em repositórios oficiais públicos, foram protocolados pedidos de acesso à informação junto a órgãos do Executivo estadual com o objetivo de verificar a existência de normativos internos, manuais técnicos ou práticas administrativas não publicizadas nos portais institucionais. As respostas a tais solicitações poderão complementar ou refinar a classificação apresentada, funcionando como etapa de contraprova empírica da análise documental ora sistematizada.</w:t>
      </w:r>
    </w:p>
    <w:p w14:paraId="32791D56" w14:textId="77777777" w:rsidR="00F730B9" w:rsidRPr="009E1058" w:rsidRDefault="00F730B9" w:rsidP="007C7A4A">
      <w:pPr>
        <w:spacing w:after="0" w:line="360" w:lineRule="auto"/>
        <w:jc w:val="both"/>
        <w:rPr>
          <w:rFonts w:ascii="Times New Roman" w:hAnsi="Times New Roman" w:cs="Times New Roman"/>
          <w:sz w:val="24"/>
          <w:szCs w:val="24"/>
        </w:rPr>
      </w:pPr>
    </w:p>
    <w:p w14:paraId="401980A9" w14:textId="2DF374BC" w:rsidR="007C7A4A" w:rsidRPr="009E1058" w:rsidRDefault="007C7A4A" w:rsidP="007C7A4A">
      <w:pPr>
        <w:spacing w:after="0" w:line="360" w:lineRule="auto"/>
        <w:jc w:val="both"/>
        <w:rPr>
          <w:rFonts w:ascii="Times New Roman" w:hAnsi="Times New Roman" w:cs="Times New Roman"/>
          <w:b/>
          <w:bCs/>
          <w:sz w:val="24"/>
          <w:szCs w:val="24"/>
        </w:rPr>
      </w:pPr>
      <w:r w:rsidRPr="009E1058">
        <w:rPr>
          <w:rFonts w:ascii="Times New Roman" w:hAnsi="Times New Roman" w:cs="Times New Roman"/>
          <w:b/>
          <w:bCs/>
          <w:sz w:val="24"/>
          <w:szCs w:val="24"/>
        </w:rPr>
        <w:t>3 FUNDAMENTAÇÃO TEÓRICA</w:t>
      </w:r>
    </w:p>
    <w:p w14:paraId="2A6E02AC" w14:textId="77777777" w:rsidR="004A736D" w:rsidRPr="009E1058" w:rsidRDefault="004A736D" w:rsidP="007C7A4A">
      <w:pPr>
        <w:spacing w:after="0" w:line="360" w:lineRule="auto"/>
        <w:jc w:val="both"/>
        <w:rPr>
          <w:rFonts w:ascii="Times New Roman" w:hAnsi="Times New Roman" w:cs="Times New Roman"/>
          <w:b/>
          <w:bCs/>
          <w:sz w:val="24"/>
          <w:szCs w:val="24"/>
        </w:rPr>
      </w:pPr>
    </w:p>
    <w:p w14:paraId="09BE91F4" w14:textId="77777777" w:rsidR="004A736D" w:rsidRPr="009E1058" w:rsidRDefault="004A736D" w:rsidP="004A736D">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A análise da AIR como política transversal do Executivo estadual exige abordagem teórica que articule três dimensões complementares: a governança regulatória, a teoria das políticas de Estado e o debate sobre federalismo e capacidades institucionais. Essas dimensões permitem deslocar a AIR de sua compreensão estritamente técnica, associada à avaliação econômica da regulação, para situá-la como instrumento procedimental estruturante da racionalidade administrativa. </w:t>
      </w:r>
    </w:p>
    <w:p w14:paraId="39C6734F" w14:textId="78F27D51" w:rsidR="004A736D" w:rsidRPr="009E1058" w:rsidRDefault="004A736D" w:rsidP="004A736D">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Assim, esta seção organiza o referencial teórico em três eixos: primeiro, examina-se a AIR no contexto da governança regulatória contemporânea; em seguida, discute-se a distinção entre políticas de governo e políticas de Estado, enfatizando a noção de infraestrutura decisória; por fim, analisa-se a difusão institucional da AIR no federalismo brasileiro, considerando desigualdades de capacidade subnacional. Essa arquitetura conceitual orienta a leitura dos resultados empíricos apresentados nas seções seguintes.</w:t>
      </w:r>
    </w:p>
    <w:p w14:paraId="6AD5A756" w14:textId="77777777" w:rsidR="007C7A4A" w:rsidRDefault="007C7A4A" w:rsidP="007C7A4A">
      <w:pPr>
        <w:spacing w:after="0" w:line="360" w:lineRule="auto"/>
        <w:jc w:val="both"/>
        <w:rPr>
          <w:rFonts w:ascii="Times New Roman" w:hAnsi="Times New Roman" w:cs="Times New Roman"/>
          <w:b/>
          <w:bCs/>
          <w:sz w:val="24"/>
          <w:szCs w:val="24"/>
        </w:rPr>
      </w:pPr>
    </w:p>
    <w:p w14:paraId="20CBFA56" w14:textId="77777777" w:rsidR="00C974D3" w:rsidRDefault="00C974D3" w:rsidP="007C7A4A">
      <w:pPr>
        <w:spacing w:after="0" w:line="360" w:lineRule="auto"/>
        <w:jc w:val="both"/>
        <w:rPr>
          <w:rFonts w:ascii="Times New Roman" w:hAnsi="Times New Roman" w:cs="Times New Roman"/>
          <w:b/>
          <w:bCs/>
          <w:sz w:val="24"/>
          <w:szCs w:val="24"/>
        </w:rPr>
      </w:pPr>
    </w:p>
    <w:p w14:paraId="2150DFE6" w14:textId="77777777" w:rsidR="00C974D3" w:rsidRDefault="00C974D3" w:rsidP="007C7A4A">
      <w:pPr>
        <w:spacing w:after="0" w:line="360" w:lineRule="auto"/>
        <w:jc w:val="both"/>
        <w:rPr>
          <w:rFonts w:ascii="Times New Roman" w:hAnsi="Times New Roman" w:cs="Times New Roman"/>
          <w:b/>
          <w:bCs/>
          <w:sz w:val="24"/>
          <w:szCs w:val="24"/>
        </w:rPr>
      </w:pPr>
    </w:p>
    <w:p w14:paraId="3F0A1D26" w14:textId="77777777" w:rsidR="00C974D3" w:rsidRPr="009E1058" w:rsidRDefault="00C974D3" w:rsidP="007C7A4A">
      <w:pPr>
        <w:spacing w:after="0" w:line="360" w:lineRule="auto"/>
        <w:jc w:val="both"/>
        <w:rPr>
          <w:rFonts w:ascii="Times New Roman" w:hAnsi="Times New Roman" w:cs="Times New Roman"/>
          <w:b/>
          <w:bCs/>
          <w:sz w:val="24"/>
          <w:szCs w:val="24"/>
        </w:rPr>
      </w:pPr>
    </w:p>
    <w:p w14:paraId="2D69A5E4" w14:textId="19675092" w:rsidR="007C7A4A" w:rsidRPr="009E1058" w:rsidRDefault="007C7A4A" w:rsidP="007C7A4A">
      <w:pPr>
        <w:spacing w:after="0" w:line="360" w:lineRule="auto"/>
        <w:jc w:val="both"/>
        <w:rPr>
          <w:rFonts w:ascii="Times New Roman" w:hAnsi="Times New Roman" w:cs="Times New Roman"/>
          <w:b/>
          <w:bCs/>
          <w:sz w:val="24"/>
          <w:szCs w:val="24"/>
        </w:rPr>
      </w:pPr>
      <w:r w:rsidRPr="009E1058">
        <w:rPr>
          <w:rFonts w:ascii="Times New Roman" w:hAnsi="Times New Roman" w:cs="Times New Roman"/>
          <w:b/>
          <w:bCs/>
          <w:sz w:val="24"/>
          <w:szCs w:val="24"/>
        </w:rPr>
        <w:lastRenderedPageBreak/>
        <w:t>3.1 A</w:t>
      </w:r>
      <w:r w:rsidR="00F730B9" w:rsidRPr="009E1058">
        <w:rPr>
          <w:rFonts w:ascii="Times New Roman" w:hAnsi="Times New Roman" w:cs="Times New Roman"/>
          <w:b/>
          <w:bCs/>
          <w:sz w:val="24"/>
          <w:szCs w:val="24"/>
        </w:rPr>
        <w:t xml:space="preserve">nálise de </w:t>
      </w:r>
      <w:r w:rsidRPr="009E1058">
        <w:rPr>
          <w:rFonts w:ascii="Times New Roman" w:hAnsi="Times New Roman" w:cs="Times New Roman"/>
          <w:b/>
          <w:bCs/>
          <w:sz w:val="24"/>
          <w:szCs w:val="24"/>
        </w:rPr>
        <w:t>I</w:t>
      </w:r>
      <w:r w:rsidR="00F730B9" w:rsidRPr="009E1058">
        <w:rPr>
          <w:rFonts w:ascii="Times New Roman" w:hAnsi="Times New Roman" w:cs="Times New Roman"/>
          <w:b/>
          <w:bCs/>
          <w:sz w:val="24"/>
          <w:szCs w:val="24"/>
        </w:rPr>
        <w:t xml:space="preserve">mpacto </w:t>
      </w:r>
      <w:r w:rsidRPr="009E1058">
        <w:rPr>
          <w:rFonts w:ascii="Times New Roman" w:hAnsi="Times New Roman" w:cs="Times New Roman"/>
          <w:b/>
          <w:bCs/>
          <w:sz w:val="24"/>
          <w:szCs w:val="24"/>
        </w:rPr>
        <w:t>R</w:t>
      </w:r>
      <w:r w:rsidR="00F730B9" w:rsidRPr="009E1058">
        <w:rPr>
          <w:rFonts w:ascii="Times New Roman" w:hAnsi="Times New Roman" w:cs="Times New Roman"/>
          <w:b/>
          <w:bCs/>
          <w:sz w:val="24"/>
          <w:szCs w:val="24"/>
        </w:rPr>
        <w:t>egulatório (AIR)</w:t>
      </w:r>
      <w:r w:rsidRPr="009E1058">
        <w:rPr>
          <w:rFonts w:ascii="Times New Roman" w:hAnsi="Times New Roman" w:cs="Times New Roman"/>
          <w:b/>
          <w:bCs/>
          <w:sz w:val="24"/>
          <w:szCs w:val="24"/>
        </w:rPr>
        <w:t xml:space="preserve"> e </w:t>
      </w:r>
      <w:r w:rsidR="00F730B9" w:rsidRPr="009E1058">
        <w:rPr>
          <w:rFonts w:ascii="Times New Roman" w:hAnsi="Times New Roman" w:cs="Times New Roman"/>
          <w:b/>
          <w:bCs/>
          <w:sz w:val="24"/>
          <w:szCs w:val="24"/>
        </w:rPr>
        <w:t>G</w:t>
      </w:r>
      <w:r w:rsidRPr="009E1058">
        <w:rPr>
          <w:rFonts w:ascii="Times New Roman" w:hAnsi="Times New Roman" w:cs="Times New Roman"/>
          <w:b/>
          <w:bCs/>
          <w:sz w:val="24"/>
          <w:szCs w:val="24"/>
        </w:rPr>
        <w:t xml:space="preserve">overnança </w:t>
      </w:r>
      <w:r w:rsidR="00F730B9" w:rsidRPr="009E1058">
        <w:rPr>
          <w:rFonts w:ascii="Times New Roman" w:hAnsi="Times New Roman" w:cs="Times New Roman"/>
          <w:b/>
          <w:bCs/>
          <w:sz w:val="24"/>
          <w:szCs w:val="24"/>
        </w:rPr>
        <w:t>R</w:t>
      </w:r>
      <w:r w:rsidRPr="009E1058">
        <w:rPr>
          <w:rFonts w:ascii="Times New Roman" w:hAnsi="Times New Roman" w:cs="Times New Roman"/>
          <w:b/>
          <w:bCs/>
          <w:sz w:val="24"/>
          <w:szCs w:val="24"/>
        </w:rPr>
        <w:t>egulatória</w:t>
      </w:r>
    </w:p>
    <w:p w14:paraId="5F238836" w14:textId="77777777" w:rsidR="00431C68" w:rsidRPr="009E1058" w:rsidRDefault="00431C68" w:rsidP="007C7A4A">
      <w:pPr>
        <w:spacing w:after="0" w:line="360" w:lineRule="auto"/>
        <w:jc w:val="both"/>
        <w:rPr>
          <w:rFonts w:ascii="Times New Roman" w:hAnsi="Times New Roman" w:cs="Times New Roman"/>
          <w:b/>
          <w:bCs/>
          <w:sz w:val="24"/>
          <w:szCs w:val="24"/>
        </w:rPr>
      </w:pPr>
    </w:p>
    <w:p w14:paraId="7AE7632E" w14:textId="4B199B6E"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t>A literatura internacional sobre governança regulatória reconhece a AIR como instrumento estruturante da melhoria regulatória (</w:t>
      </w:r>
      <w:proofErr w:type="spellStart"/>
      <w:r w:rsidRPr="009E1058">
        <w:rPr>
          <w:rFonts w:ascii="Times New Roman" w:hAnsi="Times New Roman" w:cs="Times New Roman"/>
          <w:i/>
          <w:iCs/>
          <w:sz w:val="24"/>
          <w:szCs w:val="24"/>
        </w:rPr>
        <w:t>regulatory</w:t>
      </w:r>
      <w:proofErr w:type="spellEnd"/>
      <w:r w:rsidRPr="009E1058">
        <w:rPr>
          <w:rFonts w:ascii="Times New Roman" w:hAnsi="Times New Roman" w:cs="Times New Roman"/>
          <w:i/>
          <w:iCs/>
          <w:sz w:val="24"/>
          <w:szCs w:val="24"/>
        </w:rPr>
        <w:t xml:space="preserve"> </w:t>
      </w:r>
      <w:proofErr w:type="spellStart"/>
      <w:r w:rsidRPr="009E1058">
        <w:rPr>
          <w:rFonts w:ascii="Times New Roman" w:hAnsi="Times New Roman" w:cs="Times New Roman"/>
          <w:i/>
          <w:iCs/>
          <w:sz w:val="24"/>
          <w:szCs w:val="24"/>
        </w:rPr>
        <w:t>quality</w:t>
      </w:r>
      <w:proofErr w:type="spellEnd"/>
      <w:r w:rsidRPr="009E1058">
        <w:rPr>
          <w:rFonts w:ascii="Times New Roman" w:hAnsi="Times New Roman" w:cs="Times New Roman"/>
          <w:sz w:val="24"/>
          <w:szCs w:val="24"/>
        </w:rPr>
        <w:t xml:space="preserve">), destinado a qualificar o processo decisório estatal por meio da identificação sistemática de problemas, análise de alternativas e avaliação de impactos esperados (OECD, 2020). Embora frequentemente associada à análise econômica da regulação, a AIR não se restringe a cálculos de custo-benefício. Trata-se, sobretudo, de mecanismo de </w:t>
      </w:r>
      <w:proofErr w:type="spellStart"/>
      <w:r w:rsidRPr="009E1058">
        <w:rPr>
          <w:rFonts w:ascii="Times New Roman" w:hAnsi="Times New Roman" w:cs="Times New Roman"/>
          <w:i/>
          <w:iCs/>
          <w:sz w:val="24"/>
          <w:szCs w:val="24"/>
        </w:rPr>
        <w:t>accountability</w:t>
      </w:r>
      <w:proofErr w:type="spellEnd"/>
      <w:r w:rsidRPr="009E1058">
        <w:rPr>
          <w:rFonts w:ascii="Times New Roman" w:hAnsi="Times New Roman" w:cs="Times New Roman"/>
          <w:sz w:val="24"/>
          <w:szCs w:val="24"/>
        </w:rPr>
        <w:t xml:space="preserve"> procedimental, que exige explicitação das razões da decisão pública e torna verificável o percurso argumentativo que fundamenta a edição normativa.</w:t>
      </w:r>
    </w:p>
    <w:p w14:paraId="7C22C3E0" w14:textId="77777777"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t>Nesse sentido, a AIR opera como tecnologia institucional de racionalização administrativa. Ao impor etapas formais de definição do problema regulatório, comparação de alternativas e justificativa da escolha final, o instrumento contribui para reduzir decisões arbitrárias, ampliar a transparência e fortalecer a legitimidade democrática da regulação (OECD, 2020). A centralidade da AIR na agenda internacional decorre justamente de sua capacidade de estruturar o processo decisório, e não apenas de produzir estimativas quantitativas.</w:t>
      </w:r>
    </w:p>
    <w:p w14:paraId="38F9BCAA" w14:textId="42C43E64"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t>Entretanto, a literatura acadêmica é consistente ao afirmar que a mera previsão normativa da AIR não assegura sua efetividade. Saab e Silva (202</w:t>
      </w:r>
      <w:r w:rsidR="00CC58E9" w:rsidRPr="009E1058">
        <w:rPr>
          <w:rFonts w:ascii="Times New Roman" w:hAnsi="Times New Roman" w:cs="Times New Roman"/>
          <w:sz w:val="24"/>
          <w:szCs w:val="24"/>
        </w:rPr>
        <w:t>2</w:t>
      </w:r>
      <w:r w:rsidRPr="009E1058">
        <w:rPr>
          <w:rFonts w:ascii="Times New Roman" w:hAnsi="Times New Roman" w:cs="Times New Roman"/>
          <w:sz w:val="24"/>
          <w:szCs w:val="24"/>
        </w:rPr>
        <w:t xml:space="preserve">), ao avaliarem a qualidade das </w:t>
      </w:r>
      <w:proofErr w:type="spellStart"/>
      <w:r w:rsidRPr="009E1058">
        <w:rPr>
          <w:rFonts w:ascii="Times New Roman" w:hAnsi="Times New Roman" w:cs="Times New Roman"/>
          <w:sz w:val="24"/>
          <w:szCs w:val="24"/>
        </w:rPr>
        <w:t>AIRs</w:t>
      </w:r>
      <w:proofErr w:type="spellEnd"/>
      <w:r w:rsidRPr="009E1058">
        <w:rPr>
          <w:rFonts w:ascii="Times New Roman" w:hAnsi="Times New Roman" w:cs="Times New Roman"/>
          <w:sz w:val="24"/>
          <w:szCs w:val="24"/>
        </w:rPr>
        <w:t xml:space="preserve"> produzidas no Brasil, demonstram que a existência de requisito formal não garante sua incorporação como prática decisória substantiva. A execução prática das análises pode variar significativamente em termos de confiabilidade metodológica, consistência argumentativa, uso de dados empíricos e clareza na identificação de alternativas regulatórias.</w:t>
      </w:r>
    </w:p>
    <w:p w14:paraId="5A4CE2DE" w14:textId="6F190EEA"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t>Estudos internacionais sobre avaliação de qualidade de RIA (</w:t>
      </w:r>
      <w:proofErr w:type="spellStart"/>
      <w:r w:rsidRPr="009E1058">
        <w:rPr>
          <w:rFonts w:ascii="Times New Roman" w:hAnsi="Times New Roman" w:cs="Times New Roman"/>
          <w:i/>
          <w:iCs/>
          <w:sz w:val="24"/>
          <w:szCs w:val="24"/>
        </w:rPr>
        <w:t>Regulatory</w:t>
      </w:r>
      <w:proofErr w:type="spellEnd"/>
      <w:r w:rsidRPr="009E1058">
        <w:rPr>
          <w:rFonts w:ascii="Times New Roman" w:hAnsi="Times New Roman" w:cs="Times New Roman"/>
          <w:i/>
          <w:iCs/>
          <w:sz w:val="24"/>
          <w:szCs w:val="24"/>
        </w:rPr>
        <w:t xml:space="preserve"> </w:t>
      </w:r>
      <w:proofErr w:type="spellStart"/>
      <w:r w:rsidRPr="009E1058">
        <w:rPr>
          <w:rFonts w:ascii="Times New Roman" w:hAnsi="Times New Roman" w:cs="Times New Roman"/>
          <w:i/>
          <w:iCs/>
          <w:sz w:val="24"/>
          <w:szCs w:val="24"/>
        </w:rPr>
        <w:t>Impact</w:t>
      </w:r>
      <w:proofErr w:type="spellEnd"/>
      <w:r w:rsidRPr="009E1058">
        <w:rPr>
          <w:rFonts w:ascii="Times New Roman" w:hAnsi="Times New Roman" w:cs="Times New Roman"/>
          <w:i/>
          <w:iCs/>
          <w:sz w:val="24"/>
          <w:szCs w:val="24"/>
        </w:rPr>
        <w:t xml:space="preserve"> </w:t>
      </w:r>
      <w:proofErr w:type="spellStart"/>
      <w:r w:rsidRPr="009E1058">
        <w:rPr>
          <w:rFonts w:ascii="Times New Roman" w:hAnsi="Times New Roman" w:cs="Times New Roman"/>
          <w:i/>
          <w:iCs/>
          <w:sz w:val="24"/>
          <w:szCs w:val="24"/>
        </w:rPr>
        <w:t>Analysis</w:t>
      </w:r>
      <w:proofErr w:type="spellEnd"/>
      <w:r w:rsidRPr="009E1058">
        <w:rPr>
          <w:rFonts w:ascii="Times New Roman" w:hAnsi="Times New Roman" w:cs="Times New Roman"/>
          <w:sz w:val="24"/>
          <w:szCs w:val="24"/>
        </w:rPr>
        <w:t xml:space="preserve">) alertam que fatores institucionais e políticos influenciam diretamente o grau de robustez analítica das avaliações. Aspectos como uso apropriado de métodos de mensuração de impacto, precisão analítica, transparência das premissas e integração com processos decisórios mais amplos são determinantes para que a AIR deixe de ser um requisito formal e se converta em instrumento efetivo de tomada de </w:t>
      </w:r>
      <w:r w:rsidRPr="00027347">
        <w:rPr>
          <w:rFonts w:ascii="Times New Roman" w:hAnsi="Times New Roman" w:cs="Times New Roman"/>
          <w:sz w:val="24"/>
          <w:szCs w:val="24"/>
        </w:rPr>
        <w:t>decisão (</w:t>
      </w:r>
      <w:r w:rsidR="006909C6" w:rsidRPr="00027347">
        <w:rPr>
          <w:rFonts w:ascii="Times New Roman" w:hAnsi="Times New Roman" w:cs="Times New Roman"/>
          <w:sz w:val="24"/>
          <w:szCs w:val="24"/>
        </w:rPr>
        <w:t>Carvalho</w:t>
      </w:r>
      <w:r w:rsidR="00C974D3">
        <w:rPr>
          <w:rFonts w:ascii="Times New Roman" w:hAnsi="Times New Roman" w:cs="Times New Roman"/>
          <w:sz w:val="24"/>
          <w:szCs w:val="24"/>
        </w:rPr>
        <w:t xml:space="preserve"> e </w:t>
      </w:r>
      <w:proofErr w:type="spellStart"/>
      <w:r w:rsidR="006909C6" w:rsidRPr="00027347">
        <w:rPr>
          <w:rFonts w:ascii="Times New Roman" w:hAnsi="Times New Roman" w:cs="Times New Roman"/>
          <w:sz w:val="24"/>
          <w:szCs w:val="24"/>
        </w:rPr>
        <w:t>Ellig</w:t>
      </w:r>
      <w:proofErr w:type="spellEnd"/>
      <w:r w:rsidR="00027347" w:rsidRPr="00027347">
        <w:rPr>
          <w:rFonts w:ascii="Times New Roman" w:hAnsi="Times New Roman" w:cs="Times New Roman"/>
          <w:sz w:val="24"/>
          <w:szCs w:val="24"/>
        </w:rPr>
        <w:t xml:space="preserve">, 2017; </w:t>
      </w:r>
      <w:r w:rsidRPr="00027347">
        <w:rPr>
          <w:rFonts w:ascii="Times New Roman" w:hAnsi="Times New Roman" w:cs="Times New Roman"/>
          <w:sz w:val="24"/>
          <w:szCs w:val="24"/>
        </w:rPr>
        <w:t>Saab</w:t>
      </w:r>
      <w:r w:rsidR="00C974D3">
        <w:rPr>
          <w:rFonts w:ascii="Times New Roman" w:hAnsi="Times New Roman" w:cs="Times New Roman"/>
          <w:sz w:val="24"/>
          <w:szCs w:val="24"/>
        </w:rPr>
        <w:t xml:space="preserve"> e</w:t>
      </w:r>
      <w:r w:rsidRPr="00027347">
        <w:rPr>
          <w:rFonts w:ascii="Times New Roman" w:hAnsi="Times New Roman" w:cs="Times New Roman"/>
          <w:sz w:val="24"/>
          <w:szCs w:val="24"/>
        </w:rPr>
        <w:t xml:space="preserve"> Silva, 202</w:t>
      </w:r>
      <w:r w:rsidR="00CC58E9" w:rsidRPr="00027347">
        <w:rPr>
          <w:rFonts w:ascii="Times New Roman" w:hAnsi="Times New Roman" w:cs="Times New Roman"/>
          <w:sz w:val="24"/>
          <w:szCs w:val="24"/>
        </w:rPr>
        <w:t>2</w:t>
      </w:r>
      <w:r w:rsidRPr="00027347">
        <w:rPr>
          <w:rFonts w:ascii="Times New Roman" w:hAnsi="Times New Roman" w:cs="Times New Roman"/>
          <w:sz w:val="24"/>
          <w:szCs w:val="24"/>
        </w:rPr>
        <w:t>).</w:t>
      </w:r>
    </w:p>
    <w:p w14:paraId="3CF9D795" w14:textId="77777777"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t>Essa constatação é particularmente relevante em contextos federativos, nos quais a capacidade administrativa e a cultura institucional variam entre entes subnacionais. A literatura demonstra que a qualidade da AIR está associada à existência de coordenação central, instâncias de revisão técnica e internalização organizacional do instrumento. Quando ausentes esses elementos, a AIR tende a assumir caráter meramente formal ou simbólico.</w:t>
      </w:r>
    </w:p>
    <w:p w14:paraId="3023185B" w14:textId="5D4B50B2"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lastRenderedPageBreak/>
        <w:t xml:space="preserve">No caso brasileiro, análises empíricas recentes indicam que, embora o número de órgãos federais produzindo </w:t>
      </w:r>
      <w:proofErr w:type="spellStart"/>
      <w:r w:rsidRPr="009E1058">
        <w:rPr>
          <w:rFonts w:ascii="Times New Roman" w:hAnsi="Times New Roman" w:cs="Times New Roman"/>
          <w:sz w:val="24"/>
          <w:szCs w:val="24"/>
        </w:rPr>
        <w:t>AIRs</w:t>
      </w:r>
      <w:proofErr w:type="spellEnd"/>
      <w:r w:rsidRPr="009E1058">
        <w:rPr>
          <w:rFonts w:ascii="Times New Roman" w:hAnsi="Times New Roman" w:cs="Times New Roman"/>
          <w:sz w:val="24"/>
          <w:szCs w:val="24"/>
        </w:rPr>
        <w:t xml:space="preserve"> tenha aumentado após a edição do Decreto nº 10.411/2020, persiste disparidade significativa de qualidade e transparência entre diferentes órgãos reguladores (Seixas</w:t>
      </w:r>
      <w:r w:rsidR="00C974D3">
        <w:rPr>
          <w:rFonts w:ascii="Times New Roman" w:hAnsi="Times New Roman" w:cs="Times New Roman"/>
          <w:sz w:val="24"/>
          <w:szCs w:val="24"/>
        </w:rPr>
        <w:t xml:space="preserve"> e</w:t>
      </w:r>
      <w:r w:rsidRPr="009E1058">
        <w:rPr>
          <w:rFonts w:ascii="Times New Roman" w:hAnsi="Times New Roman" w:cs="Times New Roman"/>
          <w:sz w:val="24"/>
          <w:szCs w:val="24"/>
        </w:rPr>
        <w:t xml:space="preserve"> Saccaro J</w:t>
      </w:r>
      <w:r w:rsidR="00CC58E9" w:rsidRPr="009E1058">
        <w:rPr>
          <w:rFonts w:ascii="Times New Roman" w:hAnsi="Times New Roman" w:cs="Times New Roman"/>
          <w:sz w:val="24"/>
          <w:szCs w:val="24"/>
        </w:rPr>
        <w:t>únior</w:t>
      </w:r>
      <w:r w:rsidRPr="009E1058">
        <w:rPr>
          <w:rFonts w:ascii="Times New Roman" w:hAnsi="Times New Roman" w:cs="Times New Roman"/>
          <w:sz w:val="24"/>
          <w:szCs w:val="24"/>
        </w:rPr>
        <w:t>, 2024). A heterogeneidade observada sugere que a obrigatoriedade normativa, por si só, não é suficiente para garantir institucionalização consolidada.</w:t>
      </w:r>
    </w:p>
    <w:p w14:paraId="2DC22C59" w14:textId="77777777"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t>Esse diagnóstico ganha contornos ainda mais complexos no âmbito subnacional. Se mesmo no plano federal, onde há marco normativo uniforme, verifica-se variação de qualidade e integração decisória, é plausível supor que, nos Executivos estaduais, a institucionalização da AIR esteja sujeita a graus ainda mais acentuados de heterogeneidade.</w:t>
      </w:r>
    </w:p>
    <w:p w14:paraId="03665804" w14:textId="77777777"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t>Assim, a literatura sobre governança regulatória converge para um ponto central: a AIR somente se consolida como instrumento efetivo quando integrada ao processo decisório de forma transversal, acompanhada de capacidades técnicas permanentes e respaldada por coordenação institucional. Fora dessas condições, tende a permanecer como formalidade documental.</w:t>
      </w:r>
    </w:p>
    <w:p w14:paraId="2C1DF289" w14:textId="683FD99D" w:rsidR="00431C68" w:rsidRPr="009E1058" w:rsidRDefault="00431C68" w:rsidP="00431C68">
      <w:pPr>
        <w:spacing w:after="0" w:line="360" w:lineRule="auto"/>
        <w:ind w:firstLine="709"/>
        <w:jc w:val="both"/>
        <w:rPr>
          <w:rFonts w:ascii="Times New Roman" w:hAnsi="Times New Roman" w:cs="Times New Roman"/>
          <w:sz w:val="24"/>
          <w:szCs w:val="24"/>
        </w:rPr>
      </w:pPr>
      <w:r w:rsidRPr="009E1058">
        <w:rPr>
          <w:rFonts w:ascii="Times New Roman" w:hAnsi="Times New Roman" w:cs="Times New Roman"/>
          <w:sz w:val="24"/>
          <w:szCs w:val="24"/>
        </w:rPr>
        <w:t>Essa distinção entre formalização normativa e institucionalização efetiva é fundamental para o presente estudo. Ao investigar a AIR como política transversal do Executivo estadual, o foco desloca-se da existência isolada de normas para a análise das condições institucionais que permitem sua incorporação como prática decisória rotineira, elemento essencial para caracterizá-la como política de Estado.</w:t>
      </w:r>
    </w:p>
    <w:p w14:paraId="5C57BB06" w14:textId="77777777" w:rsidR="00687FEA" w:rsidRPr="009E1058" w:rsidRDefault="00687FEA" w:rsidP="007C7A4A">
      <w:pPr>
        <w:spacing w:after="0" w:line="360" w:lineRule="auto"/>
        <w:jc w:val="both"/>
        <w:rPr>
          <w:rFonts w:ascii="Times New Roman" w:hAnsi="Times New Roman" w:cs="Times New Roman"/>
          <w:b/>
          <w:bCs/>
          <w:sz w:val="24"/>
          <w:szCs w:val="24"/>
        </w:rPr>
      </w:pPr>
    </w:p>
    <w:p w14:paraId="1DD1C9E7" w14:textId="10C59584" w:rsidR="007C7A4A" w:rsidRPr="009E1058" w:rsidRDefault="007C7A4A" w:rsidP="007C7A4A">
      <w:pPr>
        <w:spacing w:after="0" w:line="360" w:lineRule="auto"/>
        <w:jc w:val="both"/>
        <w:rPr>
          <w:rFonts w:ascii="Times New Roman" w:hAnsi="Times New Roman" w:cs="Times New Roman"/>
          <w:b/>
          <w:bCs/>
          <w:sz w:val="24"/>
          <w:szCs w:val="24"/>
        </w:rPr>
      </w:pPr>
      <w:r w:rsidRPr="009E1058">
        <w:rPr>
          <w:rFonts w:ascii="Times New Roman" w:hAnsi="Times New Roman" w:cs="Times New Roman"/>
          <w:b/>
          <w:bCs/>
          <w:sz w:val="24"/>
          <w:szCs w:val="24"/>
        </w:rPr>
        <w:t xml:space="preserve">3.2 Políticas de Estado e </w:t>
      </w:r>
      <w:r w:rsidR="00F730B9" w:rsidRPr="009E1058">
        <w:rPr>
          <w:rFonts w:ascii="Times New Roman" w:hAnsi="Times New Roman" w:cs="Times New Roman"/>
          <w:b/>
          <w:bCs/>
          <w:sz w:val="24"/>
          <w:szCs w:val="24"/>
        </w:rPr>
        <w:t>I</w:t>
      </w:r>
      <w:r w:rsidRPr="009E1058">
        <w:rPr>
          <w:rFonts w:ascii="Times New Roman" w:hAnsi="Times New Roman" w:cs="Times New Roman"/>
          <w:b/>
          <w:bCs/>
          <w:sz w:val="24"/>
          <w:szCs w:val="24"/>
        </w:rPr>
        <w:t xml:space="preserve">nfraestrutura </w:t>
      </w:r>
      <w:r w:rsidR="00F730B9" w:rsidRPr="009E1058">
        <w:rPr>
          <w:rFonts w:ascii="Times New Roman" w:hAnsi="Times New Roman" w:cs="Times New Roman"/>
          <w:b/>
          <w:bCs/>
          <w:sz w:val="24"/>
          <w:szCs w:val="24"/>
        </w:rPr>
        <w:t>D</w:t>
      </w:r>
      <w:r w:rsidRPr="009E1058">
        <w:rPr>
          <w:rFonts w:ascii="Times New Roman" w:hAnsi="Times New Roman" w:cs="Times New Roman"/>
          <w:b/>
          <w:bCs/>
          <w:sz w:val="24"/>
          <w:szCs w:val="24"/>
        </w:rPr>
        <w:t>ecisória</w:t>
      </w:r>
    </w:p>
    <w:p w14:paraId="1CC1B9A5" w14:textId="77777777" w:rsidR="007C7A4A" w:rsidRPr="009E1058" w:rsidRDefault="007C7A4A" w:rsidP="007C7A4A">
      <w:pPr>
        <w:spacing w:after="0" w:line="360" w:lineRule="auto"/>
        <w:jc w:val="both"/>
        <w:rPr>
          <w:rFonts w:ascii="Times New Roman" w:hAnsi="Times New Roman" w:cs="Times New Roman"/>
          <w:sz w:val="24"/>
          <w:szCs w:val="24"/>
        </w:rPr>
      </w:pPr>
    </w:p>
    <w:p w14:paraId="2C4B4C19" w14:textId="77777777"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A distinção entre políticas de governo e políticas de Estado constitui categoria recorrente na Ciência Política e no Direito Administrativo, sendo frequentemente utilizada para designar graus distintos de estabilidade e hierarquia institucional. Em formulações tradicionais, políticas de governo seriam aquelas vinculadas a programas e agendas específicas de determinado mandato eletivo, enquanto políticas de Estado seriam aquelas dotadas de pretensão de permanência, superioridade hierárquica e estabilidade normativa.</w:t>
      </w:r>
    </w:p>
    <w:p w14:paraId="7A864A8F" w14:textId="77777777"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 xml:space="preserve">Contudo, essa distinção binária tem sido objeto de crítica na literatura contemporânea. Bittencourt e </w:t>
      </w:r>
      <w:proofErr w:type="spellStart"/>
      <w:r w:rsidRPr="00605451">
        <w:rPr>
          <w:rFonts w:ascii="Times New Roman" w:hAnsi="Times New Roman" w:cs="Times New Roman"/>
          <w:sz w:val="24"/>
          <w:szCs w:val="24"/>
        </w:rPr>
        <w:t>Reck</w:t>
      </w:r>
      <w:proofErr w:type="spellEnd"/>
      <w:r w:rsidRPr="00605451">
        <w:rPr>
          <w:rFonts w:ascii="Times New Roman" w:hAnsi="Times New Roman" w:cs="Times New Roman"/>
          <w:sz w:val="24"/>
          <w:szCs w:val="24"/>
        </w:rPr>
        <w:t xml:space="preserve"> (2021) argumentam que a classificação simplificada entre políticas de governo e políticas de Estado é insuficiente para explicar a complexidade do fenômeno das políticas públicas, pois toda política pública contém, em maior ou menor grau, elementos de estabilidade e de contingência política. Segundo os autores, a distinção somente ganha precisão </w:t>
      </w:r>
      <w:r w:rsidRPr="00605451">
        <w:rPr>
          <w:rFonts w:ascii="Times New Roman" w:hAnsi="Times New Roman" w:cs="Times New Roman"/>
          <w:sz w:val="24"/>
          <w:szCs w:val="24"/>
        </w:rPr>
        <w:lastRenderedPageBreak/>
        <w:t>analítica quando se examinam os arranjos institucionais, os modelos decisórios e os objetivos envolvidos.</w:t>
      </w:r>
    </w:p>
    <w:p w14:paraId="742B36A5" w14:textId="793B987C"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 xml:space="preserve">Nesse sentido, não é o simples suporte normativo constitucional ou infraconstitucional que transforma determinada política em política de Estado. O que define sua natureza é o grau de institucionalização organizacional, a estabilidade de seus arranjos decisórios e sua capacidade de atravessar ciclos eleitorais sem depender da vontade política circunstancial </w:t>
      </w:r>
      <w:r>
        <w:rPr>
          <w:rFonts w:ascii="Times New Roman" w:hAnsi="Times New Roman" w:cs="Times New Roman"/>
          <w:sz w:val="24"/>
          <w:szCs w:val="24"/>
        </w:rPr>
        <w:t>(</w:t>
      </w:r>
      <w:r w:rsidRPr="00605451">
        <w:rPr>
          <w:rFonts w:ascii="Times New Roman" w:hAnsi="Times New Roman" w:cs="Times New Roman"/>
          <w:sz w:val="24"/>
          <w:szCs w:val="24"/>
        </w:rPr>
        <w:t xml:space="preserve">Bittencourt e </w:t>
      </w:r>
      <w:proofErr w:type="spellStart"/>
      <w:r w:rsidRPr="00605451">
        <w:rPr>
          <w:rFonts w:ascii="Times New Roman" w:hAnsi="Times New Roman" w:cs="Times New Roman"/>
          <w:sz w:val="24"/>
          <w:szCs w:val="24"/>
        </w:rPr>
        <w:t>Reck</w:t>
      </w:r>
      <w:proofErr w:type="spellEnd"/>
      <w:r>
        <w:rPr>
          <w:rFonts w:ascii="Times New Roman" w:hAnsi="Times New Roman" w:cs="Times New Roman"/>
          <w:sz w:val="24"/>
          <w:szCs w:val="24"/>
        </w:rPr>
        <w:t xml:space="preserve">, </w:t>
      </w:r>
      <w:r w:rsidRPr="00605451">
        <w:rPr>
          <w:rFonts w:ascii="Times New Roman" w:hAnsi="Times New Roman" w:cs="Times New Roman"/>
          <w:sz w:val="24"/>
          <w:szCs w:val="24"/>
        </w:rPr>
        <w:t>2021)</w:t>
      </w:r>
      <w:r>
        <w:rPr>
          <w:rFonts w:ascii="Times New Roman" w:hAnsi="Times New Roman" w:cs="Times New Roman"/>
          <w:sz w:val="24"/>
          <w:szCs w:val="24"/>
        </w:rPr>
        <w:t>.</w:t>
      </w:r>
    </w:p>
    <w:p w14:paraId="38DC4B7B" w14:textId="66280FC6"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Essa perspectiva é particularmente útil para a análise da AIR. A AIR não é política pública finalística</w:t>
      </w:r>
      <w:r>
        <w:rPr>
          <w:rFonts w:ascii="Times New Roman" w:hAnsi="Times New Roman" w:cs="Times New Roman"/>
          <w:sz w:val="24"/>
          <w:szCs w:val="24"/>
        </w:rPr>
        <w:t xml:space="preserve">, </w:t>
      </w:r>
      <w:r w:rsidRPr="00605451">
        <w:rPr>
          <w:rFonts w:ascii="Times New Roman" w:hAnsi="Times New Roman" w:cs="Times New Roman"/>
          <w:sz w:val="24"/>
          <w:szCs w:val="24"/>
        </w:rPr>
        <w:t>como saúde ou educação</w:t>
      </w:r>
      <w:r>
        <w:rPr>
          <w:rFonts w:ascii="Times New Roman" w:hAnsi="Times New Roman" w:cs="Times New Roman"/>
          <w:sz w:val="24"/>
          <w:szCs w:val="24"/>
        </w:rPr>
        <w:t xml:space="preserve">, </w:t>
      </w:r>
      <w:r w:rsidRPr="00605451">
        <w:rPr>
          <w:rFonts w:ascii="Times New Roman" w:hAnsi="Times New Roman" w:cs="Times New Roman"/>
          <w:sz w:val="24"/>
          <w:szCs w:val="24"/>
        </w:rPr>
        <w:t>mas instrumento procedimental que molda o processo decisório. Sua natureza é estrutural. Por isso, sua consolidação como política de Estado depende menos do conteúdo das normas e mais da sua internalização como infraestrutura decisória.</w:t>
      </w:r>
    </w:p>
    <w:p w14:paraId="76488B1E" w14:textId="77777777"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A noção de infraestrutura decisória permite compreender instrumentos procedimentais como dispositivos que organizam o modo como decisões públicas são tomadas. Diferentemente de políticas substantivas, infraestruturas decisórias disciplinam etapas, critérios, justificativas e padrões de racionalidade administrativa. Quando internalizadas, operam como mecanismos estabilizadores do processo decisório.</w:t>
      </w:r>
    </w:p>
    <w:p w14:paraId="580DEB25" w14:textId="77777777"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 xml:space="preserve">Bittencourt e </w:t>
      </w:r>
      <w:proofErr w:type="spellStart"/>
      <w:r w:rsidRPr="00605451">
        <w:rPr>
          <w:rFonts w:ascii="Times New Roman" w:hAnsi="Times New Roman" w:cs="Times New Roman"/>
          <w:sz w:val="24"/>
          <w:szCs w:val="24"/>
        </w:rPr>
        <w:t>Reck</w:t>
      </w:r>
      <w:proofErr w:type="spellEnd"/>
      <w:r w:rsidRPr="00605451">
        <w:rPr>
          <w:rFonts w:ascii="Times New Roman" w:hAnsi="Times New Roman" w:cs="Times New Roman"/>
          <w:sz w:val="24"/>
          <w:szCs w:val="24"/>
        </w:rPr>
        <w:t xml:space="preserve"> (2021) destacam que políticas públicas adquirem maior densidade institucional quando seus arranjos organizacionais e modelos decisórios são estruturados de forma a reduzir margens discricionárias voláteis e a estabelecer rotinas previsíveis. Assim, o grau de institucionalização não decorre apenas da existência de previsão normativa, mas da consolidação de estruturas organizacionais permanentes.</w:t>
      </w:r>
    </w:p>
    <w:p w14:paraId="693F5AB0" w14:textId="2114CA47" w:rsid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Sob essa perspectiva, políticas de Estado caracterizam-se por quatro dimensões articuladas:</w:t>
      </w:r>
      <w:r>
        <w:rPr>
          <w:rFonts w:ascii="Times New Roman" w:hAnsi="Times New Roman" w:cs="Times New Roman"/>
          <w:sz w:val="24"/>
          <w:szCs w:val="24"/>
        </w:rPr>
        <w:t xml:space="preserve"> </w:t>
      </w:r>
      <w:r w:rsidRPr="00605451">
        <w:rPr>
          <w:rFonts w:ascii="Times New Roman" w:hAnsi="Times New Roman" w:cs="Times New Roman"/>
          <w:sz w:val="24"/>
          <w:szCs w:val="24"/>
        </w:rPr>
        <w:t xml:space="preserve">a) </w:t>
      </w:r>
      <w:r>
        <w:rPr>
          <w:rFonts w:ascii="Times New Roman" w:hAnsi="Times New Roman" w:cs="Times New Roman"/>
          <w:sz w:val="24"/>
          <w:szCs w:val="24"/>
        </w:rPr>
        <w:t>E</w:t>
      </w:r>
      <w:r w:rsidRPr="00605451">
        <w:rPr>
          <w:rFonts w:ascii="Times New Roman" w:hAnsi="Times New Roman" w:cs="Times New Roman"/>
          <w:sz w:val="24"/>
          <w:szCs w:val="24"/>
        </w:rPr>
        <w:t>stabilidade normativa formal;</w:t>
      </w:r>
      <w:r>
        <w:rPr>
          <w:rFonts w:ascii="Times New Roman" w:hAnsi="Times New Roman" w:cs="Times New Roman"/>
          <w:sz w:val="24"/>
          <w:szCs w:val="24"/>
        </w:rPr>
        <w:t xml:space="preserve"> </w:t>
      </w:r>
      <w:r w:rsidRPr="00605451">
        <w:rPr>
          <w:rFonts w:ascii="Times New Roman" w:hAnsi="Times New Roman" w:cs="Times New Roman"/>
          <w:sz w:val="24"/>
          <w:szCs w:val="24"/>
        </w:rPr>
        <w:t xml:space="preserve">b) </w:t>
      </w:r>
      <w:r>
        <w:rPr>
          <w:rFonts w:ascii="Times New Roman" w:hAnsi="Times New Roman" w:cs="Times New Roman"/>
          <w:sz w:val="24"/>
          <w:szCs w:val="24"/>
        </w:rPr>
        <w:t>I</w:t>
      </w:r>
      <w:r w:rsidRPr="00605451">
        <w:rPr>
          <w:rFonts w:ascii="Times New Roman" w:hAnsi="Times New Roman" w:cs="Times New Roman"/>
          <w:sz w:val="24"/>
          <w:szCs w:val="24"/>
        </w:rPr>
        <w:t>nstitucionalização organizacional;</w:t>
      </w:r>
      <w:r>
        <w:rPr>
          <w:rFonts w:ascii="Times New Roman" w:hAnsi="Times New Roman" w:cs="Times New Roman"/>
          <w:sz w:val="24"/>
          <w:szCs w:val="24"/>
        </w:rPr>
        <w:t xml:space="preserve"> </w:t>
      </w:r>
      <w:r w:rsidRPr="00605451">
        <w:rPr>
          <w:rFonts w:ascii="Times New Roman" w:hAnsi="Times New Roman" w:cs="Times New Roman"/>
          <w:sz w:val="24"/>
          <w:szCs w:val="24"/>
        </w:rPr>
        <w:t xml:space="preserve">c) </w:t>
      </w:r>
      <w:r>
        <w:rPr>
          <w:rFonts w:ascii="Times New Roman" w:hAnsi="Times New Roman" w:cs="Times New Roman"/>
          <w:sz w:val="24"/>
          <w:szCs w:val="24"/>
        </w:rPr>
        <w:t>R</w:t>
      </w:r>
      <w:r w:rsidRPr="00605451">
        <w:rPr>
          <w:rFonts w:ascii="Times New Roman" w:hAnsi="Times New Roman" w:cs="Times New Roman"/>
          <w:sz w:val="24"/>
          <w:szCs w:val="24"/>
        </w:rPr>
        <w:t>otinização procedimental;</w:t>
      </w:r>
      <w:r>
        <w:rPr>
          <w:rFonts w:ascii="Times New Roman" w:hAnsi="Times New Roman" w:cs="Times New Roman"/>
          <w:sz w:val="24"/>
          <w:szCs w:val="24"/>
        </w:rPr>
        <w:t xml:space="preserve"> </w:t>
      </w:r>
      <w:r w:rsidRPr="00605451">
        <w:rPr>
          <w:rFonts w:ascii="Times New Roman" w:hAnsi="Times New Roman" w:cs="Times New Roman"/>
          <w:sz w:val="24"/>
          <w:szCs w:val="24"/>
        </w:rPr>
        <w:t xml:space="preserve">d) </w:t>
      </w:r>
      <w:r>
        <w:rPr>
          <w:rFonts w:ascii="Times New Roman" w:hAnsi="Times New Roman" w:cs="Times New Roman"/>
          <w:sz w:val="24"/>
          <w:szCs w:val="24"/>
        </w:rPr>
        <w:t>I</w:t>
      </w:r>
      <w:r w:rsidRPr="00605451">
        <w:rPr>
          <w:rFonts w:ascii="Times New Roman" w:hAnsi="Times New Roman" w:cs="Times New Roman"/>
          <w:sz w:val="24"/>
          <w:szCs w:val="24"/>
        </w:rPr>
        <w:t>ndependência relativa frente à alternância política.</w:t>
      </w:r>
    </w:p>
    <w:p w14:paraId="05DAF48E" w14:textId="77777777" w:rsidR="00F758E9" w:rsidRPr="00F758E9" w:rsidRDefault="00F758E9" w:rsidP="00F758E9">
      <w:pPr>
        <w:spacing w:after="0" w:line="360" w:lineRule="auto"/>
        <w:ind w:firstLine="708"/>
        <w:jc w:val="both"/>
        <w:rPr>
          <w:rFonts w:ascii="Times New Roman" w:hAnsi="Times New Roman" w:cs="Times New Roman"/>
          <w:sz w:val="24"/>
          <w:szCs w:val="24"/>
        </w:rPr>
      </w:pPr>
      <w:r w:rsidRPr="00F758E9">
        <w:rPr>
          <w:rFonts w:ascii="Times New Roman" w:hAnsi="Times New Roman" w:cs="Times New Roman"/>
          <w:sz w:val="24"/>
          <w:szCs w:val="24"/>
        </w:rPr>
        <w:t>A transversalidade administrativa pode ser compreendida, nesse contexto, como expressão de capacidades estatais associadas à coordenação institucional e à estabilização de arranjos decisórios. Gomide e Pires (2014) argumentam que a efetividade das políticas públicas depende da estruturação de arranjos institucionais capazes de organizar interações, reduzir incertezas e conferir previsibilidade às decisões estatais. Sob essa perspectiva, a consolidação de instrumentos procedimentais não se resume à sua previsão normativa, mas à sua incorporação em rotinas organizacionais permanentes.</w:t>
      </w:r>
    </w:p>
    <w:p w14:paraId="3BE48FA1" w14:textId="6EFC7B19" w:rsidR="00F758E9" w:rsidRPr="00F758E9" w:rsidRDefault="00F758E9" w:rsidP="00F758E9">
      <w:pPr>
        <w:spacing w:after="0" w:line="360" w:lineRule="auto"/>
        <w:ind w:firstLine="708"/>
        <w:jc w:val="both"/>
        <w:rPr>
          <w:rFonts w:ascii="Times New Roman" w:hAnsi="Times New Roman" w:cs="Times New Roman"/>
          <w:sz w:val="24"/>
          <w:szCs w:val="24"/>
        </w:rPr>
      </w:pPr>
      <w:r w:rsidRPr="00F758E9">
        <w:rPr>
          <w:rFonts w:ascii="Times New Roman" w:hAnsi="Times New Roman" w:cs="Times New Roman"/>
          <w:sz w:val="24"/>
          <w:szCs w:val="24"/>
        </w:rPr>
        <w:t xml:space="preserve">De modo convergente, </w:t>
      </w:r>
      <w:proofErr w:type="spellStart"/>
      <w:r w:rsidRPr="00F758E9">
        <w:rPr>
          <w:rFonts w:ascii="Times New Roman" w:hAnsi="Times New Roman" w:cs="Times New Roman"/>
          <w:sz w:val="24"/>
          <w:szCs w:val="24"/>
        </w:rPr>
        <w:t>Lascoumes</w:t>
      </w:r>
      <w:proofErr w:type="spellEnd"/>
      <w:r w:rsidRPr="00F758E9">
        <w:rPr>
          <w:rFonts w:ascii="Times New Roman" w:hAnsi="Times New Roman" w:cs="Times New Roman"/>
          <w:sz w:val="24"/>
          <w:szCs w:val="24"/>
        </w:rPr>
        <w:t xml:space="preserve"> e Le </w:t>
      </w:r>
      <w:proofErr w:type="spellStart"/>
      <w:r w:rsidRPr="00F758E9">
        <w:rPr>
          <w:rFonts w:ascii="Times New Roman" w:hAnsi="Times New Roman" w:cs="Times New Roman"/>
          <w:sz w:val="24"/>
          <w:szCs w:val="24"/>
        </w:rPr>
        <w:t>Galès</w:t>
      </w:r>
      <w:proofErr w:type="spellEnd"/>
      <w:r w:rsidRPr="00F758E9">
        <w:rPr>
          <w:rFonts w:ascii="Times New Roman" w:hAnsi="Times New Roman" w:cs="Times New Roman"/>
          <w:sz w:val="24"/>
          <w:szCs w:val="24"/>
        </w:rPr>
        <w:t xml:space="preserve"> (200</w:t>
      </w:r>
      <w:r w:rsidR="003A2E5E">
        <w:rPr>
          <w:rFonts w:ascii="Times New Roman" w:hAnsi="Times New Roman" w:cs="Times New Roman"/>
          <w:sz w:val="24"/>
          <w:szCs w:val="24"/>
        </w:rPr>
        <w:t>5</w:t>
      </w:r>
      <w:r w:rsidRPr="00F758E9">
        <w:rPr>
          <w:rFonts w:ascii="Times New Roman" w:hAnsi="Times New Roman" w:cs="Times New Roman"/>
          <w:sz w:val="24"/>
          <w:szCs w:val="24"/>
        </w:rPr>
        <w:t xml:space="preserve">) sustentam que os instrumentos de política pública não são meros meios neutros, mas dispositivos que estruturam a ação estatal e </w:t>
      </w:r>
      <w:r w:rsidRPr="00F758E9">
        <w:rPr>
          <w:rFonts w:ascii="Times New Roman" w:hAnsi="Times New Roman" w:cs="Times New Roman"/>
          <w:sz w:val="24"/>
          <w:szCs w:val="24"/>
        </w:rPr>
        <w:lastRenderedPageBreak/>
        <w:t>moldam padrões de governança. Quando institucionalizados de maneira transversal, tais instrumentos reorganizam a lógica decisória, influenciando a forma como problemas públicos são definidos e soluções são selecionadas. Assim, a AIR, enquanto instrumento procedimental, pode operar como elemento estruturante da arquitetura decisória do Executivo, desde que internalizada para além de aplicações setoriais isoladas.</w:t>
      </w:r>
    </w:p>
    <w:p w14:paraId="65E52C8F" w14:textId="77777777" w:rsidR="00C33B31" w:rsidRDefault="00C33B31" w:rsidP="00605451">
      <w:pPr>
        <w:spacing w:after="0" w:line="360" w:lineRule="auto"/>
        <w:ind w:firstLine="708"/>
        <w:jc w:val="both"/>
        <w:rPr>
          <w:rFonts w:ascii="Times New Roman" w:hAnsi="Times New Roman" w:cs="Times New Roman"/>
          <w:sz w:val="24"/>
          <w:szCs w:val="24"/>
        </w:rPr>
      </w:pPr>
      <w:r w:rsidRPr="00C33B31">
        <w:rPr>
          <w:rFonts w:ascii="Times New Roman" w:hAnsi="Times New Roman" w:cs="Times New Roman"/>
          <w:sz w:val="24"/>
          <w:szCs w:val="24"/>
        </w:rPr>
        <w:t>A AIR configura-se como política de Estado apenas quando integrada de modo permanente à arquitetura decisória do Executivo, independentemente da agenda governamental circunstancial.</w:t>
      </w:r>
    </w:p>
    <w:p w14:paraId="1C9D8184" w14:textId="362FE15B"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Em termos operacionais, isso implica:</w:t>
      </w:r>
      <w:r>
        <w:rPr>
          <w:rFonts w:ascii="Times New Roman" w:hAnsi="Times New Roman" w:cs="Times New Roman"/>
          <w:sz w:val="24"/>
          <w:szCs w:val="24"/>
        </w:rPr>
        <w:t xml:space="preserve"> </w:t>
      </w:r>
      <w:r w:rsidRPr="00605451">
        <w:rPr>
          <w:rFonts w:ascii="Times New Roman" w:hAnsi="Times New Roman" w:cs="Times New Roman"/>
          <w:sz w:val="24"/>
          <w:szCs w:val="24"/>
        </w:rPr>
        <w:t>obrigatoriedade procedimental para a produção normativa</w:t>
      </w:r>
      <w:r>
        <w:rPr>
          <w:rFonts w:ascii="Times New Roman" w:hAnsi="Times New Roman" w:cs="Times New Roman"/>
          <w:sz w:val="24"/>
          <w:szCs w:val="24"/>
        </w:rPr>
        <w:t xml:space="preserve">, </w:t>
      </w:r>
      <w:r w:rsidRPr="00605451">
        <w:rPr>
          <w:rFonts w:ascii="Times New Roman" w:hAnsi="Times New Roman" w:cs="Times New Roman"/>
          <w:sz w:val="24"/>
          <w:szCs w:val="24"/>
        </w:rPr>
        <w:t>integração regular ao fluxo administrativo</w:t>
      </w:r>
      <w:r>
        <w:rPr>
          <w:rFonts w:ascii="Times New Roman" w:hAnsi="Times New Roman" w:cs="Times New Roman"/>
          <w:sz w:val="24"/>
          <w:szCs w:val="24"/>
        </w:rPr>
        <w:t xml:space="preserve">, </w:t>
      </w:r>
      <w:r w:rsidRPr="00605451">
        <w:rPr>
          <w:rFonts w:ascii="Times New Roman" w:hAnsi="Times New Roman" w:cs="Times New Roman"/>
          <w:sz w:val="24"/>
          <w:szCs w:val="24"/>
        </w:rPr>
        <w:t>existência de instância de coordenação técnica ou supervisão</w:t>
      </w:r>
      <w:r>
        <w:rPr>
          <w:rFonts w:ascii="Times New Roman" w:hAnsi="Times New Roman" w:cs="Times New Roman"/>
          <w:sz w:val="24"/>
          <w:szCs w:val="24"/>
        </w:rPr>
        <w:t xml:space="preserve"> e </w:t>
      </w:r>
      <w:r w:rsidRPr="00605451">
        <w:rPr>
          <w:rFonts w:ascii="Times New Roman" w:hAnsi="Times New Roman" w:cs="Times New Roman"/>
          <w:sz w:val="24"/>
          <w:szCs w:val="24"/>
        </w:rPr>
        <w:t>aplicação uniforme independentemente do órgão proponente.</w:t>
      </w:r>
    </w:p>
    <w:p w14:paraId="617E6278" w14:textId="77777777"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Se ausentes tais elementos, a AIR tende a permanecer como instrumento de governo, vulnerável a flexibilizações, dispensas amplas ou aplicação seletiva.</w:t>
      </w:r>
    </w:p>
    <w:p w14:paraId="4894744E" w14:textId="77777777"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No contexto federativo brasileiro, essa distinção é ainda mais relevante. A proximidade entre política e administração em entes subnacionais pode favorecer maior permeabilidade a agendas circunstanciais. Assim, a institucionalização transversal da AIR nos Executivos estaduais constitui teste empírico relevante da sua consolidação como política de Estado.</w:t>
      </w:r>
    </w:p>
    <w:p w14:paraId="023E9E98" w14:textId="77777777" w:rsidR="00605451" w:rsidRPr="00605451" w:rsidRDefault="00605451" w:rsidP="00605451">
      <w:pPr>
        <w:spacing w:after="0" w:line="360" w:lineRule="auto"/>
        <w:ind w:firstLine="708"/>
        <w:jc w:val="both"/>
        <w:rPr>
          <w:rFonts w:ascii="Times New Roman" w:hAnsi="Times New Roman" w:cs="Times New Roman"/>
          <w:sz w:val="24"/>
          <w:szCs w:val="24"/>
        </w:rPr>
      </w:pPr>
      <w:r w:rsidRPr="00605451">
        <w:rPr>
          <w:rFonts w:ascii="Times New Roman" w:hAnsi="Times New Roman" w:cs="Times New Roman"/>
          <w:sz w:val="24"/>
          <w:szCs w:val="24"/>
        </w:rPr>
        <w:t>Portanto, a análise da AIR sob a lente de políticas de Estado desloca o foco da pergunta “há previsão normativa?” para a indagação mais sofisticada: “a AIR estrutura permanentemente o processo decisório do Executivo estadual?”. Essa mudança de enfoque é decisiva para avaliar maturidade institucional e capacidade de estabilização procedimental no federalismo brasileiro.</w:t>
      </w:r>
    </w:p>
    <w:p w14:paraId="6C764861" w14:textId="77777777" w:rsidR="00814699" w:rsidRPr="009E1058" w:rsidRDefault="00814699" w:rsidP="007C7A4A">
      <w:pPr>
        <w:spacing w:after="0" w:line="360" w:lineRule="auto"/>
        <w:jc w:val="both"/>
        <w:rPr>
          <w:rFonts w:ascii="Times New Roman" w:hAnsi="Times New Roman" w:cs="Times New Roman"/>
          <w:b/>
          <w:bCs/>
          <w:sz w:val="24"/>
          <w:szCs w:val="24"/>
        </w:rPr>
      </w:pPr>
    </w:p>
    <w:p w14:paraId="1A034463" w14:textId="50716291" w:rsidR="007C7A4A" w:rsidRPr="009E1058" w:rsidRDefault="007C7A4A" w:rsidP="007C7A4A">
      <w:pPr>
        <w:spacing w:after="0" w:line="360" w:lineRule="auto"/>
        <w:jc w:val="both"/>
        <w:rPr>
          <w:rFonts w:ascii="Times New Roman" w:hAnsi="Times New Roman" w:cs="Times New Roman"/>
          <w:b/>
          <w:bCs/>
          <w:sz w:val="24"/>
          <w:szCs w:val="24"/>
        </w:rPr>
      </w:pPr>
      <w:r w:rsidRPr="009E1058">
        <w:rPr>
          <w:rFonts w:ascii="Times New Roman" w:hAnsi="Times New Roman" w:cs="Times New Roman"/>
          <w:b/>
          <w:bCs/>
          <w:sz w:val="24"/>
          <w:szCs w:val="24"/>
        </w:rPr>
        <w:t xml:space="preserve">3.3 Federalismo e </w:t>
      </w:r>
      <w:r w:rsidR="00F730B9" w:rsidRPr="009E1058">
        <w:rPr>
          <w:rFonts w:ascii="Times New Roman" w:hAnsi="Times New Roman" w:cs="Times New Roman"/>
          <w:b/>
          <w:bCs/>
          <w:sz w:val="24"/>
          <w:szCs w:val="24"/>
        </w:rPr>
        <w:t>D</w:t>
      </w:r>
      <w:r w:rsidRPr="009E1058">
        <w:rPr>
          <w:rFonts w:ascii="Times New Roman" w:hAnsi="Times New Roman" w:cs="Times New Roman"/>
          <w:b/>
          <w:bCs/>
          <w:sz w:val="24"/>
          <w:szCs w:val="24"/>
        </w:rPr>
        <w:t>ifusão</w:t>
      </w:r>
      <w:r w:rsidR="00F730B9" w:rsidRPr="009E1058">
        <w:rPr>
          <w:rFonts w:ascii="Times New Roman" w:hAnsi="Times New Roman" w:cs="Times New Roman"/>
          <w:b/>
          <w:bCs/>
          <w:sz w:val="24"/>
          <w:szCs w:val="24"/>
        </w:rPr>
        <w:t xml:space="preserve"> de Instrumentos</w:t>
      </w:r>
      <w:r w:rsidRPr="009E1058">
        <w:rPr>
          <w:rFonts w:ascii="Times New Roman" w:hAnsi="Times New Roman" w:cs="Times New Roman"/>
          <w:b/>
          <w:bCs/>
          <w:sz w:val="24"/>
          <w:szCs w:val="24"/>
        </w:rPr>
        <w:t xml:space="preserve"> </w:t>
      </w:r>
      <w:r w:rsidR="00F730B9" w:rsidRPr="009E1058">
        <w:rPr>
          <w:rFonts w:ascii="Times New Roman" w:hAnsi="Times New Roman" w:cs="Times New Roman"/>
          <w:b/>
          <w:bCs/>
          <w:sz w:val="24"/>
          <w:szCs w:val="24"/>
        </w:rPr>
        <w:t>I</w:t>
      </w:r>
      <w:r w:rsidRPr="009E1058">
        <w:rPr>
          <w:rFonts w:ascii="Times New Roman" w:hAnsi="Times New Roman" w:cs="Times New Roman"/>
          <w:b/>
          <w:bCs/>
          <w:sz w:val="24"/>
          <w:szCs w:val="24"/>
        </w:rPr>
        <w:t>nstituciona</w:t>
      </w:r>
      <w:r w:rsidR="00F730B9" w:rsidRPr="009E1058">
        <w:rPr>
          <w:rFonts w:ascii="Times New Roman" w:hAnsi="Times New Roman" w:cs="Times New Roman"/>
          <w:b/>
          <w:bCs/>
          <w:sz w:val="24"/>
          <w:szCs w:val="24"/>
        </w:rPr>
        <w:t>is</w:t>
      </w:r>
    </w:p>
    <w:p w14:paraId="753E0549" w14:textId="77777777" w:rsidR="007C7A4A" w:rsidRPr="009E1058" w:rsidRDefault="007C7A4A" w:rsidP="007C7A4A">
      <w:pPr>
        <w:spacing w:after="0" w:line="360" w:lineRule="auto"/>
        <w:jc w:val="both"/>
        <w:rPr>
          <w:rFonts w:ascii="Times New Roman" w:hAnsi="Times New Roman" w:cs="Times New Roman"/>
          <w:sz w:val="24"/>
          <w:szCs w:val="24"/>
        </w:rPr>
      </w:pPr>
    </w:p>
    <w:p w14:paraId="22BB9768" w14:textId="4906447C" w:rsidR="007F261C" w:rsidRPr="006900E5" w:rsidRDefault="2476161C" w:rsidP="00814699">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No federalismo brasileiro, a difusão de instrumentos institucionais ocorre de forma desigual, refletindo variações nas capacidades administrativas e nos arranjos organizacionais subnacionais.</w:t>
      </w:r>
      <w:r w:rsidR="6DA39D7A" w:rsidRPr="006900E5">
        <w:rPr>
          <w:rFonts w:ascii="Times New Roman" w:hAnsi="Times New Roman" w:cs="Times New Roman"/>
          <w:sz w:val="24"/>
          <w:szCs w:val="24"/>
        </w:rPr>
        <w:t xml:space="preserve"> Bit</w:t>
      </w:r>
      <w:r w:rsidR="00D56362">
        <w:rPr>
          <w:rFonts w:ascii="Times New Roman" w:hAnsi="Times New Roman" w:cs="Times New Roman"/>
          <w:sz w:val="24"/>
          <w:szCs w:val="24"/>
        </w:rPr>
        <w:t>t</w:t>
      </w:r>
      <w:r w:rsidR="6DA39D7A" w:rsidRPr="006900E5">
        <w:rPr>
          <w:rFonts w:ascii="Times New Roman" w:hAnsi="Times New Roman" w:cs="Times New Roman"/>
          <w:sz w:val="24"/>
          <w:szCs w:val="24"/>
        </w:rPr>
        <w:t xml:space="preserve">encourt </w:t>
      </w:r>
      <w:r w:rsidR="249BA9F7" w:rsidRPr="006900E5">
        <w:rPr>
          <w:rFonts w:ascii="Times New Roman" w:hAnsi="Times New Roman" w:cs="Times New Roman"/>
          <w:sz w:val="24"/>
          <w:szCs w:val="24"/>
        </w:rPr>
        <w:t xml:space="preserve">e Tavares </w:t>
      </w:r>
      <w:r w:rsidR="6DA39D7A" w:rsidRPr="006900E5">
        <w:rPr>
          <w:rFonts w:ascii="Times New Roman" w:hAnsi="Times New Roman" w:cs="Times New Roman"/>
          <w:sz w:val="24"/>
          <w:szCs w:val="24"/>
        </w:rPr>
        <w:t>(2022) apontam que o federalismo implica em diferentes formas de organização estatal, com diversas distribuições de competências e aspectos de centralização/descentralização de seus elementos, o que, por consequência, produz distintos efeitos para as políticas públicas.</w:t>
      </w:r>
    </w:p>
    <w:p w14:paraId="5B4988AC" w14:textId="04F4F30A" w:rsidR="00814699" w:rsidRPr="006900E5" w:rsidRDefault="00814699" w:rsidP="00814699">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A descentralização de competências normativas implica que a adoção de mecanismos como a AIR depende não apenas de previsão normativa, mas da existência de recursos técnicos, coordenação interinstitucional e estabilidade organizacional.</w:t>
      </w:r>
    </w:p>
    <w:p w14:paraId="2F0D25B2" w14:textId="1BD0B92D" w:rsidR="00814699" w:rsidRPr="009E1058" w:rsidRDefault="00814699" w:rsidP="00814699">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lastRenderedPageBreak/>
        <w:t xml:space="preserve">Estudos sobre a experiência federal brasileira já evidenciam variação significativa na qualidade das </w:t>
      </w:r>
      <w:proofErr w:type="spellStart"/>
      <w:r w:rsidRPr="006900E5">
        <w:rPr>
          <w:rFonts w:ascii="Times New Roman" w:hAnsi="Times New Roman" w:cs="Times New Roman"/>
          <w:sz w:val="24"/>
          <w:szCs w:val="24"/>
        </w:rPr>
        <w:t>AIRs</w:t>
      </w:r>
      <w:proofErr w:type="spellEnd"/>
      <w:r w:rsidRPr="006900E5">
        <w:rPr>
          <w:rFonts w:ascii="Times New Roman" w:hAnsi="Times New Roman" w:cs="Times New Roman"/>
          <w:sz w:val="24"/>
          <w:szCs w:val="24"/>
        </w:rPr>
        <w:t xml:space="preserve"> produzidas por diferentes órgãos (Seixas</w:t>
      </w:r>
      <w:r w:rsidR="00C974D3">
        <w:rPr>
          <w:rFonts w:ascii="Times New Roman" w:hAnsi="Times New Roman" w:cs="Times New Roman"/>
          <w:sz w:val="24"/>
          <w:szCs w:val="24"/>
        </w:rPr>
        <w:t xml:space="preserve"> e </w:t>
      </w:r>
      <w:r w:rsidRPr="006900E5">
        <w:rPr>
          <w:rFonts w:ascii="Times New Roman" w:hAnsi="Times New Roman" w:cs="Times New Roman"/>
          <w:sz w:val="24"/>
          <w:szCs w:val="24"/>
        </w:rPr>
        <w:t>Saccaro J</w:t>
      </w:r>
      <w:r w:rsidR="00CC58E9" w:rsidRPr="006900E5">
        <w:rPr>
          <w:rFonts w:ascii="Times New Roman" w:hAnsi="Times New Roman" w:cs="Times New Roman"/>
          <w:sz w:val="24"/>
          <w:szCs w:val="24"/>
        </w:rPr>
        <w:t>únior</w:t>
      </w:r>
      <w:r w:rsidRPr="006900E5">
        <w:rPr>
          <w:rFonts w:ascii="Times New Roman" w:hAnsi="Times New Roman" w:cs="Times New Roman"/>
          <w:sz w:val="24"/>
          <w:szCs w:val="24"/>
        </w:rPr>
        <w:t>, 2024</w:t>
      </w:r>
      <w:r w:rsidR="00D6670D" w:rsidRPr="006900E5">
        <w:rPr>
          <w:rFonts w:ascii="Times New Roman" w:hAnsi="Times New Roman" w:cs="Times New Roman"/>
          <w:sz w:val="24"/>
          <w:szCs w:val="24"/>
        </w:rPr>
        <w:t>; Saab</w:t>
      </w:r>
      <w:r w:rsidR="00C974D3">
        <w:rPr>
          <w:rFonts w:ascii="Times New Roman" w:hAnsi="Times New Roman" w:cs="Times New Roman"/>
          <w:sz w:val="24"/>
          <w:szCs w:val="24"/>
        </w:rPr>
        <w:t xml:space="preserve"> e </w:t>
      </w:r>
      <w:r w:rsidR="00D6670D" w:rsidRPr="006900E5">
        <w:rPr>
          <w:rFonts w:ascii="Times New Roman" w:hAnsi="Times New Roman" w:cs="Times New Roman"/>
          <w:sz w:val="24"/>
          <w:szCs w:val="24"/>
        </w:rPr>
        <w:t>Silva, 2022</w:t>
      </w:r>
      <w:r w:rsidRPr="006900E5">
        <w:rPr>
          <w:rFonts w:ascii="Times New Roman" w:hAnsi="Times New Roman" w:cs="Times New Roman"/>
          <w:sz w:val="24"/>
          <w:szCs w:val="24"/>
        </w:rPr>
        <w:t>). Se essa heterogeneidade se manifesta mesmo sob marco normativo uniforme, é plausível supor q</w:t>
      </w:r>
      <w:r w:rsidRPr="009E1058">
        <w:rPr>
          <w:rFonts w:ascii="Times New Roman" w:hAnsi="Times New Roman" w:cs="Times New Roman"/>
          <w:sz w:val="24"/>
          <w:szCs w:val="24"/>
        </w:rPr>
        <w:t>ue, no plano estadual, onde inexistem padrões nacionais obrigatórios, as diferenças institucionais sejam ainda mais expressivas.</w:t>
      </w:r>
    </w:p>
    <w:p w14:paraId="266BF721" w14:textId="77777777" w:rsidR="00814699" w:rsidRPr="009E1058" w:rsidRDefault="00814699" w:rsidP="00814699">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A literatura comparada reforça essa perspectiva. A OECD (2020) e o World Bank (2015) indicam que a RIA produz melhores resultados quando integrada ao ciclo regulatório completo, articulando planejamento, consulta pública, análise </w:t>
      </w:r>
      <w:proofErr w:type="spellStart"/>
      <w:r w:rsidRPr="009E1058">
        <w:rPr>
          <w:rFonts w:ascii="Times New Roman" w:hAnsi="Times New Roman" w:cs="Times New Roman"/>
          <w:i/>
          <w:iCs/>
          <w:sz w:val="24"/>
          <w:szCs w:val="24"/>
        </w:rPr>
        <w:t>ex</w:t>
      </w:r>
      <w:proofErr w:type="spellEnd"/>
      <w:r w:rsidRPr="009E1058">
        <w:rPr>
          <w:rFonts w:ascii="Times New Roman" w:hAnsi="Times New Roman" w:cs="Times New Roman"/>
          <w:i/>
          <w:iCs/>
          <w:sz w:val="24"/>
          <w:szCs w:val="24"/>
        </w:rPr>
        <w:t xml:space="preserve"> ante</w:t>
      </w:r>
      <w:r w:rsidRPr="009E1058">
        <w:rPr>
          <w:rFonts w:ascii="Times New Roman" w:hAnsi="Times New Roman" w:cs="Times New Roman"/>
          <w:sz w:val="24"/>
          <w:szCs w:val="24"/>
        </w:rPr>
        <w:t xml:space="preserve"> e avaliação </w:t>
      </w:r>
      <w:proofErr w:type="spellStart"/>
      <w:r w:rsidRPr="009E1058">
        <w:rPr>
          <w:rFonts w:ascii="Times New Roman" w:hAnsi="Times New Roman" w:cs="Times New Roman"/>
          <w:i/>
          <w:iCs/>
          <w:sz w:val="24"/>
          <w:szCs w:val="24"/>
        </w:rPr>
        <w:t>ex</w:t>
      </w:r>
      <w:proofErr w:type="spellEnd"/>
      <w:r w:rsidRPr="009E1058">
        <w:rPr>
          <w:rFonts w:ascii="Times New Roman" w:hAnsi="Times New Roman" w:cs="Times New Roman"/>
          <w:i/>
          <w:iCs/>
          <w:sz w:val="24"/>
          <w:szCs w:val="24"/>
        </w:rPr>
        <w:t xml:space="preserve"> post.</w:t>
      </w:r>
      <w:r w:rsidRPr="009E1058">
        <w:rPr>
          <w:rFonts w:ascii="Times New Roman" w:hAnsi="Times New Roman" w:cs="Times New Roman"/>
          <w:sz w:val="24"/>
          <w:szCs w:val="24"/>
        </w:rPr>
        <w:t xml:space="preserve"> Nesses contextos, o instrumento deixa de ser apêndice formal e passa a estruturar o processo decisório, ampliando transparência e legitimidade institucional.</w:t>
      </w:r>
    </w:p>
    <w:p w14:paraId="16F4822F" w14:textId="6A89F800" w:rsidR="00814699" w:rsidRPr="006900E5" w:rsidRDefault="2476161C" w:rsidP="00814699">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No cenário subnacional brasileiro, contudo, a internalização desse padrão depende da consolidação de rotinas administrativas estáveis e de instâncias de coordenação técnica. Onde tais elementos estão presentes, </w:t>
      </w:r>
      <w:r w:rsidR="00E14E72">
        <w:rPr>
          <w:rFonts w:ascii="Times New Roman" w:hAnsi="Times New Roman" w:cs="Times New Roman"/>
          <w:sz w:val="24"/>
          <w:szCs w:val="24"/>
        </w:rPr>
        <w:t>verifica</w:t>
      </w:r>
      <w:r w:rsidRPr="009E1058">
        <w:rPr>
          <w:rFonts w:ascii="Times New Roman" w:hAnsi="Times New Roman" w:cs="Times New Roman"/>
          <w:sz w:val="24"/>
          <w:szCs w:val="24"/>
        </w:rPr>
        <w:t>-se maior</w:t>
      </w:r>
      <w:r w:rsidR="00E008B4">
        <w:rPr>
          <w:rFonts w:ascii="Times New Roman" w:hAnsi="Times New Roman" w:cs="Times New Roman"/>
          <w:sz w:val="24"/>
          <w:szCs w:val="24"/>
        </w:rPr>
        <w:t xml:space="preserve"> grau de institucionalização formal documentada</w:t>
      </w:r>
      <w:r w:rsidRPr="009E1058">
        <w:rPr>
          <w:rFonts w:ascii="Times New Roman" w:hAnsi="Times New Roman" w:cs="Times New Roman"/>
          <w:sz w:val="24"/>
          <w:szCs w:val="24"/>
        </w:rPr>
        <w:t xml:space="preserve">. Onde inexistem, a AIR tende </w:t>
      </w:r>
      <w:r w:rsidRPr="006900E5">
        <w:rPr>
          <w:rFonts w:ascii="Times New Roman" w:hAnsi="Times New Roman" w:cs="Times New Roman"/>
          <w:sz w:val="24"/>
          <w:szCs w:val="24"/>
        </w:rPr>
        <w:t>a assumir caráter episódico ou meramente documental.</w:t>
      </w:r>
    </w:p>
    <w:p w14:paraId="0A4FECE7" w14:textId="69504213" w:rsidR="564DDB0A" w:rsidRPr="006900E5" w:rsidRDefault="564DDB0A" w:rsidP="1E9E1952">
      <w:pPr>
        <w:spacing w:after="0" w:line="360" w:lineRule="auto"/>
        <w:ind w:firstLine="708"/>
        <w:jc w:val="both"/>
        <w:rPr>
          <w:rFonts w:ascii="Times New Roman" w:eastAsia="Times New Roman" w:hAnsi="Times New Roman" w:cs="Times New Roman"/>
          <w:sz w:val="24"/>
          <w:szCs w:val="24"/>
        </w:rPr>
      </w:pPr>
      <w:r w:rsidRPr="006900E5">
        <w:rPr>
          <w:rFonts w:ascii="Times New Roman" w:eastAsia="Times New Roman" w:hAnsi="Times New Roman" w:cs="Times New Roman"/>
          <w:sz w:val="24"/>
          <w:szCs w:val="24"/>
        </w:rPr>
        <w:t xml:space="preserve">Nesse sentido, Mata e Braga (2019) reforçam que as iniciativas legislativas brasileiras voltadas à AIR ainda são incipientes e carentes de rigor metodológico ou instrumentos que viabilizem sua aplicação prática. </w:t>
      </w:r>
    </w:p>
    <w:p w14:paraId="3D330CB5" w14:textId="64B62A23" w:rsidR="00814699" w:rsidRPr="009E1058" w:rsidRDefault="00814699" w:rsidP="00814699">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A dimensão federativa, portanto, n</w:t>
      </w:r>
      <w:r w:rsidRPr="009E1058">
        <w:rPr>
          <w:rFonts w:ascii="Times New Roman" w:hAnsi="Times New Roman" w:cs="Times New Roman"/>
          <w:sz w:val="24"/>
          <w:szCs w:val="24"/>
        </w:rPr>
        <w:t>ão apenas distribui competências normativas, mas evidencia diferenças estruturais na capacidade de institucionalizar instrumentos procedimentais</w:t>
      </w:r>
      <w:r w:rsidR="00455AE5" w:rsidRPr="009E1058">
        <w:rPr>
          <w:rFonts w:ascii="Times New Roman" w:hAnsi="Times New Roman" w:cs="Times New Roman"/>
          <w:sz w:val="24"/>
          <w:szCs w:val="24"/>
        </w:rPr>
        <w:t xml:space="preserve"> e voltados à qualificação do processo regulatório. </w:t>
      </w:r>
      <w:r w:rsidRPr="009E1058">
        <w:rPr>
          <w:rFonts w:ascii="Times New Roman" w:hAnsi="Times New Roman" w:cs="Times New Roman"/>
          <w:sz w:val="24"/>
          <w:szCs w:val="24"/>
        </w:rPr>
        <w:t>Avaliar a AIR como política transversal do Executivo estadual implica examinar se os estados incorporaram o instrumento como requisito estruturante do processo normativo ou se o mantiveram restrito a setores regulatórios específicos.</w:t>
      </w:r>
    </w:p>
    <w:p w14:paraId="18864768" w14:textId="77777777" w:rsidR="00F730B9" w:rsidRPr="009E1058" w:rsidRDefault="00F730B9" w:rsidP="00F730B9">
      <w:pPr>
        <w:spacing w:after="0" w:line="360" w:lineRule="auto"/>
        <w:jc w:val="both"/>
        <w:rPr>
          <w:rFonts w:ascii="Times New Roman" w:hAnsi="Times New Roman" w:cs="Times New Roman"/>
          <w:sz w:val="24"/>
          <w:szCs w:val="24"/>
        </w:rPr>
      </w:pPr>
    </w:p>
    <w:p w14:paraId="0761B33E" w14:textId="2CEE225C" w:rsidR="00F730B9" w:rsidRPr="009E1058" w:rsidRDefault="00F730B9" w:rsidP="00F730B9">
      <w:pPr>
        <w:spacing w:after="0" w:line="360" w:lineRule="auto"/>
        <w:jc w:val="both"/>
        <w:rPr>
          <w:rFonts w:ascii="Times New Roman" w:hAnsi="Times New Roman" w:cs="Times New Roman"/>
          <w:b/>
          <w:bCs/>
          <w:sz w:val="24"/>
          <w:szCs w:val="24"/>
        </w:rPr>
      </w:pPr>
      <w:r w:rsidRPr="009E1058">
        <w:rPr>
          <w:rFonts w:ascii="Times New Roman" w:hAnsi="Times New Roman" w:cs="Times New Roman"/>
          <w:b/>
          <w:bCs/>
          <w:sz w:val="24"/>
          <w:szCs w:val="24"/>
        </w:rPr>
        <w:t>3.4 O marco federal de Análise de Impacto Regulatório (AIR) como referência transversal</w:t>
      </w:r>
    </w:p>
    <w:p w14:paraId="5A6517E4" w14:textId="77777777" w:rsidR="00F730B9" w:rsidRPr="009E1058" w:rsidRDefault="00F730B9" w:rsidP="00C35750">
      <w:pPr>
        <w:spacing w:after="0" w:line="360" w:lineRule="auto"/>
        <w:ind w:firstLine="708"/>
        <w:jc w:val="both"/>
        <w:rPr>
          <w:rFonts w:ascii="Times New Roman" w:hAnsi="Times New Roman" w:cs="Times New Roman"/>
          <w:sz w:val="24"/>
          <w:szCs w:val="24"/>
        </w:rPr>
      </w:pPr>
    </w:p>
    <w:p w14:paraId="2ABEC69A" w14:textId="46A8F252" w:rsidR="00C35750" w:rsidRPr="009E1058" w:rsidRDefault="00C35750" w:rsidP="00C35750">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A AIR, entendida como procedimento estruturado de avaliação </w:t>
      </w:r>
      <w:proofErr w:type="spellStart"/>
      <w:r w:rsidRPr="009E1058">
        <w:rPr>
          <w:rFonts w:ascii="Times New Roman" w:hAnsi="Times New Roman" w:cs="Times New Roman"/>
          <w:i/>
          <w:iCs/>
          <w:sz w:val="24"/>
          <w:szCs w:val="24"/>
        </w:rPr>
        <w:t>ex</w:t>
      </w:r>
      <w:proofErr w:type="spellEnd"/>
      <w:r w:rsidRPr="009E1058">
        <w:rPr>
          <w:rFonts w:ascii="Times New Roman" w:hAnsi="Times New Roman" w:cs="Times New Roman"/>
          <w:i/>
          <w:iCs/>
          <w:sz w:val="24"/>
          <w:szCs w:val="24"/>
        </w:rPr>
        <w:t xml:space="preserve"> ante</w:t>
      </w:r>
      <w:r w:rsidRPr="009E1058">
        <w:rPr>
          <w:rFonts w:ascii="Times New Roman" w:hAnsi="Times New Roman" w:cs="Times New Roman"/>
          <w:sz w:val="24"/>
          <w:szCs w:val="24"/>
        </w:rPr>
        <w:t xml:space="preserve"> dos efeitos prováveis de atos normativos, consolidou-se internacionalmente como instrumento central de governança regulatória. Organismos multilaterais, especialmente a OECD, sistematizaram princípios de boas práticas de </w:t>
      </w:r>
      <w:proofErr w:type="spellStart"/>
      <w:r w:rsidRPr="009E1058">
        <w:rPr>
          <w:rFonts w:ascii="Times New Roman" w:hAnsi="Times New Roman" w:cs="Times New Roman"/>
          <w:i/>
          <w:iCs/>
          <w:sz w:val="24"/>
          <w:szCs w:val="24"/>
        </w:rPr>
        <w:t>Regulatory</w:t>
      </w:r>
      <w:proofErr w:type="spellEnd"/>
      <w:r w:rsidRPr="009E1058">
        <w:rPr>
          <w:rFonts w:ascii="Times New Roman" w:hAnsi="Times New Roman" w:cs="Times New Roman"/>
          <w:i/>
          <w:iCs/>
          <w:sz w:val="24"/>
          <w:szCs w:val="24"/>
        </w:rPr>
        <w:t xml:space="preserve"> </w:t>
      </w:r>
      <w:proofErr w:type="spellStart"/>
      <w:r w:rsidRPr="009E1058">
        <w:rPr>
          <w:rFonts w:ascii="Times New Roman" w:hAnsi="Times New Roman" w:cs="Times New Roman"/>
          <w:i/>
          <w:iCs/>
          <w:sz w:val="24"/>
          <w:szCs w:val="24"/>
        </w:rPr>
        <w:t>Impact</w:t>
      </w:r>
      <w:proofErr w:type="spellEnd"/>
      <w:r w:rsidRPr="009E1058">
        <w:rPr>
          <w:rFonts w:ascii="Times New Roman" w:hAnsi="Times New Roman" w:cs="Times New Roman"/>
          <w:i/>
          <w:iCs/>
          <w:sz w:val="24"/>
          <w:szCs w:val="24"/>
        </w:rPr>
        <w:t xml:space="preserve"> Assessment</w:t>
      </w:r>
      <w:r w:rsidRPr="009E1058">
        <w:rPr>
          <w:rFonts w:ascii="Times New Roman" w:hAnsi="Times New Roman" w:cs="Times New Roman"/>
          <w:sz w:val="24"/>
          <w:szCs w:val="24"/>
        </w:rPr>
        <w:t xml:space="preserve"> (RIA), defendendo sua adoção como mecanismo de melhoria da qualidade normativa, ampliação da transparência e fortalecimento da </w:t>
      </w:r>
      <w:proofErr w:type="spellStart"/>
      <w:r w:rsidRPr="009E1058">
        <w:rPr>
          <w:rFonts w:ascii="Times New Roman" w:hAnsi="Times New Roman" w:cs="Times New Roman"/>
          <w:i/>
          <w:iCs/>
          <w:sz w:val="24"/>
          <w:szCs w:val="24"/>
        </w:rPr>
        <w:t>accountability</w:t>
      </w:r>
      <w:proofErr w:type="spellEnd"/>
      <w:r w:rsidRPr="009E1058">
        <w:rPr>
          <w:rFonts w:ascii="Times New Roman" w:hAnsi="Times New Roman" w:cs="Times New Roman"/>
          <w:sz w:val="24"/>
          <w:szCs w:val="24"/>
        </w:rPr>
        <w:t xml:space="preserve"> decisória (OECD, 2020).</w:t>
      </w:r>
    </w:p>
    <w:p w14:paraId="0CCEBE19" w14:textId="77777777" w:rsidR="00C35750" w:rsidRPr="009E1058" w:rsidRDefault="00C35750" w:rsidP="00C35750">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lastRenderedPageBreak/>
        <w:t>Segundo a OECD (2020), a RIA deve integrar o ciclo regulatório completo, compreendendo a definição clara do problema regulatório, a identificação de alternativas, inclusive a opção de não intervir, a análise de impactos esperados e a divulgação pública dos resultados. A publicação das análises e a rastreabilidade das decisões são consideradas elementos centrais para legitimar a intervenção estatal e reduzir decisões arbitrárias.</w:t>
      </w:r>
    </w:p>
    <w:p w14:paraId="3CE21288" w14:textId="58A23DB7" w:rsidR="00C35750" w:rsidRPr="009E1058" w:rsidRDefault="00C35750" w:rsidP="00C35750">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No Brasil, o Decreto nº 10.411, de 30 de junho de 2020, representa a transposição normativa mais sistemática desses princípios ao contexto nacional. O decreto regulamenta a AIR prevista no art. 5º da Lei nº 13.874/2019 (Lei de Liberdade Econômica) e estabelece que a análise deve preceder a edição, alteração ou revogação de atos normativos de interesse geral no âmbito do Poder Executivo federal (Brasil, </w:t>
      </w:r>
      <w:r w:rsidR="00CC58E9" w:rsidRPr="009E1058">
        <w:rPr>
          <w:rFonts w:ascii="Times New Roman" w:hAnsi="Times New Roman" w:cs="Times New Roman"/>
          <w:sz w:val="24"/>
          <w:szCs w:val="24"/>
        </w:rPr>
        <w:t>20</w:t>
      </w:r>
      <w:r w:rsidR="00C974D3">
        <w:rPr>
          <w:rFonts w:ascii="Times New Roman" w:hAnsi="Times New Roman" w:cs="Times New Roman"/>
          <w:sz w:val="24"/>
          <w:szCs w:val="24"/>
        </w:rPr>
        <w:t>20</w:t>
      </w:r>
      <w:r w:rsidR="00CC58E9" w:rsidRPr="009E1058">
        <w:rPr>
          <w:rFonts w:ascii="Times New Roman" w:hAnsi="Times New Roman" w:cs="Times New Roman"/>
          <w:sz w:val="24"/>
          <w:szCs w:val="24"/>
        </w:rPr>
        <w:t xml:space="preserve">; </w:t>
      </w:r>
      <w:r w:rsidRPr="009E1058">
        <w:rPr>
          <w:rFonts w:ascii="Times New Roman" w:hAnsi="Times New Roman" w:cs="Times New Roman"/>
          <w:sz w:val="24"/>
          <w:szCs w:val="24"/>
        </w:rPr>
        <w:t>20</w:t>
      </w:r>
      <w:r w:rsidR="00C974D3">
        <w:rPr>
          <w:rFonts w:ascii="Times New Roman" w:hAnsi="Times New Roman" w:cs="Times New Roman"/>
          <w:sz w:val="24"/>
          <w:szCs w:val="24"/>
        </w:rPr>
        <w:t>19</w:t>
      </w:r>
      <w:r w:rsidRPr="009E1058">
        <w:rPr>
          <w:rFonts w:ascii="Times New Roman" w:hAnsi="Times New Roman" w:cs="Times New Roman"/>
          <w:sz w:val="24"/>
          <w:szCs w:val="24"/>
        </w:rPr>
        <w:t>).</w:t>
      </w:r>
    </w:p>
    <w:p w14:paraId="76164C98" w14:textId="69AFD03E" w:rsidR="00C35750" w:rsidRPr="009E1058" w:rsidRDefault="00C35750" w:rsidP="00C35750">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O decreto define a AIR como procedimento destinado a reunir informações e dados sobre os prováveis efeitos das soluções normativas, com o objetivo de subsidiar a tomada de decisão da autoridade competente. Entre seus elementos estruturantes, destacam-se: definição explícita do problema regulatório, identificação de alternativas regulatórias, análise dos impactos esperados sobre agentes econômicos e usuários de serviços públicos, justificativa da opção escolhida, previsão de hipóteses de dispensa motivada e possibilidade de AIR simplificada, de acordo com o princípio da proporcionalidade</w:t>
      </w:r>
      <w:r w:rsidR="00D7730D" w:rsidRPr="009E1058">
        <w:rPr>
          <w:rFonts w:ascii="Times New Roman" w:hAnsi="Times New Roman" w:cs="Times New Roman"/>
          <w:sz w:val="24"/>
          <w:szCs w:val="24"/>
        </w:rPr>
        <w:t xml:space="preserve"> (Brasil, 2020).</w:t>
      </w:r>
    </w:p>
    <w:p w14:paraId="1C1523B0" w14:textId="77777777" w:rsidR="00C35750" w:rsidRPr="009E1058" w:rsidRDefault="00C35750" w:rsidP="00C35750">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incorporação do princípio da proporcionalidade constitui aspecto relevante do modelo federal. O decreto reconhece que a profundidade da AIR deve ser compatível com a magnitude do impacto regulatório, evitando a imposição de encargos procedimentais desproporcionais (ENAP, 2020). Essa orientação alinha-se às recomendações internacionais segundo as quais a RIA deve ser calibrada de acordo com o risco e a relevância da intervenção estatal (OECD, 2020).</w:t>
      </w:r>
    </w:p>
    <w:p w14:paraId="4A24C925" w14:textId="411A01A8" w:rsidR="00C35750" w:rsidRPr="009E1058" w:rsidRDefault="00C35750" w:rsidP="00C35750">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Elemento central do marco federal é sua natureza transversal. O Decreto nº 10.411/2020 não restringe a AIR às agências reguladoras, mas a estabelece como requisito aplicável aos atos normativos de interesse geral de todo o Executivo federal. Trata-se, portanto, de instrumento concebido como política procedimental ampla, estruturante do processo normativo administrativo</w:t>
      </w:r>
      <w:r w:rsidR="00C974D3">
        <w:rPr>
          <w:rFonts w:ascii="Times New Roman" w:hAnsi="Times New Roman" w:cs="Times New Roman"/>
          <w:sz w:val="24"/>
          <w:szCs w:val="24"/>
        </w:rPr>
        <w:t xml:space="preserve"> (Brasil, 2020)</w:t>
      </w:r>
      <w:r w:rsidRPr="009E1058">
        <w:rPr>
          <w:rFonts w:ascii="Times New Roman" w:hAnsi="Times New Roman" w:cs="Times New Roman"/>
          <w:sz w:val="24"/>
          <w:szCs w:val="24"/>
        </w:rPr>
        <w:t xml:space="preserve">. </w:t>
      </w:r>
    </w:p>
    <w:p w14:paraId="1FB27E9A" w14:textId="00ACAA28" w:rsidR="00C35750" w:rsidRPr="009E1058" w:rsidRDefault="00E14E72" w:rsidP="00C357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Convém assinalar</w:t>
      </w:r>
      <w:r w:rsidR="00C35750" w:rsidRPr="009E1058">
        <w:rPr>
          <w:rFonts w:ascii="Times New Roman" w:hAnsi="Times New Roman" w:cs="Times New Roman"/>
          <w:sz w:val="24"/>
          <w:szCs w:val="24"/>
        </w:rPr>
        <w:t xml:space="preserve"> que, antes mesmo da edição do decreto, algumas agências reguladoras federais já possuíam tradição consolidada de realização de AIR, com publicação de relatórios e integração com consultas públicas. A novidade trazida pelo marco normativo de 2020 reside na ampliação da exigência para além das agências, formalizando a AIR como requisito institucional transversal no Executivo federal. </w:t>
      </w:r>
    </w:p>
    <w:p w14:paraId="2D7EF2AB" w14:textId="269A4AF8" w:rsidR="00C35750" w:rsidRPr="009E1058" w:rsidRDefault="00C35750" w:rsidP="00C35750">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lastRenderedPageBreak/>
        <w:t>Todavia, a consolidação da AIR no plano federal ainda enfrenta desafios. Estudos empíricos indicam persistência de assimetrias de capacidade entre órgãos, variação na qualidade metodológica das análises produzidas e ausência de unidade central com forte poder de revisão técnica (Seixas</w:t>
      </w:r>
      <w:r w:rsidR="00C974D3">
        <w:rPr>
          <w:rFonts w:ascii="Times New Roman" w:hAnsi="Times New Roman" w:cs="Times New Roman"/>
          <w:sz w:val="24"/>
          <w:szCs w:val="24"/>
        </w:rPr>
        <w:t xml:space="preserve"> e </w:t>
      </w:r>
      <w:r w:rsidRPr="009E1058">
        <w:rPr>
          <w:rFonts w:ascii="Times New Roman" w:hAnsi="Times New Roman" w:cs="Times New Roman"/>
          <w:sz w:val="24"/>
          <w:szCs w:val="24"/>
        </w:rPr>
        <w:t>Saccaro J</w:t>
      </w:r>
      <w:r w:rsidR="00CC58E9" w:rsidRPr="009E1058">
        <w:rPr>
          <w:rFonts w:ascii="Times New Roman" w:hAnsi="Times New Roman" w:cs="Times New Roman"/>
          <w:sz w:val="24"/>
          <w:szCs w:val="24"/>
        </w:rPr>
        <w:t>únior</w:t>
      </w:r>
      <w:r w:rsidRPr="009E1058">
        <w:rPr>
          <w:rFonts w:ascii="Times New Roman" w:hAnsi="Times New Roman" w:cs="Times New Roman"/>
          <w:sz w:val="24"/>
          <w:szCs w:val="24"/>
        </w:rPr>
        <w:t xml:space="preserve">, 2024). Essas limitações revelam que a obrigatoriedade normativa constitui condição necessária, mas não suficiente, para assegurar institucionalização robusta. </w:t>
      </w:r>
    </w:p>
    <w:p w14:paraId="188D7ADB" w14:textId="77777777" w:rsidR="00C35750" w:rsidRPr="009E1058" w:rsidRDefault="00C35750" w:rsidP="00C35750">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O marco federal, portanto, desempenha dupla função no presente estudo. De um lado, representa referência normativa de transversalidade, oferecendo parâmetro analítico para avaliar a institucionalização da AIR nos Executivos estaduais. De outro, evidencia que mesmo sob desenho institucional uniforme persistem desafios relacionados à capacidade técnica e à integração decisória, aspecto que se torna ainda mais complexo no contexto federativo subnacional.</w:t>
      </w:r>
    </w:p>
    <w:p w14:paraId="3CFC471C" w14:textId="194DF5B6" w:rsidR="007C7A4A" w:rsidRDefault="00C35750" w:rsidP="00FC60C1">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Assim, ao tomar o modelo federal como referência, esta pesquisa não pressupõe sua plena consolidação, mas o utiliza como padrão mínimo de transversalidade institucional para examinar se os estados brasileiros replicaram, adaptaram ou restringiram a AIR a setores específicos.</w:t>
      </w:r>
    </w:p>
    <w:p w14:paraId="6FB212C6" w14:textId="77777777" w:rsidR="00F4600B" w:rsidRPr="009E1058" w:rsidRDefault="00F4600B" w:rsidP="00FC60C1">
      <w:pPr>
        <w:spacing w:after="0" w:line="360" w:lineRule="auto"/>
        <w:ind w:firstLine="708"/>
        <w:jc w:val="both"/>
        <w:rPr>
          <w:rFonts w:ascii="Times New Roman" w:hAnsi="Times New Roman" w:cs="Times New Roman"/>
          <w:sz w:val="24"/>
          <w:szCs w:val="24"/>
        </w:rPr>
      </w:pPr>
    </w:p>
    <w:p w14:paraId="3540D0DE" w14:textId="49F2F802" w:rsidR="007C7A4A" w:rsidRPr="009E1058" w:rsidRDefault="00C75C88" w:rsidP="007C7A4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E744BB" w:rsidRPr="009E1058">
        <w:rPr>
          <w:rFonts w:ascii="Times New Roman" w:hAnsi="Times New Roman" w:cs="Times New Roman"/>
          <w:b/>
          <w:bCs/>
          <w:sz w:val="24"/>
          <w:szCs w:val="24"/>
        </w:rPr>
        <w:t xml:space="preserve"> </w:t>
      </w:r>
      <w:r w:rsidR="00F730B9" w:rsidRPr="009E1058">
        <w:rPr>
          <w:rFonts w:ascii="Times New Roman" w:hAnsi="Times New Roman" w:cs="Times New Roman"/>
          <w:b/>
          <w:bCs/>
          <w:sz w:val="24"/>
          <w:szCs w:val="24"/>
        </w:rPr>
        <w:t>RESULTADOS: A ANÁLISE DE IMPACTO REGULATÓRIO (</w:t>
      </w:r>
      <w:r w:rsidR="007C7A4A" w:rsidRPr="009E1058">
        <w:rPr>
          <w:rFonts w:ascii="Times New Roman" w:hAnsi="Times New Roman" w:cs="Times New Roman"/>
          <w:b/>
          <w:bCs/>
          <w:sz w:val="24"/>
          <w:szCs w:val="24"/>
        </w:rPr>
        <w:t>AIR</w:t>
      </w:r>
      <w:r w:rsidR="00F730B9" w:rsidRPr="009E1058">
        <w:rPr>
          <w:rFonts w:ascii="Times New Roman" w:hAnsi="Times New Roman" w:cs="Times New Roman"/>
          <w:b/>
          <w:bCs/>
          <w:sz w:val="24"/>
          <w:szCs w:val="24"/>
        </w:rPr>
        <w:t>)</w:t>
      </w:r>
      <w:r w:rsidR="007C7A4A" w:rsidRPr="009E1058">
        <w:rPr>
          <w:rFonts w:ascii="Times New Roman" w:hAnsi="Times New Roman" w:cs="Times New Roman"/>
          <w:b/>
          <w:bCs/>
          <w:sz w:val="24"/>
          <w:szCs w:val="24"/>
        </w:rPr>
        <w:t xml:space="preserve"> NOS ESTADOS</w:t>
      </w:r>
      <w:r w:rsidR="00F730B9" w:rsidRPr="009E1058">
        <w:rPr>
          <w:rFonts w:ascii="Times New Roman" w:hAnsi="Times New Roman" w:cs="Times New Roman"/>
          <w:b/>
          <w:bCs/>
          <w:sz w:val="24"/>
          <w:szCs w:val="24"/>
        </w:rPr>
        <w:t xml:space="preserve"> BRASILEIROS</w:t>
      </w:r>
    </w:p>
    <w:p w14:paraId="133AF9F4" w14:textId="77777777" w:rsidR="00E744BB" w:rsidRPr="009E1058" w:rsidRDefault="00E744BB" w:rsidP="007C7A4A">
      <w:pPr>
        <w:spacing w:after="0" w:line="360" w:lineRule="auto"/>
        <w:jc w:val="both"/>
        <w:rPr>
          <w:rFonts w:ascii="Times New Roman" w:hAnsi="Times New Roman" w:cs="Times New Roman"/>
          <w:b/>
          <w:bCs/>
          <w:sz w:val="24"/>
          <w:szCs w:val="24"/>
        </w:rPr>
      </w:pPr>
    </w:p>
    <w:p w14:paraId="30BF0C3C" w14:textId="60216483" w:rsidR="00B614BD" w:rsidRDefault="00B614BD" w:rsidP="00B614BD">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A análise documental dos Executivos estaduais revela movimento gradual, porém desigual, de incorporação da AIR no plano subnacional. Observa-se, de um lado, a edição de decretos estaduais ou leis que mencionam a AIR; de outro, a institucionalização do instrumento por meio de normativos internos de agências reguladoras.</w:t>
      </w:r>
      <w:r>
        <w:rPr>
          <w:rFonts w:ascii="Times New Roman" w:hAnsi="Times New Roman" w:cs="Times New Roman"/>
          <w:sz w:val="24"/>
          <w:szCs w:val="24"/>
        </w:rPr>
        <w:t xml:space="preserve"> </w:t>
      </w:r>
      <w:r w:rsidRPr="009E1058">
        <w:rPr>
          <w:rFonts w:ascii="Times New Roman" w:hAnsi="Times New Roman" w:cs="Times New Roman"/>
          <w:sz w:val="24"/>
          <w:szCs w:val="24"/>
        </w:rPr>
        <w:t>Contudo, a simples existência de menção normativa não equivale à sua consolidação como política transversal do Executivo estadual.</w:t>
      </w:r>
    </w:p>
    <w:p w14:paraId="2C11A78A" w14:textId="1675D53D" w:rsidR="00B614BD" w:rsidRP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A partir dos critérios definidos na seção metodológica e das categorias construídas por meio da análise de conteúdo, procedeu-se à classificação dos estados brasileiros segundo o grau de institucionalização da</w:t>
      </w:r>
      <w:r>
        <w:rPr>
          <w:rFonts w:ascii="Times New Roman" w:hAnsi="Times New Roman" w:cs="Times New Roman"/>
          <w:sz w:val="24"/>
          <w:szCs w:val="24"/>
        </w:rPr>
        <w:t xml:space="preserve"> </w:t>
      </w:r>
      <w:r w:rsidRPr="00B614BD">
        <w:rPr>
          <w:rFonts w:ascii="Times New Roman" w:hAnsi="Times New Roman" w:cs="Times New Roman"/>
          <w:sz w:val="24"/>
          <w:szCs w:val="24"/>
        </w:rPr>
        <w:t xml:space="preserve">AIR como política transversal do Executivo estadual. A categorização considerou exclusivamente evidências documentais publicamente disponíveis nos portais </w:t>
      </w:r>
      <w:r w:rsidR="002F2E22">
        <w:rPr>
          <w:rFonts w:ascii="Times New Roman" w:hAnsi="Times New Roman" w:cs="Times New Roman"/>
          <w:sz w:val="24"/>
          <w:szCs w:val="24"/>
        </w:rPr>
        <w:t>institucionais</w:t>
      </w:r>
      <w:r w:rsidRPr="00B614BD">
        <w:rPr>
          <w:rFonts w:ascii="Times New Roman" w:hAnsi="Times New Roman" w:cs="Times New Roman"/>
          <w:sz w:val="24"/>
          <w:szCs w:val="24"/>
        </w:rPr>
        <w:t xml:space="preserve"> e diários oficiais eletrônicos, no período de 2020 a 2025.</w:t>
      </w:r>
    </w:p>
    <w:p w14:paraId="3C55129A" w14:textId="5F58E636" w:rsidR="00B614BD" w:rsidRP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 xml:space="preserve">A classificação baseou-se em quatro dimensões observáveis: </w:t>
      </w:r>
      <w:r>
        <w:rPr>
          <w:rFonts w:ascii="Times New Roman" w:hAnsi="Times New Roman" w:cs="Times New Roman"/>
          <w:sz w:val="24"/>
          <w:szCs w:val="24"/>
        </w:rPr>
        <w:t>a</w:t>
      </w:r>
      <w:r w:rsidRPr="00B614BD">
        <w:rPr>
          <w:rFonts w:ascii="Times New Roman" w:hAnsi="Times New Roman" w:cs="Times New Roman"/>
          <w:sz w:val="24"/>
          <w:szCs w:val="24"/>
        </w:rPr>
        <w:t xml:space="preserve">) </w:t>
      </w:r>
      <w:r>
        <w:rPr>
          <w:rFonts w:ascii="Times New Roman" w:hAnsi="Times New Roman" w:cs="Times New Roman"/>
          <w:sz w:val="24"/>
          <w:szCs w:val="24"/>
        </w:rPr>
        <w:t>E</w:t>
      </w:r>
      <w:r w:rsidRPr="00B614BD">
        <w:rPr>
          <w:rFonts w:ascii="Times New Roman" w:hAnsi="Times New Roman" w:cs="Times New Roman"/>
          <w:sz w:val="24"/>
          <w:szCs w:val="24"/>
        </w:rPr>
        <w:t xml:space="preserve">xistência de decreto geral aplicável ao conjunto do Poder Executivo; </w:t>
      </w:r>
      <w:r>
        <w:rPr>
          <w:rFonts w:ascii="Times New Roman" w:hAnsi="Times New Roman" w:cs="Times New Roman"/>
          <w:sz w:val="24"/>
          <w:szCs w:val="24"/>
        </w:rPr>
        <w:t>b</w:t>
      </w:r>
      <w:r w:rsidRPr="00B614BD">
        <w:rPr>
          <w:rFonts w:ascii="Times New Roman" w:hAnsi="Times New Roman" w:cs="Times New Roman"/>
          <w:sz w:val="24"/>
          <w:szCs w:val="24"/>
        </w:rPr>
        <w:t xml:space="preserve">) </w:t>
      </w:r>
      <w:r>
        <w:rPr>
          <w:rFonts w:ascii="Times New Roman" w:hAnsi="Times New Roman" w:cs="Times New Roman"/>
          <w:sz w:val="24"/>
          <w:szCs w:val="24"/>
        </w:rPr>
        <w:t>P</w:t>
      </w:r>
      <w:r w:rsidRPr="00B614BD">
        <w:rPr>
          <w:rFonts w:ascii="Times New Roman" w:hAnsi="Times New Roman" w:cs="Times New Roman"/>
          <w:sz w:val="24"/>
          <w:szCs w:val="24"/>
        </w:rPr>
        <w:t xml:space="preserve">resença de instância de coordenação técnica central; </w:t>
      </w:r>
      <w:r>
        <w:rPr>
          <w:rFonts w:ascii="Times New Roman" w:hAnsi="Times New Roman" w:cs="Times New Roman"/>
          <w:sz w:val="24"/>
          <w:szCs w:val="24"/>
        </w:rPr>
        <w:t>c</w:t>
      </w:r>
      <w:r w:rsidRPr="00B614BD">
        <w:rPr>
          <w:rFonts w:ascii="Times New Roman" w:hAnsi="Times New Roman" w:cs="Times New Roman"/>
          <w:sz w:val="24"/>
          <w:szCs w:val="24"/>
        </w:rPr>
        <w:t xml:space="preserve">) </w:t>
      </w:r>
      <w:r>
        <w:rPr>
          <w:rFonts w:ascii="Times New Roman" w:hAnsi="Times New Roman" w:cs="Times New Roman"/>
          <w:sz w:val="24"/>
          <w:szCs w:val="24"/>
        </w:rPr>
        <w:t>E</w:t>
      </w:r>
      <w:r w:rsidRPr="00B614BD">
        <w:rPr>
          <w:rFonts w:ascii="Times New Roman" w:hAnsi="Times New Roman" w:cs="Times New Roman"/>
          <w:sz w:val="24"/>
          <w:szCs w:val="24"/>
        </w:rPr>
        <w:t xml:space="preserve">vidência de institucionalização setorial em agências reguladoras; e </w:t>
      </w:r>
      <w:r>
        <w:rPr>
          <w:rFonts w:ascii="Times New Roman" w:hAnsi="Times New Roman" w:cs="Times New Roman"/>
          <w:sz w:val="24"/>
          <w:szCs w:val="24"/>
        </w:rPr>
        <w:t>d</w:t>
      </w:r>
      <w:r w:rsidRPr="00B614BD">
        <w:rPr>
          <w:rFonts w:ascii="Times New Roman" w:hAnsi="Times New Roman" w:cs="Times New Roman"/>
          <w:sz w:val="24"/>
          <w:szCs w:val="24"/>
        </w:rPr>
        <w:t xml:space="preserve">) </w:t>
      </w:r>
      <w:r>
        <w:rPr>
          <w:rFonts w:ascii="Times New Roman" w:hAnsi="Times New Roman" w:cs="Times New Roman"/>
          <w:sz w:val="24"/>
          <w:szCs w:val="24"/>
        </w:rPr>
        <w:lastRenderedPageBreak/>
        <w:t>A</w:t>
      </w:r>
      <w:r w:rsidRPr="00B614BD">
        <w:rPr>
          <w:rFonts w:ascii="Times New Roman" w:hAnsi="Times New Roman" w:cs="Times New Roman"/>
          <w:sz w:val="24"/>
          <w:szCs w:val="24"/>
        </w:rPr>
        <w:t>usência de normatização estruturada identificável conforme os descritores metodológicos adotados. A tipologia resultante não configura hierarquização normativa entre entes federativos, mas instrumento analítico para aferir o grau de</w:t>
      </w:r>
      <w:r w:rsidR="00AF6894">
        <w:rPr>
          <w:rFonts w:ascii="Times New Roman" w:hAnsi="Times New Roman" w:cs="Times New Roman"/>
          <w:sz w:val="24"/>
          <w:szCs w:val="24"/>
        </w:rPr>
        <w:t xml:space="preserve"> institucionalização</w:t>
      </w:r>
      <w:r w:rsidRPr="00B614BD">
        <w:rPr>
          <w:rFonts w:ascii="Times New Roman" w:hAnsi="Times New Roman" w:cs="Times New Roman"/>
          <w:sz w:val="24"/>
          <w:szCs w:val="24"/>
        </w:rPr>
        <w:t xml:space="preserve"> transversal.</w:t>
      </w:r>
    </w:p>
    <w:p w14:paraId="67EA6389" w14:textId="77777777" w:rsidR="00B614BD" w:rsidRDefault="00B614BD" w:rsidP="00F46949">
      <w:pPr>
        <w:spacing w:after="0" w:line="360" w:lineRule="auto"/>
        <w:ind w:firstLine="708"/>
        <w:jc w:val="both"/>
        <w:rPr>
          <w:rFonts w:ascii="Times New Roman" w:hAnsi="Times New Roman" w:cs="Times New Roman"/>
          <w:sz w:val="24"/>
          <w:szCs w:val="24"/>
        </w:rPr>
      </w:pPr>
    </w:p>
    <w:p w14:paraId="414DE0AE" w14:textId="5BC04E77" w:rsidR="00B614BD" w:rsidRPr="00B614BD" w:rsidRDefault="00C75C88" w:rsidP="00B614B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B614BD" w:rsidRPr="00B614BD">
        <w:rPr>
          <w:rFonts w:ascii="Times New Roman" w:hAnsi="Times New Roman" w:cs="Times New Roman"/>
          <w:b/>
          <w:bCs/>
          <w:sz w:val="24"/>
          <w:szCs w:val="24"/>
        </w:rPr>
        <w:t>.1 Tipologia agregada de institucionalização</w:t>
      </w:r>
    </w:p>
    <w:p w14:paraId="1CF5C800" w14:textId="77777777" w:rsidR="00B614BD" w:rsidRDefault="00B614BD" w:rsidP="00B614BD">
      <w:pPr>
        <w:spacing w:after="0" w:line="360" w:lineRule="auto"/>
        <w:ind w:firstLine="708"/>
        <w:jc w:val="both"/>
        <w:rPr>
          <w:rFonts w:ascii="Times New Roman" w:hAnsi="Times New Roman" w:cs="Times New Roman"/>
          <w:sz w:val="24"/>
          <w:szCs w:val="24"/>
        </w:rPr>
      </w:pPr>
    </w:p>
    <w:p w14:paraId="63B146E7" w14:textId="59AB58BB"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 xml:space="preserve">O </w:t>
      </w:r>
      <w:r>
        <w:rPr>
          <w:rFonts w:ascii="Times New Roman" w:hAnsi="Times New Roman" w:cs="Times New Roman"/>
          <w:sz w:val="24"/>
          <w:szCs w:val="24"/>
        </w:rPr>
        <w:t>q</w:t>
      </w:r>
      <w:r w:rsidRPr="00B614BD">
        <w:rPr>
          <w:rFonts w:ascii="Times New Roman" w:hAnsi="Times New Roman" w:cs="Times New Roman"/>
          <w:sz w:val="24"/>
          <w:szCs w:val="24"/>
        </w:rPr>
        <w:t xml:space="preserve">uadro 1 sintetiza os padrões identificados, organizando os </w:t>
      </w:r>
      <w:r w:rsidR="00C974D3">
        <w:rPr>
          <w:rFonts w:ascii="Times New Roman" w:hAnsi="Times New Roman" w:cs="Times New Roman"/>
          <w:sz w:val="24"/>
          <w:szCs w:val="24"/>
        </w:rPr>
        <w:t>27 E</w:t>
      </w:r>
      <w:r w:rsidRPr="00B614BD">
        <w:rPr>
          <w:rFonts w:ascii="Times New Roman" w:hAnsi="Times New Roman" w:cs="Times New Roman"/>
          <w:sz w:val="24"/>
          <w:szCs w:val="24"/>
        </w:rPr>
        <w:t xml:space="preserve">stados </w:t>
      </w:r>
      <w:r w:rsidR="00C974D3">
        <w:rPr>
          <w:rFonts w:ascii="Times New Roman" w:hAnsi="Times New Roman" w:cs="Times New Roman"/>
          <w:sz w:val="24"/>
          <w:szCs w:val="24"/>
        </w:rPr>
        <w:t xml:space="preserve">brasileiros </w:t>
      </w:r>
      <w:r w:rsidRPr="00B614BD">
        <w:rPr>
          <w:rFonts w:ascii="Times New Roman" w:hAnsi="Times New Roman" w:cs="Times New Roman"/>
          <w:sz w:val="24"/>
          <w:szCs w:val="24"/>
        </w:rPr>
        <w:t>segundo cinco categorias analíticas</w:t>
      </w:r>
      <w:r w:rsidR="00C974D3">
        <w:rPr>
          <w:rFonts w:ascii="Times New Roman" w:hAnsi="Times New Roman" w:cs="Times New Roman"/>
          <w:sz w:val="24"/>
          <w:szCs w:val="24"/>
        </w:rPr>
        <w:t>, sejam elas</w:t>
      </w:r>
      <w:r w:rsidRPr="00B614BD">
        <w:rPr>
          <w:rFonts w:ascii="Times New Roman" w:hAnsi="Times New Roman" w:cs="Times New Roman"/>
          <w:sz w:val="24"/>
          <w:szCs w:val="24"/>
        </w:rPr>
        <w:t xml:space="preserve">: a) </w:t>
      </w:r>
      <w:proofErr w:type="spellStart"/>
      <w:r>
        <w:rPr>
          <w:rFonts w:ascii="Times New Roman" w:hAnsi="Times New Roman" w:cs="Times New Roman"/>
          <w:sz w:val="24"/>
          <w:szCs w:val="24"/>
        </w:rPr>
        <w:t>T</w:t>
      </w:r>
      <w:r w:rsidRPr="00B614BD">
        <w:rPr>
          <w:rFonts w:ascii="Times New Roman" w:hAnsi="Times New Roman" w:cs="Times New Roman"/>
          <w:sz w:val="24"/>
          <w:szCs w:val="24"/>
        </w:rPr>
        <w:t>ransversalização</w:t>
      </w:r>
      <w:proofErr w:type="spellEnd"/>
      <w:r w:rsidRPr="00B614BD">
        <w:rPr>
          <w:rFonts w:ascii="Times New Roman" w:hAnsi="Times New Roman" w:cs="Times New Roman"/>
          <w:sz w:val="24"/>
          <w:szCs w:val="24"/>
        </w:rPr>
        <w:t xml:space="preserve"> emergente; b) </w:t>
      </w:r>
      <w:r>
        <w:rPr>
          <w:rFonts w:ascii="Times New Roman" w:hAnsi="Times New Roman" w:cs="Times New Roman"/>
          <w:sz w:val="24"/>
          <w:szCs w:val="24"/>
        </w:rPr>
        <w:t>I</w:t>
      </w:r>
      <w:r w:rsidRPr="00B614BD">
        <w:rPr>
          <w:rFonts w:ascii="Times New Roman" w:hAnsi="Times New Roman" w:cs="Times New Roman"/>
          <w:sz w:val="24"/>
          <w:szCs w:val="24"/>
        </w:rPr>
        <w:t xml:space="preserve">nstitucionalização setorial com potencial de expansão; c) </w:t>
      </w:r>
      <w:r>
        <w:rPr>
          <w:rFonts w:ascii="Times New Roman" w:hAnsi="Times New Roman" w:cs="Times New Roman"/>
          <w:sz w:val="24"/>
          <w:szCs w:val="24"/>
        </w:rPr>
        <w:t>I</w:t>
      </w:r>
      <w:r w:rsidRPr="00B614BD">
        <w:rPr>
          <w:rFonts w:ascii="Times New Roman" w:hAnsi="Times New Roman" w:cs="Times New Roman"/>
          <w:sz w:val="24"/>
          <w:szCs w:val="24"/>
        </w:rPr>
        <w:t xml:space="preserve">nstitucionalização predominantemente setorial; d) </w:t>
      </w:r>
      <w:r>
        <w:rPr>
          <w:rFonts w:ascii="Times New Roman" w:hAnsi="Times New Roman" w:cs="Times New Roman"/>
          <w:sz w:val="24"/>
          <w:szCs w:val="24"/>
        </w:rPr>
        <w:t>F</w:t>
      </w:r>
      <w:r w:rsidRPr="00B614BD">
        <w:rPr>
          <w:rFonts w:ascii="Times New Roman" w:hAnsi="Times New Roman" w:cs="Times New Roman"/>
          <w:sz w:val="24"/>
          <w:szCs w:val="24"/>
        </w:rPr>
        <w:t xml:space="preserve">ormalização normativa replicada; e </w:t>
      </w:r>
      <w:proofErr w:type="spellStart"/>
      <w:r w:rsidRPr="00B614BD">
        <w:rPr>
          <w:rFonts w:ascii="Times New Roman" w:hAnsi="Times New Roman" w:cs="Times New Roman"/>
          <w:sz w:val="24"/>
          <w:szCs w:val="24"/>
        </w:rPr>
        <w:t>e</w:t>
      </w:r>
      <w:proofErr w:type="spellEnd"/>
      <w:r w:rsidRPr="00B614BD">
        <w:rPr>
          <w:rFonts w:ascii="Times New Roman" w:hAnsi="Times New Roman" w:cs="Times New Roman"/>
          <w:sz w:val="24"/>
          <w:szCs w:val="24"/>
        </w:rPr>
        <w:t xml:space="preserve">) </w:t>
      </w:r>
      <w:r>
        <w:rPr>
          <w:rFonts w:ascii="Times New Roman" w:hAnsi="Times New Roman" w:cs="Times New Roman"/>
          <w:sz w:val="24"/>
          <w:szCs w:val="24"/>
        </w:rPr>
        <w:t>A</w:t>
      </w:r>
      <w:r w:rsidRPr="00B614BD">
        <w:rPr>
          <w:rFonts w:ascii="Times New Roman" w:hAnsi="Times New Roman" w:cs="Times New Roman"/>
          <w:sz w:val="24"/>
          <w:szCs w:val="24"/>
        </w:rPr>
        <w:t>usência de normatização estruturada identificável.</w:t>
      </w:r>
    </w:p>
    <w:p w14:paraId="0663307C" w14:textId="77777777" w:rsidR="00B614BD" w:rsidRPr="00B614BD" w:rsidRDefault="00B614BD" w:rsidP="00B614BD">
      <w:pPr>
        <w:spacing w:after="0" w:line="360" w:lineRule="auto"/>
        <w:ind w:firstLine="708"/>
        <w:jc w:val="both"/>
        <w:rPr>
          <w:rFonts w:ascii="Times New Roman" w:hAnsi="Times New Roman" w:cs="Times New Roman"/>
          <w:sz w:val="24"/>
          <w:szCs w:val="24"/>
        </w:rPr>
      </w:pPr>
    </w:p>
    <w:p w14:paraId="10701344" w14:textId="77777777" w:rsidR="00B614BD" w:rsidRPr="00251370" w:rsidRDefault="00B614BD" w:rsidP="00B614BD">
      <w:pPr>
        <w:spacing w:after="0" w:line="240" w:lineRule="auto"/>
        <w:ind w:firstLine="709"/>
        <w:jc w:val="both"/>
        <w:rPr>
          <w:rFonts w:ascii="Times New Roman" w:hAnsi="Times New Roman" w:cs="Times New Roman"/>
          <w:sz w:val="20"/>
          <w:szCs w:val="20"/>
        </w:rPr>
      </w:pPr>
      <w:r w:rsidRPr="00251370">
        <w:rPr>
          <w:rFonts w:ascii="Times New Roman" w:hAnsi="Times New Roman" w:cs="Times New Roman"/>
          <w:b/>
          <w:bCs/>
          <w:sz w:val="20"/>
          <w:szCs w:val="20"/>
        </w:rPr>
        <w:t>Quadro 1:</w:t>
      </w:r>
      <w:r w:rsidRPr="00251370">
        <w:rPr>
          <w:sz w:val="20"/>
          <w:szCs w:val="20"/>
        </w:rPr>
        <w:t xml:space="preserve"> </w:t>
      </w:r>
      <w:r w:rsidRPr="00251370">
        <w:rPr>
          <w:rFonts w:ascii="Times New Roman" w:hAnsi="Times New Roman" w:cs="Times New Roman"/>
          <w:sz w:val="20"/>
          <w:szCs w:val="20"/>
        </w:rPr>
        <w:t>Níveis de Institucionalização da AIR nos Executivos Estaduais (2020–2025)</w:t>
      </w:r>
    </w:p>
    <w:p w14:paraId="369FD0CD" w14:textId="77777777" w:rsidR="00B614BD" w:rsidRPr="00251370" w:rsidRDefault="00B614BD" w:rsidP="00B614BD">
      <w:pPr>
        <w:spacing w:after="0" w:line="240" w:lineRule="auto"/>
        <w:ind w:firstLine="709"/>
        <w:jc w:val="both"/>
        <w:rPr>
          <w:rFonts w:ascii="Times New Roman" w:hAnsi="Times New Roman" w:cs="Times New Roman"/>
          <w:sz w:val="20"/>
          <w:szCs w:val="20"/>
        </w:rPr>
      </w:pPr>
    </w:p>
    <w:tbl>
      <w:tblPr>
        <w:tblStyle w:val="TabeladeGrade6Colorida-nfase4"/>
        <w:tblW w:w="0" w:type="auto"/>
        <w:tblLook w:val="04A0" w:firstRow="1" w:lastRow="0" w:firstColumn="1" w:lastColumn="0" w:noHBand="0" w:noVBand="1"/>
      </w:tblPr>
      <w:tblGrid>
        <w:gridCol w:w="2861"/>
        <w:gridCol w:w="4604"/>
        <w:gridCol w:w="1596"/>
      </w:tblGrid>
      <w:tr w:rsidR="00B614BD" w:rsidRPr="00251370" w14:paraId="4167CA01" w14:textId="77777777" w:rsidTr="00F96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1A0BAF" w14:textId="77777777" w:rsidR="00B614BD" w:rsidRPr="00251370" w:rsidRDefault="00B614BD" w:rsidP="00F96C12">
            <w:pPr>
              <w:ind w:firstLine="709"/>
              <w:jc w:val="center"/>
              <w:rPr>
                <w:rFonts w:ascii="Times New Roman" w:hAnsi="Times New Roman" w:cs="Times New Roman"/>
                <w:color w:val="auto"/>
                <w:sz w:val="20"/>
                <w:szCs w:val="20"/>
              </w:rPr>
            </w:pPr>
            <w:r w:rsidRPr="00251370">
              <w:rPr>
                <w:rFonts w:ascii="Times New Roman" w:hAnsi="Times New Roman" w:cs="Times New Roman"/>
                <w:color w:val="auto"/>
                <w:sz w:val="20"/>
                <w:szCs w:val="20"/>
              </w:rPr>
              <w:t>Categoria Analítica</w:t>
            </w:r>
          </w:p>
        </w:tc>
        <w:tc>
          <w:tcPr>
            <w:tcW w:w="0" w:type="auto"/>
            <w:hideMark/>
          </w:tcPr>
          <w:p w14:paraId="7E3F0FCA" w14:textId="77777777" w:rsidR="00B614BD" w:rsidRPr="00251370" w:rsidRDefault="00B614BD" w:rsidP="00F96C12">
            <w:pPr>
              <w:ind w:firstLine="7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Características Institucionais</w:t>
            </w:r>
          </w:p>
        </w:tc>
        <w:tc>
          <w:tcPr>
            <w:tcW w:w="0" w:type="auto"/>
            <w:hideMark/>
          </w:tcPr>
          <w:p w14:paraId="544DA2B5" w14:textId="77777777" w:rsidR="00B614BD" w:rsidRPr="00251370" w:rsidRDefault="00B614BD" w:rsidP="00F96C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Quantidade de Estados</w:t>
            </w:r>
          </w:p>
        </w:tc>
      </w:tr>
      <w:tr w:rsidR="00B614BD" w:rsidRPr="00251370" w14:paraId="7ACE868F"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BD5072" w14:textId="77777777" w:rsidR="00B614BD" w:rsidRPr="00251370" w:rsidRDefault="00B614BD" w:rsidP="00F96C12">
            <w:pPr>
              <w:jc w:val="center"/>
              <w:rPr>
                <w:rFonts w:ascii="Times New Roman" w:hAnsi="Times New Roman" w:cs="Times New Roman"/>
                <w:b w:val="0"/>
                <w:bCs w:val="0"/>
                <w:color w:val="auto"/>
                <w:sz w:val="20"/>
                <w:szCs w:val="20"/>
              </w:rPr>
            </w:pPr>
            <w:proofErr w:type="spellStart"/>
            <w:r w:rsidRPr="00251370">
              <w:rPr>
                <w:rFonts w:ascii="Times New Roman" w:hAnsi="Times New Roman" w:cs="Times New Roman"/>
                <w:b w:val="0"/>
                <w:bCs w:val="0"/>
                <w:color w:val="auto"/>
                <w:sz w:val="20"/>
                <w:szCs w:val="20"/>
              </w:rPr>
              <w:t>Transversalização</w:t>
            </w:r>
            <w:proofErr w:type="spellEnd"/>
            <w:r w:rsidRPr="00251370">
              <w:rPr>
                <w:rFonts w:ascii="Times New Roman" w:hAnsi="Times New Roman" w:cs="Times New Roman"/>
                <w:b w:val="0"/>
                <w:bCs w:val="0"/>
                <w:color w:val="auto"/>
                <w:sz w:val="20"/>
                <w:szCs w:val="20"/>
              </w:rPr>
              <w:t xml:space="preserve"> emergente</w:t>
            </w:r>
          </w:p>
        </w:tc>
        <w:tc>
          <w:tcPr>
            <w:tcW w:w="0" w:type="auto"/>
            <w:hideMark/>
          </w:tcPr>
          <w:p w14:paraId="0AC3F537" w14:textId="77777777" w:rsidR="00B614BD" w:rsidRPr="00251370"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Decreto geral aplicável ao Executivo e indícios de coordenação central</w:t>
            </w:r>
          </w:p>
        </w:tc>
        <w:tc>
          <w:tcPr>
            <w:tcW w:w="0" w:type="auto"/>
            <w:hideMark/>
          </w:tcPr>
          <w:p w14:paraId="1AA3039E" w14:textId="77777777" w:rsidR="00B614BD" w:rsidRPr="00251370"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1</w:t>
            </w:r>
          </w:p>
        </w:tc>
      </w:tr>
      <w:tr w:rsidR="00B614BD" w:rsidRPr="00251370" w14:paraId="50D104D4" w14:textId="77777777" w:rsidTr="00F96C12">
        <w:tc>
          <w:tcPr>
            <w:cnfStyle w:val="001000000000" w:firstRow="0" w:lastRow="0" w:firstColumn="1" w:lastColumn="0" w:oddVBand="0" w:evenVBand="0" w:oddHBand="0" w:evenHBand="0" w:firstRowFirstColumn="0" w:firstRowLastColumn="0" w:lastRowFirstColumn="0" w:lastRowLastColumn="0"/>
            <w:tcW w:w="0" w:type="auto"/>
            <w:hideMark/>
          </w:tcPr>
          <w:p w14:paraId="600D04B3" w14:textId="77777777" w:rsidR="00B614BD" w:rsidRPr="00251370" w:rsidRDefault="00B614BD" w:rsidP="00F96C12">
            <w:pPr>
              <w:jc w:val="center"/>
              <w:rPr>
                <w:rFonts w:ascii="Times New Roman" w:hAnsi="Times New Roman" w:cs="Times New Roman"/>
                <w:b w:val="0"/>
                <w:bCs w:val="0"/>
                <w:color w:val="auto"/>
                <w:sz w:val="20"/>
                <w:szCs w:val="20"/>
              </w:rPr>
            </w:pPr>
            <w:r w:rsidRPr="00251370">
              <w:rPr>
                <w:rFonts w:ascii="Times New Roman" w:hAnsi="Times New Roman" w:cs="Times New Roman"/>
                <w:b w:val="0"/>
                <w:bCs w:val="0"/>
                <w:color w:val="auto"/>
                <w:sz w:val="20"/>
                <w:szCs w:val="20"/>
              </w:rPr>
              <w:t>Institucionalização setorial com potencial de expansão</w:t>
            </w:r>
          </w:p>
        </w:tc>
        <w:tc>
          <w:tcPr>
            <w:tcW w:w="0" w:type="auto"/>
            <w:hideMark/>
          </w:tcPr>
          <w:p w14:paraId="6E7A1E77" w14:textId="77777777" w:rsidR="00B614BD" w:rsidRPr="00251370"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Previsão legal ampliável ou aplicação estruturada em agência com coordenação parcial</w:t>
            </w:r>
          </w:p>
        </w:tc>
        <w:tc>
          <w:tcPr>
            <w:tcW w:w="0" w:type="auto"/>
            <w:hideMark/>
          </w:tcPr>
          <w:p w14:paraId="5DEFBA75" w14:textId="77777777" w:rsidR="00B614BD" w:rsidRPr="00251370"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1</w:t>
            </w:r>
          </w:p>
        </w:tc>
      </w:tr>
      <w:tr w:rsidR="00B614BD" w:rsidRPr="00251370" w14:paraId="56772797"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B3092F" w14:textId="77777777" w:rsidR="00B614BD" w:rsidRPr="00251370" w:rsidRDefault="00B614BD" w:rsidP="00F96C12">
            <w:pPr>
              <w:jc w:val="center"/>
              <w:rPr>
                <w:rFonts w:ascii="Times New Roman" w:hAnsi="Times New Roman" w:cs="Times New Roman"/>
                <w:b w:val="0"/>
                <w:bCs w:val="0"/>
                <w:color w:val="auto"/>
                <w:sz w:val="20"/>
                <w:szCs w:val="20"/>
              </w:rPr>
            </w:pPr>
            <w:r w:rsidRPr="00251370">
              <w:rPr>
                <w:rFonts w:ascii="Times New Roman" w:hAnsi="Times New Roman" w:cs="Times New Roman"/>
                <w:b w:val="0"/>
                <w:bCs w:val="0"/>
                <w:color w:val="auto"/>
                <w:sz w:val="20"/>
                <w:szCs w:val="20"/>
              </w:rPr>
              <w:t>Institucionalização predominantemente setorial</w:t>
            </w:r>
          </w:p>
        </w:tc>
        <w:tc>
          <w:tcPr>
            <w:tcW w:w="0" w:type="auto"/>
            <w:hideMark/>
          </w:tcPr>
          <w:p w14:paraId="58745DEA" w14:textId="77777777" w:rsidR="00B614BD" w:rsidRPr="00251370"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AIR restrita a agências reguladoras, sem decreto geral nem coordenação central</w:t>
            </w:r>
          </w:p>
        </w:tc>
        <w:tc>
          <w:tcPr>
            <w:tcW w:w="0" w:type="auto"/>
            <w:hideMark/>
          </w:tcPr>
          <w:p w14:paraId="0343AE02" w14:textId="1EE95453" w:rsidR="00B614BD" w:rsidRPr="00251370" w:rsidRDefault="00094966"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8</w:t>
            </w:r>
          </w:p>
        </w:tc>
      </w:tr>
      <w:tr w:rsidR="00B614BD" w:rsidRPr="00251370" w14:paraId="20E36AA2" w14:textId="77777777" w:rsidTr="00F96C12">
        <w:tc>
          <w:tcPr>
            <w:cnfStyle w:val="001000000000" w:firstRow="0" w:lastRow="0" w:firstColumn="1" w:lastColumn="0" w:oddVBand="0" w:evenVBand="0" w:oddHBand="0" w:evenHBand="0" w:firstRowFirstColumn="0" w:firstRowLastColumn="0" w:lastRowFirstColumn="0" w:lastRowLastColumn="0"/>
            <w:tcW w:w="0" w:type="auto"/>
            <w:hideMark/>
          </w:tcPr>
          <w:p w14:paraId="3436B3C9" w14:textId="77777777" w:rsidR="00B614BD" w:rsidRPr="00251370" w:rsidRDefault="00B614BD" w:rsidP="00F96C12">
            <w:pPr>
              <w:jc w:val="center"/>
              <w:rPr>
                <w:rFonts w:ascii="Times New Roman" w:hAnsi="Times New Roman" w:cs="Times New Roman"/>
                <w:b w:val="0"/>
                <w:bCs w:val="0"/>
                <w:color w:val="auto"/>
                <w:sz w:val="20"/>
                <w:szCs w:val="20"/>
              </w:rPr>
            </w:pPr>
            <w:r w:rsidRPr="00251370">
              <w:rPr>
                <w:rFonts w:ascii="Times New Roman" w:hAnsi="Times New Roman" w:cs="Times New Roman"/>
                <w:b w:val="0"/>
                <w:bCs w:val="0"/>
                <w:color w:val="auto"/>
                <w:sz w:val="20"/>
                <w:szCs w:val="20"/>
              </w:rPr>
              <w:t>Formalização normativa replicada</w:t>
            </w:r>
          </w:p>
        </w:tc>
        <w:tc>
          <w:tcPr>
            <w:tcW w:w="0" w:type="auto"/>
            <w:hideMark/>
          </w:tcPr>
          <w:p w14:paraId="319BEE07" w14:textId="77777777" w:rsidR="00B614BD" w:rsidRPr="00251370"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Menções normativas inspiradas no modelo federal, sem institucionalização organizacional identificável</w:t>
            </w:r>
          </w:p>
        </w:tc>
        <w:tc>
          <w:tcPr>
            <w:tcW w:w="0" w:type="auto"/>
            <w:hideMark/>
          </w:tcPr>
          <w:p w14:paraId="46074B60" w14:textId="4AB00761" w:rsidR="00B614BD" w:rsidRPr="00251370" w:rsidRDefault="00094966"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6</w:t>
            </w:r>
          </w:p>
        </w:tc>
      </w:tr>
      <w:tr w:rsidR="00B614BD" w:rsidRPr="00251370" w14:paraId="13F31FF9"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7E8AA3" w14:textId="77777777" w:rsidR="00B614BD" w:rsidRPr="00251370" w:rsidRDefault="00B614BD" w:rsidP="00F96C12">
            <w:pPr>
              <w:jc w:val="center"/>
              <w:rPr>
                <w:rFonts w:ascii="Times New Roman" w:hAnsi="Times New Roman" w:cs="Times New Roman"/>
                <w:b w:val="0"/>
                <w:bCs w:val="0"/>
                <w:color w:val="auto"/>
                <w:sz w:val="20"/>
                <w:szCs w:val="20"/>
              </w:rPr>
            </w:pPr>
            <w:r w:rsidRPr="00251370">
              <w:rPr>
                <w:rFonts w:ascii="Times New Roman" w:hAnsi="Times New Roman" w:cs="Times New Roman"/>
                <w:b w:val="0"/>
                <w:bCs w:val="0"/>
                <w:color w:val="auto"/>
                <w:sz w:val="20"/>
                <w:szCs w:val="20"/>
              </w:rPr>
              <w:t>Ausência de normatização estruturada identificável</w:t>
            </w:r>
          </w:p>
        </w:tc>
        <w:tc>
          <w:tcPr>
            <w:tcW w:w="0" w:type="auto"/>
            <w:hideMark/>
          </w:tcPr>
          <w:p w14:paraId="44997B7C" w14:textId="77777777" w:rsidR="00B614BD" w:rsidRPr="00251370"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251370">
              <w:rPr>
                <w:rFonts w:ascii="Times New Roman" w:hAnsi="Times New Roman" w:cs="Times New Roman"/>
                <w:color w:val="auto"/>
                <w:sz w:val="20"/>
                <w:szCs w:val="20"/>
              </w:rPr>
              <w:t>Nenhuma evidência documental pública conforme critérios metodológicos</w:t>
            </w:r>
          </w:p>
        </w:tc>
        <w:tc>
          <w:tcPr>
            <w:tcW w:w="0" w:type="auto"/>
            <w:hideMark/>
          </w:tcPr>
          <w:p w14:paraId="4F232FF1" w14:textId="65B8392E" w:rsidR="00B614BD" w:rsidRPr="00251370" w:rsidRDefault="00560649"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11</w:t>
            </w:r>
          </w:p>
        </w:tc>
      </w:tr>
      <w:tr w:rsidR="00C974D3" w:rsidRPr="00251370" w14:paraId="29912128" w14:textId="77777777" w:rsidTr="00B1426B">
        <w:tc>
          <w:tcPr>
            <w:cnfStyle w:val="001000000000" w:firstRow="0" w:lastRow="0" w:firstColumn="1" w:lastColumn="0" w:oddVBand="0" w:evenVBand="0" w:oddHBand="0" w:evenHBand="0" w:firstRowFirstColumn="0" w:firstRowLastColumn="0" w:lastRowFirstColumn="0" w:lastRowLastColumn="0"/>
            <w:tcW w:w="0" w:type="auto"/>
            <w:gridSpan w:val="2"/>
          </w:tcPr>
          <w:p w14:paraId="3DCEEE84" w14:textId="6864574F" w:rsidR="00C974D3" w:rsidRPr="00C974D3" w:rsidRDefault="00C974D3" w:rsidP="00F96C12">
            <w:pPr>
              <w:jc w:val="center"/>
              <w:rPr>
                <w:rFonts w:ascii="Times New Roman" w:hAnsi="Times New Roman" w:cs="Times New Roman"/>
                <w:color w:val="auto"/>
                <w:sz w:val="20"/>
                <w:szCs w:val="20"/>
              </w:rPr>
            </w:pPr>
            <w:r w:rsidRPr="00C974D3">
              <w:rPr>
                <w:rFonts w:ascii="Times New Roman" w:hAnsi="Times New Roman" w:cs="Times New Roman"/>
                <w:color w:val="auto"/>
                <w:sz w:val="20"/>
                <w:szCs w:val="20"/>
              </w:rPr>
              <w:t>Total</w:t>
            </w:r>
          </w:p>
        </w:tc>
        <w:tc>
          <w:tcPr>
            <w:tcW w:w="0" w:type="auto"/>
          </w:tcPr>
          <w:p w14:paraId="46A10031" w14:textId="11DDB791" w:rsidR="00C974D3" w:rsidRPr="00C974D3" w:rsidRDefault="00C974D3"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rPr>
            </w:pPr>
            <w:r w:rsidRPr="00C974D3">
              <w:rPr>
                <w:rFonts w:ascii="Times New Roman" w:hAnsi="Times New Roman" w:cs="Times New Roman"/>
                <w:b/>
                <w:bCs/>
                <w:color w:val="auto"/>
                <w:sz w:val="20"/>
                <w:szCs w:val="20"/>
              </w:rPr>
              <w:t>27</w:t>
            </w:r>
          </w:p>
        </w:tc>
      </w:tr>
    </w:tbl>
    <w:p w14:paraId="711E4AC0" w14:textId="77777777" w:rsidR="00B614BD" w:rsidRPr="009E1058" w:rsidRDefault="00B614BD" w:rsidP="00B614BD">
      <w:pPr>
        <w:spacing w:after="0" w:line="240" w:lineRule="auto"/>
        <w:jc w:val="both"/>
        <w:rPr>
          <w:rFonts w:ascii="Times New Roman" w:hAnsi="Times New Roman" w:cs="Times New Roman"/>
          <w:sz w:val="20"/>
          <w:szCs w:val="20"/>
        </w:rPr>
      </w:pPr>
    </w:p>
    <w:p w14:paraId="3226A9E7" w14:textId="77777777" w:rsidR="00B614BD" w:rsidRPr="009E1058" w:rsidRDefault="00B614BD" w:rsidP="00B614BD">
      <w:pPr>
        <w:spacing w:after="0" w:line="240" w:lineRule="auto"/>
        <w:jc w:val="both"/>
        <w:rPr>
          <w:rFonts w:ascii="Times New Roman" w:hAnsi="Times New Roman" w:cs="Times New Roman"/>
          <w:sz w:val="20"/>
          <w:szCs w:val="20"/>
        </w:rPr>
      </w:pPr>
      <w:r w:rsidRPr="009E1058">
        <w:rPr>
          <w:rFonts w:ascii="Times New Roman" w:hAnsi="Times New Roman" w:cs="Times New Roman"/>
          <w:sz w:val="20"/>
          <w:szCs w:val="20"/>
        </w:rPr>
        <w:t>Fonte: elaboração própria a partir de análise documental (2020–2025).</w:t>
      </w:r>
    </w:p>
    <w:p w14:paraId="4540A720" w14:textId="77777777" w:rsidR="00B614BD" w:rsidRDefault="00B614BD" w:rsidP="00B614BD">
      <w:pPr>
        <w:spacing w:after="0" w:line="360" w:lineRule="auto"/>
        <w:jc w:val="both"/>
        <w:rPr>
          <w:rFonts w:ascii="Times New Roman" w:hAnsi="Times New Roman" w:cs="Times New Roman"/>
          <w:sz w:val="24"/>
          <w:szCs w:val="24"/>
        </w:rPr>
      </w:pPr>
    </w:p>
    <w:p w14:paraId="6C98A603" w14:textId="77777777"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A categoria “</w:t>
      </w:r>
      <w:proofErr w:type="spellStart"/>
      <w:r w:rsidRPr="00B614BD">
        <w:rPr>
          <w:rFonts w:ascii="Times New Roman" w:hAnsi="Times New Roman" w:cs="Times New Roman"/>
          <w:sz w:val="24"/>
          <w:szCs w:val="24"/>
        </w:rPr>
        <w:t>transversalização</w:t>
      </w:r>
      <w:proofErr w:type="spellEnd"/>
      <w:r w:rsidRPr="00B614BD">
        <w:rPr>
          <w:rFonts w:ascii="Times New Roman" w:hAnsi="Times New Roman" w:cs="Times New Roman"/>
          <w:sz w:val="24"/>
          <w:szCs w:val="24"/>
        </w:rPr>
        <w:t xml:space="preserve"> emergente” corresponde aos casos em que se identificou decreto geral aplicável ao Executivo e indícios de coordenação organizacional, sinalizando início de internalização da AIR como infraestrutura decisória. A “institucionalização setorial com potencial de expansão” refere-se a estados que possuem previsão legal ampliável ou aplicação estruturada em agência reguladora, ainda que sem coordenação transversal consolidada.</w:t>
      </w:r>
    </w:p>
    <w:p w14:paraId="148C2DE3" w14:textId="77777777"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Já a “institucionalização predominantemente setorial” caracteriza-se pela restrição da AIR a agências reguladoras específicas, sem decreto geral nem estrutura central de coordenação. Nessas hipóteses, o instrumento integra o ciclo regulatório setorial, mas não opera como requisito procedimental do Executivo estadual como um todo.</w:t>
      </w:r>
    </w:p>
    <w:p w14:paraId="1E420150" w14:textId="77777777"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lastRenderedPageBreak/>
        <w:t>A categoria “formalização normativa replicada” distingue-se das anteriores por apresentar menções expressas à AIR, geralmente inspiradas na legislação federal ou inseridas em leis estaduais de liberdade econômica, sem que se identifique decreto geral, estrutura organizacional ou rotinização procedimental correspondente. Trata-se de incorporação normativa formal, mas ainda desvinculada de institucionalização administrativa estruturada.</w:t>
      </w:r>
    </w:p>
    <w:p w14:paraId="7E735E80" w14:textId="73C201A0" w:rsidR="00DE2AC6" w:rsidRDefault="00DE2AC6" w:rsidP="00B614BD">
      <w:pPr>
        <w:spacing w:after="0" w:line="360" w:lineRule="auto"/>
        <w:ind w:firstLine="708"/>
        <w:jc w:val="both"/>
        <w:rPr>
          <w:rFonts w:ascii="Times New Roman" w:hAnsi="Times New Roman" w:cs="Times New Roman"/>
          <w:sz w:val="24"/>
          <w:szCs w:val="24"/>
        </w:rPr>
      </w:pPr>
      <w:r w:rsidRPr="00DE2AC6">
        <w:rPr>
          <w:rFonts w:ascii="Times New Roman" w:hAnsi="Times New Roman" w:cs="Times New Roman"/>
          <w:sz w:val="24"/>
          <w:szCs w:val="24"/>
        </w:rPr>
        <w:t>A categoria “formalização normativa replicada” não implica irrelevância institucional do instrumento, mas indica adesão predominantemente discursiva à agenda regulatória, sem que se identifique correspondente estrutura organizacional ou rotinização procedimental. Trata-se de incorporação normativa inspirada no modelo federal, ainda desacompanhada de arranjos administrativos capazes de conferir caráter transversal à AIR.</w:t>
      </w:r>
    </w:p>
    <w:p w14:paraId="4E8282D9" w14:textId="1B26100A"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Por fim, a categoria “ausência de normatização estruturada identificável” abrange estados nos quais não foram localizadas, nos repositórios oficiais consultados, previsões normativas explícitas relativas à AIR no período analisado. Essa classificação não implica inexistência absoluta de práticas administrativas eventuais, mas indica ausência de institucionalização formal documentada.</w:t>
      </w:r>
    </w:p>
    <w:p w14:paraId="782E865E" w14:textId="79EC4190" w:rsidR="00D079DB" w:rsidRPr="00B614BD" w:rsidRDefault="00D079DB" w:rsidP="00B614BD">
      <w:pPr>
        <w:spacing w:after="0" w:line="360" w:lineRule="auto"/>
        <w:ind w:firstLine="708"/>
        <w:jc w:val="both"/>
        <w:rPr>
          <w:rFonts w:ascii="Times New Roman" w:hAnsi="Times New Roman" w:cs="Times New Roman"/>
          <w:sz w:val="24"/>
          <w:szCs w:val="24"/>
        </w:rPr>
      </w:pPr>
      <w:r w:rsidRPr="00D079DB">
        <w:rPr>
          <w:rFonts w:ascii="Times New Roman" w:hAnsi="Times New Roman" w:cs="Times New Roman"/>
          <w:sz w:val="24"/>
          <w:szCs w:val="24"/>
        </w:rPr>
        <w:t>A distinção entre “formalização normativa replicada” e “ausência de normatização estruturada identificável” reside no fato de que, na primeira, há menção expressa à AIR ou à agenda de melhoria regulatória, ainda que sem institucionalização organizacional correspondente; na segunda, não se identificou qualquer referência normativa explícita ao instrumento no período analisado.</w:t>
      </w:r>
    </w:p>
    <w:p w14:paraId="3E8039A2" w14:textId="21A4319A" w:rsidR="00B614BD" w:rsidRPr="006900E5" w:rsidRDefault="00B614BD" w:rsidP="00B614BD">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A distribuição observada no quadro 1 evidencia que a institucionalização da AIR como política transversal do Executivo estadual ainda constitui fenômeno incipiente no federalismo brasileiro. A predominância de classificações associadas à </w:t>
      </w:r>
      <w:r w:rsidR="00581549">
        <w:rPr>
          <w:rFonts w:ascii="Times New Roman" w:hAnsi="Times New Roman" w:cs="Times New Roman"/>
          <w:sz w:val="24"/>
          <w:szCs w:val="24"/>
        </w:rPr>
        <w:t>a</w:t>
      </w:r>
      <w:r w:rsidR="00500A4F" w:rsidRPr="00500A4F">
        <w:rPr>
          <w:rFonts w:ascii="Times New Roman" w:hAnsi="Times New Roman" w:cs="Times New Roman"/>
          <w:sz w:val="24"/>
          <w:szCs w:val="24"/>
        </w:rPr>
        <w:t>usência de normatização estruturada identificável</w:t>
      </w:r>
      <w:r w:rsidR="00500A4F">
        <w:rPr>
          <w:rFonts w:ascii="Times New Roman" w:hAnsi="Times New Roman" w:cs="Times New Roman"/>
          <w:sz w:val="24"/>
          <w:szCs w:val="24"/>
        </w:rPr>
        <w:t xml:space="preserve">, à </w:t>
      </w:r>
      <w:r w:rsidRPr="006900E5">
        <w:rPr>
          <w:rFonts w:ascii="Times New Roman" w:hAnsi="Times New Roman" w:cs="Times New Roman"/>
          <w:sz w:val="24"/>
          <w:szCs w:val="24"/>
        </w:rPr>
        <w:t>institucionalização setorial e à formalização normativa replicada confirma que o instrumento permanece, em grande parte, inexistente ou circunscrito a agências reguladoras específicas, sem integração sistêmica ao fluxo normativo do Executivo como um todo.</w:t>
      </w:r>
    </w:p>
    <w:p w14:paraId="582FD53D" w14:textId="77777777" w:rsidR="00B614BD" w:rsidRPr="006900E5" w:rsidRDefault="00B614BD" w:rsidP="00B614BD">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No primeiro grupo, denominado </w:t>
      </w:r>
      <w:proofErr w:type="spellStart"/>
      <w:r w:rsidRPr="006900E5">
        <w:rPr>
          <w:rFonts w:ascii="Times New Roman" w:hAnsi="Times New Roman" w:cs="Times New Roman"/>
          <w:sz w:val="24"/>
          <w:szCs w:val="24"/>
        </w:rPr>
        <w:t>transversalização</w:t>
      </w:r>
      <w:proofErr w:type="spellEnd"/>
      <w:r w:rsidRPr="006900E5">
        <w:rPr>
          <w:rFonts w:ascii="Times New Roman" w:hAnsi="Times New Roman" w:cs="Times New Roman"/>
          <w:sz w:val="24"/>
          <w:szCs w:val="24"/>
        </w:rPr>
        <w:t xml:space="preserve"> emergente, situa-se apenas Minas Gerais. O estado apresenta decreto geral aplicável ao Executivo, evidências de coordenação central e previsão de AIR também nas agências reguladoras. Ainda que não se trate de um modelo plenamente consolidado, observa-se a transição de uma institucionalização meramente formal para uma tentativa de integração sistêmica da AIR como instrumento de governança regulatória (Governo do Estado de Minas Gerais, 2021; 2024; 2026).</w:t>
      </w:r>
    </w:p>
    <w:p w14:paraId="3E1479C0" w14:textId="77777777" w:rsidR="00B614BD" w:rsidRPr="006900E5" w:rsidRDefault="00B614BD" w:rsidP="00B614BD">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No segundo grupo, caracterizado como institucionalização setorial com potencial de expansão, encontra-se Goiás. Há previsão legal relevante e indícios de ampliação do alcance da </w:t>
      </w:r>
      <w:r w:rsidRPr="006900E5">
        <w:rPr>
          <w:rFonts w:ascii="Times New Roman" w:hAnsi="Times New Roman" w:cs="Times New Roman"/>
          <w:sz w:val="24"/>
          <w:szCs w:val="24"/>
        </w:rPr>
        <w:lastRenderedPageBreak/>
        <w:t>AIR, mas a coordenação executiva ainda não se mostra plenamente estruturada. O modelo revela uma institucionalização em movimento, cuja consolidação depende da formalização de mecanismos transversais de coordenação e monitoramento (Governo do Estado de Goiás, 2024a; 2024b).</w:t>
      </w:r>
    </w:p>
    <w:p w14:paraId="328F8681" w14:textId="31F2205B" w:rsidR="00B614BD" w:rsidRPr="006900E5" w:rsidRDefault="00B614BD" w:rsidP="00500A4F">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O terceiro grupo corresponde à institucionalização predominantemente setorial, na qual a AIR se concentra nas agências reguladoras, sem evidências de decreto geral aplicável ao Executivo ou de instância central de coordenação. Nesses casos, como </w:t>
      </w:r>
      <w:r w:rsidR="00500A4F">
        <w:rPr>
          <w:rFonts w:ascii="Times New Roman" w:hAnsi="Times New Roman" w:cs="Times New Roman"/>
          <w:sz w:val="24"/>
          <w:szCs w:val="24"/>
        </w:rPr>
        <w:t>no Amapá, Distrito Federal, Espírito Santo, Mato Grosso,</w:t>
      </w:r>
      <w:r w:rsidRPr="006900E5">
        <w:rPr>
          <w:rFonts w:ascii="Times New Roman" w:hAnsi="Times New Roman" w:cs="Times New Roman"/>
          <w:sz w:val="24"/>
          <w:szCs w:val="24"/>
        </w:rPr>
        <w:t xml:space="preserve"> Paraná</w:t>
      </w:r>
      <w:r w:rsidR="00500A4F">
        <w:rPr>
          <w:rFonts w:ascii="Times New Roman" w:hAnsi="Times New Roman" w:cs="Times New Roman"/>
          <w:sz w:val="24"/>
          <w:szCs w:val="24"/>
        </w:rPr>
        <w:t xml:space="preserve">, </w:t>
      </w:r>
      <w:r w:rsidR="00500A4F" w:rsidRPr="006900E5">
        <w:rPr>
          <w:rFonts w:ascii="Times New Roman" w:hAnsi="Times New Roman" w:cs="Times New Roman"/>
          <w:sz w:val="24"/>
          <w:szCs w:val="24"/>
        </w:rPr>
        <w:t>São Paulo</w:t>
      </w:r>
      <w:r w:rsidR="00500A4F">
        <w:rPr>
          <w:rFonts w:ascii="Times New Roman" w:hAnsi="Times New Roman" w:cs="Times New Roman"/>
          <w:sz w:val="24"/>
          <w:szCs w:val="24"/>
        </w:rPr>
        <w:t xml:space="preserve">, Sergipe </w:t>
      </w:r>
      <w:r w:rsidRPr="006900E5">
        <w:rPr>
          <w:rFonts w:ascii="Times New Roman" w:hAnsi="Times New Roman" w:cs="Times New Roman"/>
          <w:sz w:val="24"/>
          <w:szCs w:val="24"/>
        </w:rPr>
        <w:t>e Rio Grande do Sul, a difusão do instrumento ocorre de forma setorial, impulsionada pela dinâmica regulatória específica das agências, mas sem conversão em política pública transversal (</w:t>
      </w:r>
      <w:r w:rsidR="00500A4F" w:rsidRPr="006900E5">
        <w:rPr>
          <w:rFonts w:ascii="Times New Roman" w:hAnsi="Times New Roman" w:cs="Times New Roman"/>
          <w:sz w:val="24"/>
          <w:szCs w:val="24"/>
        </w:rPr>
        <w:t>Governo do Estado do Amapá, 2023</w:t>
      </w:r>
      <w:r w:rsidR="00500A4F">
        <w:rPr>
          <w:rFonts w:ascii="Times New Roman" w:hAnsi="Times New Roman" w:cs="Times New Roman"/>
          <w:sz w:val="24"/>
          <w:szCs w:val="24"/>
        </w:rPr>
        <w:t xml:space="preserve">; </w:t>
      </w:r>
      <w:r w:rsidR="00500A4F" w:rsidRPr="006900E5">
        <w:rPr>
          <w:rFonts w:ascii="Times New Roman" w:hAnsi="Times New Roman" w:cs="Times New Roman"/>
          <w:sz w:val="24"/>
          <w:szCs w:val="24"/>
        </w:rPr>
        <w:t>Governo do Estado do Distrito Federal, 2023</w:t>
      </w:r>
      <w:r w:rsidR="00500A4F">
        <w:rPr>
          <w:rFonts w:ascii="Times New Roman" w:hAnsi="Times New Roman" w:cs="Times New Roman"/>
          <w:sz w:val="24"/>
          <w:szCs w:val="24"/>
        </w:rPr>
        <w:t xml:space="preserve">; </w:t>
      </w:r>
      <w:r w:rsidR="00500A4F" w:rsidRPr="006900E5">
        <w:rPr>
          <w:rFonts w:ascii="Times New Roman" w:hAnsi="Times New Roman" w:cs="Times New Roman"/>
          <w:sz w:val="24"/>
          <w:szCs w:val="24"/>
        </w:rPr>
        <w:t>Governo do Estado do Espírito Santo, 2021</w:t>
      </w:r>
      <w:r w:rsidR="00500A4F">
        <w:rPr>
          <w:rFonts w:ascii="Times New Roman" w:hAnsi="Times New Roman" w:cs="Times New Roman"/>
          <w:sz w:val="24"/>
          <w:szCs w:val="24"/>
        </w:rPr>
        <w:t xml:space="preserve">; </w:t>
      </w:r>
      <w:r w:rsidR="00D56362">
        <w:rPr>
          <w:rFonts w:ascii="Times New Roman" w:hAnsi="Times New Roman" w:cs="Times New Roman"/>
          <w:sz w:val="24"/>
          <w:szCs w:val="24"/>
        </w:rPr>
        <w:t xml:space="preserve">2024; </w:t>
      </w:r>
      <w:r w:rsidR="00500A4F" w:rsidRPr="006900E5">
        <w:rPr>
          <w:rFonts w:ascii="Times New Roman" w:hAnsi="Times New Roman" w:cs="Times New Roman"/>
          <w:sz w:val="24"/>
          <w:szCs w:val="24"/>
        </w:rPr>
        <w:t>Governo do Estado do Mato Grosso, 202</w:t>
      </w:r>
      <w:r w:rsidR="00D56362">
        <w:rPr>
          <w:rFonts w:ascii="Times New Roman" w:hAnsi="Times New Roman" w:cs="Times New Roman"/>
          <w:sz w:val="24"/>
          <w:szCs w:val="24"/>
        </w:rPr>
        <w:t>5</w:t>
      </w:r>
      <w:r w:rsidR="00500A4F">
        <w:rPr>
          <w:rFonts w:ascii="Times New Roman" w:hAnsi="Times New Roman" w:cs="Times New Roman"/>
          <w:sz w:val="24"/>
          <w:szCs w:val="24"/>
        </w:rPr>
        <w:t xml:space="preserve">; </w:t>
      </w:r>
      <w:r w:rsidRPr="006900E5">
        <w:rPr>
          <w:rFonts w:ascii="Times New Roman" w:hAnsi="Times New Roman" w:cs="Times New Roman"/>
          <w:sz w:val="24"/>
          <w:szCs w:val="24"/>
        </w:rPr>
        <w:t>Governo do Estado do Paraná, 2020; 2025;</w:t>
      </w:r>
      <w:r w:rsidR="00500A4F">
        <w:rPr>
          <w:rFonts w:ascii="Times New Roman" w:hAnsi="Times New Roman" w:cs="Times New Roman"/>
          <w:sz w:val="24"/>
          <w:szCs w:val="24"/>
        </w:rPr>
        <w:t xml:space="preserve"> </w:t>
      </w:r>
      <w:r w:rsidRPr="006900E5">
        <w:rPr>
          <w:rFonts w:ascii="Times New Roman" w:hAnsi="Times New Roman" w:cs="Times New Roman"/>
          <w:sz w:val="24"/>
          <w:szCs w:val="24"/>
        </w:rPr>
        <w:t>Governo do Estado de São Paulo, 2023; 2025</w:t>
      </w:r>
      <w:r w:rsidR="00500A4F">
        <w:rPr>
          <w:rFonts w:ascii="Times New Roman" w:hAnsi="Times New Roman" w:cs="Times New Roman"/>
          <w:sz w:val="24"/>
          <w:szCs w:val="24"/>
        </w:rPr>
        <w:t xml:space="preserve">; </w:t>
      </w:r>
      <w:r w:rsidR="00500A4F" w:rsidRPr="006900E5">
        <w:rPr>
          <w:rFonts w:ascii="Times New Roman" w:hAnsi="Times New Roman" w:cs="Times New Roman"/>
          <w:sz w:val="24"/>
          <w:szCs w:val="24"/>
        </w:rPr>
        <w:t>Governo do Estado de Sergipe, 202</w:t>
      </w:r>
      <w:r w:rsidR="00201CFB">
        <w:rPr>
          <w:rFonts w:ascii="Times New Roman" w:hAnsi="Times New Roman" w:cs="Times New Roman"/>
          <w:sz w:val="24"/>
          <w:szCs w:val="24"/>
        </w:rPr>
        <w:t>2</w:t>
      </w:r>
      <w:r w:rsidR="00500A4F">
        <w:rPr>
          <w:rFonts w:ascii="Times New Roman" w:hAnsi="Times New Roman" w:cs="Times New Roman"/>
          <w:sz w:val="24"/>
          <w:szCs w:val="24"/>
        </w:rPr>
        <w:t xml:space="preserve">; </w:t>
      </w:r>
      <w:r w:rsidR="00500A4F" w:rsidRPr="006900E5">
        <w:rPr>
          <w:rFonts w:ascii="Times New Roman" w:hAnsi="Times New Roman" w:cs="Times New Roman"/>
          <w:sz w:val="24"/>
          <w:szCs w:val="24"/>
        </w:rPr>
        <w:t>Governo do Estado do Rio Grande do Sul, 2019; 2020</w:t>
      </w:r>
      <w:r w:rsidRPr="006900E5">
        <w:rPr>
          <w:rFonts w:ascii="Times New Roman" w:hAnsi="Times New Roman" w:cs="Times New Roman"/>
          <w:sz w:val="24"/>
          <w:szCs w:val="24"/>
        </w:rPr>
        <w:t>).</w:t>
      </w:r>
    </w:p>
    <w:p w14:paraId="65BBEE61" w14:textId="56FDD2ED" w:rsidR="00500A4F" w:rsidRDefault="00B614BD" w:rsidP="00500A4F">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O quarto grupo, composto por Acre, Alagoas, Amazonas, Mato Grosso do Sul, Rondônia</w:t>
      </w:r>
      <w:r w:rsidR="00500A4F">
        <w:rPr>
          <w:rFonts w:ascii="Times New Roman" w:hAnsi="Times New Roman" w:cs="Times New Roman"/>
          <w:sz w:val="24"/>
          <w:szCs w:val="24"/>
        </w:rPr>
        <w:t xml:space="preserve"> e</w:t>
      </w:r>
      <w:r w:rsidRPr="006900E5">
        <w:rPr>
          <w:rFonts w:ascii="Times New Roman" w:hAnsi="Times New Roman" w:cs="Times New Roman"/>
          <w:sz w:val="24"/>
          <w:szCs w:val="24"/>
        </w:rPr>
        <w:t xml:space="preserve"> Roraima</w:t>
      </w:r>
      <w:r w:rsidR="00500A4F">
        <w:rPr>
          <w:rFonts w:ascii="Times New Roman" w:hAnsi="Times New Roman" w:cs="Times New Roman"/>
          <w:sz w:val="24"/>
          <w:szCs w:val="24"/>
        </w:rPr>
        <w:t xml:space="preserve">, </w:t>
      </w:r>
      <w:r w:rsidRPr="006900E5">
        <w:rPr>
          <w:rFonts w:ascii="Times New Roman" w:hAnsi="Times New Roman" w:cs="Times New Roman"/>
          <w:sz w:val="24"/>
          <w:szCs w:val="24"/>
        </w:rPr>
        <w:t>enquadra-se na categoria de formalização normativa replicada.</w:t>
      </w:r>
      <w:r w:rsidR="00500A4F">
        <w:rPr>
          <w:rFonts w:ascii="Times New Roman" w:hAnsi="Times New Roman" w:cs="Times New Roman"/>
          <w:sz w:val="24"/>
          <w:szCs w:val="24"/>
        </w:rPr>
        <w:t xml:space="preserve"> </w:t>
      </w:r>
      <w:r w:rsidRPr="006900E5">
        <w:rPr>
          <w:rFonts w:ascii="Times New Roman" w:hAnsi="Times New Roman" w:cs="Times New Roman"/>
          <w:sz w:val="24"/>
          <w:szCs w:val="24"/>
        </w:rPr>
        <w:t xml:space="preserve">Nesses </w:t>
      </w:r>
      <w:r w:rsidR="00C974D3">
        <w:rPr>
          <w:rFonts w:ascii="Times New Roman" w:hAnsi="Times New Roman" w:cs="Times New Roman"/>
          <w:sz w:val="24"/>
          <w:szCs w:val="24"/>
        </w:rPr>
        <w:t>E</w:t>
      </w:r>
      <w:r w:rsidRPr="006900E5">
        <w:rPr>
          <w:rFonts w:ascii="Times New Roman" w:hAnsi="Times New Roman" w:cs="Times New Roman"/>
          <w:sz w:val="24"/>
          <w:szCs w:val="24"/>
        </w:rPr>
        <w:t xml:space="preserve">stados, observa-se a existência de previsões legais pontuais da AIR (em sua </w:t>
      </w:r>
      <w:r w:rsidR="00864F18" w:rsidRPr="006900E5">
        <w:rPr>
          <w:rFonts w:ascii="Times New Roman" w:hAnsi="Times New Roman" w:cs="Times New Roman"/>
          <w:sz w:val="24"/>
          <w:szCs w:val="24"/>
        </w:rPr>
        <w:t>maioria em leis de liberdade econômica próprias</w:t>
      </w:r>
      <w:r w:rsidRPr="006900E5">
        <w:rPr>
          <w:rFonts w:ascii="Times New Roman" w:hAnsi="Times New Roman" w:cs="Times New Roman"/>
          <w:sz w:val="24"/>
          <w:szCs w:val="24"/>
        </w:rPr>
        <w:t xml:space="preserve">), menções genéricas à melhoria regulatória ou adoção de manuais administrativos, mas sem estrutura normativa robusta ou coordenação executiva central (Governo do Estado do Acre, 2021; Governo do Estado de Alagoas, 2020; </w:t>
      </w:r>
      <w:r w:rsidR="00500A4F" w:rsidRPr="006900E5">
        <w:rPr>
          <w:rFonts w:ascii="Times New Roman" w:hAnsi="Times New Roman" w:cs="Times New Roman"/>
          <w:sz w:val="24"/>
          <w:szCs w:val="24"/>
        </w:rPr>
        <w:t>Governo do Estado do Amazonas, 2022</w:t>
      </w:r>
      <w:r w:rsidR="00500A4F">
        <w:rPr>
          <w:rFonts w:ascii="Times New Roman" w:hAnsi="Times New Roman" w:cs="Times New Roman"/>
          <w:sz w:val="24"/>
          <w:szCs w:val="24"/>
        </w:rPr>
        <w:t xml:space="preserve">; </w:t>
      </w:r>
      <w:r w:rsidR="00500A4F" w:rsidRPr="006900E5">
        <w:rPr>
          <w:rFonts w:ascii="Times New Roman" w:hAnsi="Times New Roman" w:cs="Times New Roman"/>
          <w:sz w:val="24"/>
          <w:szCs w:val="24"/>
        </w:rPr>
        <w:t>Governo do Estado do Mato Grosso do Sul, 202</w:t>
      </w:r>
      <w:r w:rsidR="00201CFB">
        <w:rPr>
          <w:rFonts w:ascii="Times New Roman" w:hAnsi="Times New Roman" w:cs="Times New Roman"/>
          <w:sz w:val="24"/>
          <w:szCs w:val="24"/>
        </w:rPr>
        <w:t>0</w:t>
      </w:r>
      <w:r w:rsidR="00500A4F">
        <w:rPr>
          <w:rFonts w:ascii="Times New Roman" w:hAnsi="Times New Roman" w:cs="Times New Roman"/>
          <w:sz w:val="24"/>
          <w:szCs w:val="24"/>
        </w:rPr>
        <w:t xml:space="preserve">; </w:t>
      </w:r>
      <w:r w:rsidR="00500A4F" w:rsidRPr="006900E5">
        <w:rPr>
          <w:rFonts w:ascii="Times New Roman" w:hAnsi="Times New Roman" w:cs="Times New Roman"/>
          <w:sz w:val="24"/>
          <w:szCs w:val="24"/>
        </w:rPr>
        <w:t>Governo do Estado de Rondônia, 2024; Governo do Estado de Roraima, 2020</w:t>
      </w:r>
      <w:r w:rsidR="00500A4F">
        <w:rPr>
          <w:rFonts w:ascii="Times New Roman" w:hAnsi="Times New Roman" w:cs="Times New Roman"/>
          <w:sz w:val="24"/>
          <w:szCs w:val="24"/>
        </w:rPr>
        <w:t>).</w:t>
      </w:r>
    </w:p>
    <w:p w14:paraId="1F7B346E" w14:textId="4C597BA6" w:rsidR="00B614BD" w:rsidRPr="006900E5" w:rsidRDefault="00B614BD" w:rsidP="00B614BD">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Os </w:t>
      </w:r>
      <w:r w:rsidR="00C974D3">
        <w:rPr>
          <w:rFonts w:ascii="Times New Roman" w:hAnsi="Times New Roman" w:cs="Times New Roman"/>
          <w:sz w:val="24"/>
          <w:szCs w:val="24"/>
        </w:rPr>
        <w:t>E</w:t>
      </w:r>
      <w:r w:rsidRPr="006900E5">
        <w:rPr>
          <w:rFonts w:ascii="Times New Roman" w:hAnsi="Times New Roman" w:cs="Times New Roman"/>
          <w:sz w:val="24"/>
          <w:szCs w:val="24"/>
        </w:rPr>
        <w:t>stados que dispõem de decretos executivos voltados à disciplina da elaboração de atos normativos, em geral, limitam-se a exigir que as propostas de alteração sejam acompanhadas de estimativa de impacto orçamentário-financeiro, como é o caso d</w:t>
      </w:r>
      <w:r w:rsidR="00500A4F">
        <w:rPr>
          <w:rFonts w:ascii="Times New Roman" w:hAnsi="Times New Roman" w:cs="Times New Roman"/>
          <w:sz w:val="24"/>
          <w:szCs w:val="24"/>
        </w:rPr>
        <w:t xml:space="preserve">o </w:t>
      </w:r>
      <w:r w:rsidRPr="006900E5">
        <w:rPr>
          <w:rFonts w:ascii="Times New Roman" w:hAnsi="Times New Roman" w:cs="Times New Roman"/>
          <w:sz w:val="24"/>
          <w:szCs w:val="24"/>
        </w:rPr>
        <w:t>Acre</w:t>
      </w:r>
      <w:r w:rsidR="00500A4F">
        <w:rPr>
          <w:rFonts w:ascii="Times New Roman" w:hAnsi="Times New Roman" w:cs="Times New Roman"/>
          <w:sz w:val="24"/>
          <w:szCs w:val="24"/>
        </w:rPr>
        <w:t xml:space="preserve"> </w:t>
      </w:r>
      <w:r w:rsidR="00864F18">
        <w:rPr>
          <w:rFonts w:ascii="Times New Roman" w:hAnsi="Times New Roman" w:cs="Times New Roman"/>
          <w:sz w:val="24"/>
          <w:szCs w:val="24"/>
        </w:rPr>
        <w:t xml:space="preserve">e </w:t>
      </w:r>
      <w:r w:rsidRPr="006900E5">
        <w:rPr>
          <w:rFonts w:ascii="Times New Roman" w:hAnsi="Times New Roman" w:cs="Times New Roman"/>
          <w:sz w:val="24"/>
          <w:szCs w:val="24"/>
        </w:rPr>
        <w:t>Mato Grosso do Sul</w:t>
      </w:r>
      <w:r w:rsidR="00864F18">
        <w:rPr>
          <w:rFonts w:ascii="Times New Roman" w:hAnsi="Times New Roman" w:cs="Times New Roman"/>
          <w:sz w:val="24"/>
          <w:szCs w:val="24"/>
        </w:rPr>
        <w:t xml:space="preserve"> </w:t>
      </w:r>
      <w:r w:rsidRPr="006900E5">
        <w:rPr>
          <w:rFonts w:ascii="Times New Roman" w:hAnsi="Times New Roman" w:cs="Times New Roman"/>
          <w:sz w:val="24"/>
          <w:szCs w:val="24"/>
        </w:rPr>
        <w:t>(Governo do Estado do Acre, 2021; Governo do Estado do Mato Grosso do Sul, 2023).</w:t>
      </w:r>
    </w:p>
    <w:p w14:paraId="47F04663" w14:textId="57177583" w:rsidR="00B614BD" w:rsidRPr="006900E5" w:rsidRDefault="00B614BD" w:rsidP="00F0160B">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Trata-se de uma previsão de alcance restrito, centrada exclusivamente na dimensão fiscal, sem contemplar de forma abrangente os demais efeitos potenciais que o ato normativo pode produzir sob as perspectivas regulatória, econômica ou social.</w:t>
      </w:r>
      <w:r w:rsidR="00F0160B">
        <w:rPr>
          <w:rFonts w:ascii="Times New Roman" w:hAnsi="Times New Roman" w:cs="Times New Roman"/>
          <w:sz w:val="24"/>
          <w:szCs w:val="24"/>
        </w:rPr>
        <w:t xml:space="preserve"> Esse </w:t>
      </w:r>
      <w:r w:rsidRPr="006900E5">
        <w:rPr>
          <w:rFonts w:ascii="Times New Roman" w:hAnsi="Times New Roman" w:cs="Times New Roman"/>
          <w:sz w:val="24"/>
          <w:szCs w:val="24"/>
        </w:rPr>
        <w:t>padrão de difusão formal da agenda regulatória</w:t>
      </w:r>
      <w:r w:rsidR="00F0160B">
        <w:rPr>
          <w:rFonts w:ascii="Times New Roman" w:hAnsi="Times New Roman" w:cs="Times New Roman"/>
          <w:sz w:val="24"/>
          <w:szCs w:val="24"/>
        </w:rPr>
        <w:t xml:space="preserve"> é </w:t>
      </w:r>
      <w:r w:rsidRPr="006900E5">
        <w:rPr>
          <w:rFonts w:ascii="Times New Roman" w:hAnsi="Times New Roman" w:cs="Times New Roman"/>
          <w:sz w:val="24"/>
          <w:szCs w:val="24"/>
        </w:rPr>
        <w:t>frequentemente associado à replicação de modelos normativos, sem que haja institucionalização organizacional correspondente.</w:t>
      </w:r>
    </w:p>
    <w:p w14:paraId="366253ED" w14:textId="59AB4100" w:rsidR="00BB65CF" w:rsidRPr="006900E5" w:rsidRDefault="00BB65CF" w:rsidP="00B614BD">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Importa destacar que exigências relativas à estimativa de impacto orçamentário ou fiscal, embora relevantes para a racionalidade administrativa, não configuram AIR em sentido </w:t>
      </w:r>
      <w:r w:rsidRPr="006900E5">
        <w:rPr>
          <w:rFonts w:ascii="Times New Roman" w:hAnsi="Times New Roman" w:cs="Times New Roman"/>
          <w:sz w:val="24"/>
          <w:szCs w:val="24"/>
        </w:rPr>
        <w:lastRenderedPageBreak/>
        <w:t>estrito. A AIR pressupõe avaliação estruturada de alternativas regulatórias, identificação de problemas públicos e exame multidimensional de efeitos, ultrapassando a dimensão exclusivamente fiscal do ato normativo.</w:t>
      </w:r>
    </w:p>
    <w:p w14:paraId="74A90406" w14:textId="089F76F8" w:rsidR="004B676B" w:rsidRDefault="00B614BD" w:rsidP="00B614BD">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No quinto e último grupo, </w:t>
      </w:r>
      <w:r w:rsidR="00500A4F" w:rsidRPr="006900E5">
        <w:rPr>
          <w:rFonts w:ascii="Times New Roman" w:hAnsi="Times New Roman" w:cs="Times New Roman"/>
          <w:sz w:val="24"/>
          <w:szCs w:val="24"/>
        </w:rPr>
        <w:t xml:space="preserve">grupo majoritário, </w:t>
      </w:r>
      <w:r w:rsidRPr="006900E5">
        <w:rPr>
          <w:rFonts w:ascii="Times New Roman" w:hAnsi="Times New Roman" w:cs="Times New Roman"/>
          <w:sz w:val="24"/>
          <w:szCs w:val="24"/>
        </w:rPr>
        <w:t>integrado por Bahia, Ceará, Maranhão, Pará</w:t>
      </w:r>
      <w:r w:rsidR="00500A4F">
        <w:rPr>
          <w:rFonts w:ascii="Times New Roman" w:hAnsi="Times New Roman" w:cs="Times New Roman"/>
          <w:sz w:val="24"/>
          <w:szCs w:val="24"/>
        </w:rPr>
        <w:t xml:space="preserve">, </w:t>
      </w:r>
      <w:r w:rsidR="00500A4F" w:rsidRPr="006900E5">
        <w:rPr>
          <w:rFonts w:ascii="Times New Roman" w:hAnsi="Times New Roman" w:cs="Times New Roman"/>
          <w:sz w:val="24"/>
          <w:szCs w:val="24"/>
        </w:rPr>
        <w:t>Paraíba</w:t>
      </w:r>
      <w:r w:rsidR="00500A4F">
        <w:rPr>
          <w:rFonts w:ascii="Times New Roman" w:hAnsi="Times New Roman" w:cs="Times New Roman"/>
          <w:sz w:val="24"/>
          <w:szCs w:val="24"/>
        </w:rPr>
        <w:t>, Pernambuco, Piauí, Rio de Janeiro, Rio Grande do Norte, Santa Catarina e</w:t>
      </w:r>
      <w:r w:rsidRPr="006900E5">
        <w:rPr>
          <w:rFonts w:ascii="Times New Roman" w:hAnsi="Times New Roman" w:cs="Times New Roman"/>
          <w:sz w:val="24"/>
          <w:szCs w:val="24"/>
        </w:rPr>
        <w:t xml:space="preserve"> </w:t>
      </w:r>
      <w:r w:rsidR="00500A4F">
        <w:rPr>
          <w:rFonts w:ascii="Times New Roman" w:hAnsi="Times New Roman" w:cs="Times New Roman"/>
          <w:sz w:val="24"/>
          <w:szCs w:val="24"/>
        </w:rPr>
        <w:t>Tocantins</w:t>
      </w:r>
      <w:r w:rsidRPr="006900E5">
        <w:rPr>
          <w:rFonts w:ascii="Times New Roman" w:hAnsi="Times New Roman" w:cs="Times New Roman"/>
          <w:sz w:val="24"/>
          <w:szCs w:val="24"/>
        </w:rPr>
        <w:t xml:space="preserve">, não foram identificadas nos sites dos </w:t>
      </w:r>
      <w:r w:rsidR="00C974D3">
        <w:rPr>
          <w:rFonts w:ascii="Times New Roman" w:hAnsi="Times New Roman" w:cs="Times New Roman"/>
          <w:sz w:val="24"/>
          <w:szCs w:val="24"/>
        </w:rPr>
        <w:t>E</w:t>
      </w:r>
      <w:r w:rsidRPr="006900E5">
        <w:rPr>
          <w:rFonts w:ascii="Times New Roman" w:hAnsi="Times New Roman" w:cs="Times New Roman"/>
          <w:sz w:val="24"/>
          <w:szCs w:val="24"/>
        </w:rPr>
        <w:t>stados quaisquer referências normativas à AIR ou a outros instrumentos formais de melhoria da qualidade regulatória.</w:t>
      </w:r>
    </w:p>
    <w:p w14:paraId="687DBEF7" w14:textId="2874B50A" w:rsidR="004B676B" w:rsidRDefault="00B614BD" w:rsidP="00B614BD">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A ausência de previsão não se restringiu à decreto geral do Executivo, estendendo-se também às leis instituidoras ou aos estatutos das respectivas agências reguladoras estaduais, o que indica um cenário de baixa institucionalização da agenda de governança regulatória nesses entes federativos</w:t>
      </w:r>
      <w:r w:rsidR="004B676B">
        <w:rPr>
          <w:rFonts w:ascii="Times New Roman" w:hAnsi="Times New Roman" w:cs="Times New Roman"/>
          <w:sz w:val="24"/>
          <w:szCs w:val="24"/>
        </w:rPr>
        <w:t xml:space="preserve"> (</w:t>
      </w:r>
      <w:r w:rsidR="004B676B" w:rsidRPr="006900E5">
        <w:rPr>
          <w:rFonts w:ascii="Times New Roman" w:hAnsi="Times New Roman" w:cs="Times New Roman"/>
          <w:sz w:val="24"/>
          <w:szCs w:val="24"/>
        </w:rPr>
        <w:t>Governo do Estado d</w:t>
      </w:r>
      <w:r w:rsidR="004B676B">
        <w:rPr>
          <w:rFonts w:ascii="Times New Roman" w:hAnsi="Times New Roman" w:cs="Times New Roman"/>
          <w:sz w:val="24"/>
          <w:szCs w:val="24"/>
        </w:rPr>
        <w:t xml:space="preserve">a Bahia, 2026; Governo do Estado do Ceará, 2026; Governo do Estado do Maranhão, 2026; Governo do Estado do Pará, 2026; Governo do Estado da Paraíba, 2026; Governo do Estado de Pernambuco, 2026; </w:t>
      </w:r>
      <w:r w:rsidR="004B676B" w:rsidRPr="006900E5">
        <w:rPr>
          <w:rFonts w:ascii="Times New Roman" w:hAnsi="Times New Roman" w:cs="Times New Roman"/>
          <w:sz w:val="24"/>
          <w:szCs w:val="24"/>
        </w:rPr>
        <w:t>Governo do Estado do Piauí</w:t>
      </w:r>
      <w:r w:rsidR="004B676B">
        <w:rPr>
          <w:rFonts w:ascii="Times New Roman" w:hAnsi="Times New Roman" w:cs="Times New Roman"/>
          <w:sz w:val="24"/>
          <w:szCs w:val="24"/>
        </w:rPr>
        <w:t xml:space="preserve">, 2026; </w:t>
      </w:r>
      <w:r w:rsidR="004B676B" w:rsidRPr="006900E5">
        <w:rPr>
          <w:rFonts w:ascii="Times New Roman" w:hAnsi="Times New Roman" w:cs="Times New Roman"/>
          <w:sz w:val="24"/>
          <w:szCs w:val="24"/>
        </w:rPr>
        <w:t>Governo do Estado do Rio de Janeiro</w:t>
      </w:r>
      <w:r w:rsidR="004B676B">
        <w:rPr>
          <w:rFonts w:ascii="Times New Roman" w:hAnsi="Times New Roman" w:cs="Times New Roman"/>
          <w:sz w:val="24"/>
          <w:szCs w:val="24"/>
        </w:rPr>
        <w:t xml:space="preserve">, 2026; </w:t>
      </w:r>
      <w:r w:rsidR="004B676B" w:rsidRPr="006900E5">
        <w:rPr>
          <w:rFonts w:ascii="Times New Roman" w:hAnsi="Times New Roman" w:cs="Times New Roman"/>
          <w:sz w:val="24"/>
          <w:szCs w:val="24"/>
        </w:rPr>
        <w:t>Governo do Estado do</w:t>
      </w:r>
      <w:r w:rsidR="004B676B">
        <w:rPr>
          <w:rFonts w:ascii="Times New Roman" w:hAnsi="Times New Roman" w:cs="Times New Roman"/>
          <w:sz w:val="24"/>
          <w:szCs w:val="24"/>
        </w:rPr>
        <w:t xml:space="preserve"> Rio Grande do Norte, 2026; </w:t>
      </w:r>
      <w:r w:rsidR="004B676B" w:rsidRPr="006900E5">
        <w:rPr>
          <w:rFonts w:ascii="Times New Roman" w:hAnsi="Times New Roman" w:cs="Times New Roman"/>
          <w:sz w:val="24"/>
          <w:szCs w:val="24"/>
        </w:rPr>
        <w:t>Governo do Estado de Santa Catarina</w:t>
      </w:r>
      <w:r w:rsidR="004B676B">
        <w:rPr>
          <w:rFonts w:ascii="Times New Roman" w:hAnsi="Times New Roman" w:cs="Times New Roman"/>
          <w:sz w:val="24"/>
          <w:szCs w:val="24"/>
        </w:rPr>
        <w:t xml:space="preserve">, 2026; </w:t>
      </w:r>
      <w:r w:rsidR="004B676B" w:rsidRPr="006900E5">
        <w:rPr>
          <w:rFonts w:ascii="Times New Roman" w:hAnsi="Times New Roman" w:cs="Times New Roman"/>
          <w:sz w:val="24"/>
          <w:szCs w:val="24"/>
        </w:rPr>
        <w:t>Governo do Estado de Tocanti</w:t>
      </w:r>
      <w:r w:rsidR="00B90781">
        <w:rPr>
          <w:rFonts w:ascii="Times New Roman" w:hAnsi="Times New Roman" w:cs="Times New Roman"/>
          <w:sz w:val="24"/>
          <w:szCs w:val="24"/>
        </w:rPr>
        <w:t>n</w:t>
      </w:r>
      <w:r w:rsidR="004B676B" w:rsidRPr="006900E5">
        <w:rPr>
          <w:rFonts w:ascii="Times New Roman" w:hAnsi="Times New Roman" w:cs="Times New Roman"/>
          <w:sz w:val="24"/>
          <w:szCs w:val="24"/>
        </w:rPr>
        <w:t>s,</w:t>
      </w:r>
      <w:r w:rsidR="004B676B">
        <w:rPr>
          <w:rFonts w:ascii="Times New Roman" w:hAnsi="Times New Roman" w:cs="Times New Roman"/>
          <w:sz w:val="24"/>
          <w:szCs w:val="24"/>
        </w:rPr>
        <w:t xml:space="preserve"> 2026)</w:t>
      </w:r>
      <w:r w:rsidR="00EA1EBC">
        <w:rPr>
          <w:rFonts w:ascii="Times New Roman" w:hAnsi="Times New Roman" w:cs="Times New Roman"/>
          <w:sz w:val="24"/>
          <w:szCs w:val="24"/>
        </w:rPr>
        <w:t>.</w:t>
      </w:r>
    </w:p>
    <w:p w14:paraId="3BC66108" w14:textId="69E17E6B" w:rsidR="00B614BD" w:rsidRDefault="00B614BD" w:rsidP="00B614BD">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Assim, o quadro 1 não apenas descreve variações normativas entre </w:t>
      </w:r>
      <w:r w:rsidR="00C974D3">
        <w:rPr>
          <w:rFonts w:ascii="Times New Roman" w:hAnsi="Times New Roman" w:cs="Times New Roman"/>
          <w:sz w:val="24"/>
          <w:szCs w:val="24"/>
        </w:rPr>
        <w:t>E</w:t>
      </w:r>
      <w:r w:rsidRPr="006900E5">
        <w:rPr>
          <w:rFonts w:ascii="Times New Roman" w:hAnsi="Times New Roman" w:cs="Times New Roman"/>
          <w:sz w:val="24"/>
          <w:szCs w:val="24"/>
        </w:rPr>
        <w:t>stados, mas evidencia estágio ainda desigual de consolidação da AIR como infraestrutura decisória tran</w:t>
      </w:r>
      <w:r w:rsidRPr="009E1058">
        <w:rPr>
          <w:rFonts w:ascii="Times New Roman" w:hAnsi="Times New Roman" w:cs="Times New Roman"/>
          <w:sz w:val="24"/>
          <w:szCs w:val="24"/>
        </w:rPr>
        <w:t>sversal no plano subnacional.</w:t>
      </w:r>
    </w:p>
    <w:p w14:paraId="08F0E415" w14:textId="548CFEFD" w:rsidR="00B90781" w:rsidRDefault="00B90781" w:rsidP="00B614BD">
      <w:pPr>
        <w:spacing w:after="0" w:line="360" w:lineRule="auto"/>
        <w:ind w:firstLine="708"/>
        <w:jc w:val="both"/>
        <w:rPr>
          <w:rFonts w:ascii="Times New Roman" w:hAnsi="Times New Roman" w:cs="Times New Roman"/>
          <w:sz w:val="24"/>
          <w:szCs w:val="24"/>
        </w:rPr>
      </w:pPr>
      <w:r w:rsidRPr="00B90781">
        <w:rPr>
          <w:rFonts w:ascii="Times New Roman" w:hAnsi="Times New Roman" w:cs="Times New Roman"/>
          <w:sz w:val="24"/>
          <w:szCs w:val="24"/>
        </w:rPr>
        <w:t>A presença de previsão normativa isolada não equivale à institucionalização transversal do instrumento, pois esta pressupõe coordenação organizacional e integração obrigatória ao fluxo decisório do Executivo.</w:t>
      </w:r>
    </w:p>
    <w:p w14:paraId="3AC6C052" w14:textId="6204686B" w:rsidR="00781037" w:rsidRDefault="00781037" w:rsidP="00B614BD">
      <w:pPr>
        <w:spacing w:after="0" w:line="360" w:lineRule="auto"/>
        <w:ind w:firstLine="708"/>
        <w:jc w:val="both"/>
        <w:rPr>
          <w:rFonts w:ascii="Times New Roman" w:hAnsi="Times New Roman" w:cs="Times New Roman"/>
          <w:sz w:val="24"/>
          <w:szCs w:val="24"/>
        </w:rPr>
      </w:pPr>
      <w:r w:rsidRPr="00781037">
        <w:rPr>
          <w:rFonts w:ascii="Times New Roman" w:hAnsi="Times New Roman" w:cs="Times New Roman"/>
          <w:sz w:val="24"/>
          <w:szCs w:val="24"/>
        </w:rPr>
        <w:t xml:space="preserve">A replicação textual do modelo federal </w:t>
      </w:r>
      <w:r>
        <w:rPr>
          <w:rFonts w:ascii="Times New Roman" w:hAnsi="Times New Roman" w:cs="Times New Roman"/>
          <w:sz w:val="24"/>
          <w:szCs w:val="24"/>
        </w:rPr>
        <w:t xml:space="preserve">também </w:t>
      </w:r>
      <w:r w:rsidRPr="00781037">
        <w:rPr>
          <w:rFonts w:ascii="Times New Roman" w:hAnsi="Times New Roman" w:cs="Times New Roman"/>
          <w:sz w:val="24"/>
          <w:szCs w:val="24"/>
        </w:rPr>
        <w:t>não se traduz automaticamente em arranjos decisórios capazes de conferir previsibilidade e estabilidade procedimental ao processo normativo estadual.</w:t>
      </w:r>
    </w:p>
    <w:p w14:paraId="009CAFCA" w14:textId="77777777" w:rsidR="00B614BD" w:rsidRDefault="00B614BD" w:rsidP="00B614BD">
      <w:pPr>
        <w:spacing w:after="0" w:line="360" w:lineRule="auto"/>
        <w:jc w:val="both"/>
        <w:rPr>
          <w:rFonts w:ascii="Times New Roman" w:hAnsi="Times New Roman" w:cs="Times New Roman"/>
          <w:b/>
          <w:bCs/>
          <w:sz w:val="24"/>
          <w:szCs w:val="24"/>
        </w:rPr>
      </w:pPr>
    </w:p>
    <w:p w14:paraId="24B764F1" w14:textId="3D292284" w:rsidR="00B614BD" w:rsidRPr="00B614BD" w:rsidRDefault="00C75C88" w:rsidP="00B614B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B614BD" w:rsidRPr="00B614BD">
        <w:rPr>
          <w:rFonts w:ascii="Times New Roman" w:hAnsi="Times New Roman" w:cs="Times New Roman"/>
          <w:b/>
          <w:bCs/>
          <w:sz w:val="24"/>
          <w:szCs w:val="24"/>
        </w:rPr>
        <w:t>.2 Interpretação dos padrões observados</w:t>
      </w:r>
    </w:p>
    <w:p w14:paraId="112067A3" w14:textId="77777777" w:rsidR="00B614BD" w:rsidRDefault="00B614BD" w:rsidP="00B614BD">
      <w:pPr>
        <w:spacing w:after="0" w:line="360" w:lineRule="auto"/>
        <w:jc w:val="both"/>
        <w:rPr>
          <w:rFonts w:ascii="Times New Roman" w:hAnsi="Times New Roman" w:cs="Times New Roman"/>
          <w:sz w:val="24"/>
          <w:szCs w:val="24"/>
        </w:rPr>
      </w:pPr>
    </w:p>
    <w:p w14:paraId="3E0A96F7" w14:textId="61126870"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 xml:space="preserve">A distribuição federativa evidencia que a institucionalização transversal da AIR permanece fenômeno restrito. Apenas um </w:t>
      </w:r>
      <w:r w:rsidR="00C974D3">
        <w:rPr>
          <w:rFonts w:ascii="Times New Roman" w:hAnsi="Times New Roman" w:cs="Times New Roman"/>
          <w:sz w:val="24"/>
          <w:szCs w:val="24"/>
        </w:rPr>
        <w:t>E</w:t>
      </w:r>
      <w:r w:rsidRPr="00B614BD">
        <w:rPr>
          <w:rFonts w:ascii="Times New Roman" w:hAnsi="Times New Roman" w:cs="Times New Roman"/>
          <w:sz w:val="24"/>
          <w:szCs w:val="24"/>
        </w:rPr>
        <w:t xml:space="preserve">stado apresentou evidências normativas e organizacionais compatíveis com </w:t>
      </w:r>
      <w:proofErr w:type="spellStart"/>
      <w:r w:rsidRPr="00B614BD">
        <w:rPr>
          <w:rFonts w:ascii="Times New Roman" w:hAnsi="Times New Roman" w:cs="Times New Roman"/>
          <w:sz w:val="24"/>
          <w:szCs w:val="24"/>
        </w:rPr>
        <w:t>transversalização</w:t>
      </w:r>
      <w:proofErr w:type="spellEnd"/>
      <w:r w:rsidRPr="00B614BD">
        <w:rPr>
          <w:rFonts w:ascii="Times New Roman" w:hAnsi="Times New Roman" w:cs="Times New Roman"/>
          <w:sz w:val="24"/>
          <w:szCs w:val="24"/>
        </w:rPr>
        <w:t xml:space="preserve"> emergente, enquanto a maioria dos entes situa-se nas categorias de </w:t>
      </w:r>
      <w:r w:rsidR="00581549">
        <w:rPr>
          <w:rFonts w:ascii="Times New Roman" w:hAnsi="Times New Roman" w:cs="Times New Roman"/>
          <w:sz w:val="24"/>
          <w:szCs w:val="24"/>
        </w:rPr>
        <w:t>i</w:t>
      </w:r>
      <w:r w:rsidR="00581549" w:rsidRPr="00581549">
        <w:rPr>
          <w:rFonts w:ascii="Times New Roman" w:hAnsi="Times New Roman" w:cs="Times New Roman"/>
          <w:sz w:val="24"/>
          <w:szCs w:val="24"/>
        </w:rPr>
        <w:t>nstitucionalização predominantemente setorial</w:t>
      </w:r>
      <w:r w:rsidR="00581549" w:rsidRPr="00B614BD">
        <w:rPr>
          <w:rFonts w:ascii="Times New Roman" w:hAnsi="Times New Roman" w:cs="Times New Roman"/>
          <w:sz w:val="24"/>
          <w:szCs w:val="24"/>
        </w:rPr>
        <w:t xml:space="preserve"> </w:t>
      </w:r>
      <w:r w:rsidRPr="00B614BD">
        <w:rPr>
          <w:rFonts w:ascii="Times New Roman" w:hAnsi="Times New Roman" w:cs="Times New Roman"/>
          <w:sz w:val="24"/>
          <w:szCs w:val="24"/>
        </w:rPr>
        <w:t>ou ausência de normatização estruturada.</w:t>
      </w:r>
      <w:r w:rsidR="00581549">
        <w:rPr>
          <w:rFonts w:ascii="Times New Roman" w:hAnsi="Times New Roman" w:cs="Times New Roman"/>
          <w:sz w:val="24"/>
          <w:szCs w:val="24"/>
        </w:rPr>
        <w:t xml:space="preserve"> </w:t>
      </w:r>
    </w:p>
    <w:p w14:paraId="46A6ED12" w14:textId="77777777"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 xml:space="preserve">Esse resultado sugere que, embora o modelo federal tenha produzido difusão normativa, sua internalização subnacional não se consolidou como política de Estado no âmbito dos </w:t>
      </w:r>
      <w:r w:rsidRPr="00B614BD">
        <w:rPr>
          <w:rFonts w:ascii="Times New Roman" w:hAnsi="Times New Roman" w:cs="Times New Roman"/>
          <w:sz w:val="24"/>
          <w:szCs w:val="24"/>
        </w:rPr>
        <w:lastRenderedPageBreak/>
        <w:t>Executivos estaduais. Observa-se padrão de replicação formal, frequentemente vinculado a agendas de liberdade econômica, mas sem integração sistêmica ao fluxo de elaboração normativa.</w:t>
      </w:r>
      <w:r>
        <w:rPr>
          <w:rFonts w:ascii="Times New Roman" w:hAnsi="Times New Roman" w:cs="Times New Roman"/>
          <w:sz w:val="24"/>
          <w:szCs w:val="24"/>
        </w:rPr>
        <w:t xml:space="preserve"> </w:t>
      </w:r>
    </w:p>
    <w:p w14:paraId="54DA5B86" w14:textId="6065CC48"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 xml:space="preserve">Nos </w:t>
      </w:r>
      <w:r w:rsidR="00C974D3">
        <w:rPr>
          <w:rFonts w:ascii="Times New Roman" w:hAnsi="Times New Roman" w:cs="Times New Roman"/>
          <w:sz w:val="24"/>
          <w:szCs w:val="24"/>
        </w:rPr>
        <w:t>E</w:t>
      </w:r>
      <w:r w:rsidRPr="00B614BD">
        <w:rPr>
          <w:rFonts w:ascii="Times New Roman" w:hAnsi="Times New Roman" w:cs="Times New Roman"/>
          <w:sz w:val="24"/>
          <w:szCs w:val="24"/>
        </w:rPr>
        <w:t xml:space="preserve">stados classificados como institucionalização predominantemente setorial, a AIR apresenta maior maturidade procedimental, porém permanece circunscrita a agências reguladoras, sem irradiar-se para o conjunto da administração direta. Isso </w:t>
      </w:r>
      <w:r w:rsidR="000A3833">
        <w:rPr>
          <w:rFonts w:ascii="Times New Roman" w:hAnsi="Times New Roman" w:cs="Times New Roman"/>
          <w:sz w:val="24"/>
          <w:szCs w:val="24"/>
        </w:rPr>
        <w:t>sugere</w:t>
      </w:r>
      <w:r w:rsidRPr="00B614BD">
        <w:rPr>
          <w:rFonts w:ascii="Times New Roman" w:hAnsi="Times New Roman" w:cs="Times New Roman"/>
          <w:sz w:val="24"/>
          <w:szCs w:val="24"/>
        </w:rPr>
        <w:t xml:space="preserve"> que a consolidação da AIR como política transversal depende menos da mera previsão legal e mais da construção de capacidades organizacionais permanentes.</w:t>
      </w:r>
    </w:p>
    <w:p w14:paraId="4542E737" w14:textId="09A8A975" w:rsidR="00852C6C" w:rsidRPr="009E1058" w:rsidRDefault="00852C6C" w:rsidP="00852C6C">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 xml:space="preserve">A análise revela que apenas parcela restrita dos </w:t>
      </w:r>
      <w:r w:rsidR="00C974D3">
        <w:rPr>
          <w:rFonts w:ascii="Times New Roman" w:hAnsi="Times New Roman" w:cs="Times New Roman"/>
          <w:sz w:val="24"/>
          <w:szCs w:val="24"/>
        </w:rPr>
        <w:t>E</w:t>
      </w:r>
      <w:r w:rsidRPr="009E1058">
        <w:rPr>
          <w:rFonts w:ascii="Times New Roman" w:hAnsi="Times New Roman" w:cs="Times New Roman"/>
          <w:sz w:val="24"/>
          <w:szCs w:val="24"/>
        </w:rPr>
        <w:t xml:space="preserve">stados apresenta indícios de </w:t>
      </w:r>
      <w:proofErr w:type="spellStart"/>
      <w:r w:rsidRPr="009E1058">
        <w:rPr>
          <w:rFonts w:ascii="Times New Roman" w:hAnsi="Times New Roman" w:cs="Times New Roman"/>
          <w:sz w:val="24"/>
          <w:szCs w:val="24"/>
        </w:rPr>
        <w:t>transversalização</w:t>
      </w:r>
      <w:proofErr w:type="spellEnd"/>
      <w:r w:rsidRPr="009E1058">
        <w:rPr>
          <w:rFonts w:ascii="Times New Roman" w:hAnsi="Times New Roman" w:cs="Times New Roman"/>
          <w:sz w:val="24"/>
          <w:szCs w:val="24"/>
        </w:rPr>
        <w:t xml:space="preserve"> da AIR no âmbito do Executivo estadual. Mesmo nos casos classificados como </w:t>
      </w:r>
      <w:proofErr w:type="spellStart"/>
      <w:r w:rsidRPr="009E1058">
        <w:rPr>
          <w:rFonts w:ascii="Times New Roman" w:hAnsi="Times New Roman" w:cs="Times New Roman"/>
          <w:sz w:val="24"/>
          <w:szCs w:val="24"/>
        </w:rPr>
        <w:t>transversalização</w:t>
      </w:r>
      <w:proofErr w:type="spellEnd"/>
      <w:r w:rsidRPr="009E1058">
        <w:rPr>
          <w:rFonts w:ascii="Times New Roman" w:hAnsi="Times New Roman" w:cs="Times New Roman"/>
          <w:sz w:val="24"/>
          <w:szCs w:val="24"/>
        </w:rPr>
        <w:t xml:space="preserve"> emergente, a consolidação institucional ainda depende de internalização organizacional mais profunda e coordenação técnica estável. </w:t>
      </w:r>
    </w:p>
    <w:p w14:paraId="32AD0538" w14:textId="23A0092B" w:rsidR="00852C6C" w:rsidRPr="006900E5" w:rsidRDefault="00CC1288" w:rsidP="00852C6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boa parte dos</w:t>
      </w:r>
      <w:r w:rsidR="00852C6C" w:rsidRPr="006900E5">
        <w:rPr>
          <w:rFonts w:ascii="Times New Roman" w:hAnsi="Times New Roman" w:cs="Times New Roman"/>
          <w:sz w:val="24"/>
          <w:szCs w:val="24"/>
        </w:rPr>
        <w:t xml:space="preserve"> </w:t>
      </w:r>
      <w:r w:rsidR="00C974D3">
        <w:rPr>
          <w:rFonts w:ascii="Times New Roman" w:hAnsi="Times New Roman" w:cs="Times New Roman"/>
          <w:sz w:val="24"/>
          <w:szCs w:val="24"/>
        </w:rPr>
        <w:t>E</w:t>
      </w:r>
      <w:r w:rsidR="00852C6C" w:rsidRPr="006900E5">
        <w:rPr>
          <w:rFonts w:ascii="Times New Roman" w:hAnsi="Times New Roman" w:cs="Times New Roman"/>
          <w:sz w:val="24"/>
          <w:szCs w:val="24"/>
        </w:rPr>
        <w:t>stados, a AIR permanece confinada a agências reguladoras específicas, integrando-se ao ciclo regulatório setorial, mas sem alcançar o conjunto do processo normativo estadual. Esse arranjo institucional contribui para uma compreensão reducionista da própria noção de regulação, frequentemente assimilada à atuação das agências reguladoras.</w:t>
      </w:r>
    </w:p>
    <w:p w14:paraId="32ADFFD3" w14:textId="77777777" w:rsidR="00852C6C" w:rsidRPr="006900E5" w:rsidRDefault="00852C6C" w:rsidP="00852C6C">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Como consequência, a agenda de qualidade regulatória, especialmente no que se refere à introdução da AIR, tende a concentrar-se exclusivamente nesses órgãos, deixando à margem outros espaços decisórios do Executivo em que também se produzem normas com impacto econômico e social relevante (Queiroz e Vieira, 2012).</w:t>
      </w:r>
    </w:p>
    <w:p w14:paraId="12626031" w14:textId="4811341A" w:rsidR="00852C6C" w:rsidRDefault="00852C6C" w:rsidP="00852C6C">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Essa configuração também evidencia institucionalização parcial, restrita a domínios regulatórios economicamente mais estruturados.</w:t>
      </w:r>
      <w:r>
        <w:rPr>
          <w:rFonts w:ascii="Times New Roman" w:hAnsi="Times New Roman" w:cs="Times New Roman"/>
          <w:sz w:val="24"/>
          <w:szCs w:val="24"/>
        </w:rPr>
        <w:t xml:space="preserve"> </w:t>
      </w:r>
      <w:r w:rsidRPr="009E1058">
        <w:rPr>
          <w:rFonts w:ascii="Times New Roman" w:hAnsi="Times New Roman" w:cs="Times New Roman"/>
          <w:sz w:val="24"/>
          <w:szCs w:val="24"/>
        </w:rPr>
        <w:t xml:space="preserve">O padrão predominante, portanto, é o de </w:t>
      </w:r>
      <w:proofErr w:type="spellStart"/>
      <w:r w:rsidRPr="009E1058">
        <w:rPr>
          <w:rFonts w:ascii="Times New Roman" w:hAnsi="Times New Roman" w:cs="Times New Roman"/>
          <w:sz w:val="24"/>
          <w:szCs w:val="24"/>
        </w:rPr>
        <w:t>setorialização</w:t>
      </w:r>
      <w:proofErr w:type="spellEnd"/>
      <w:r w:rsidRPr="009E1058">
        <w:rPr>
          <w:rFonts w:ascii="Times New Roman" w:hAnsi="Times New Roman" w:cs="Times New Roman"/>
          <w:sz w:val="24"/>
          <w:szCs w:val="24"/>
        </w:rPr>
        <w:t xml:space="preserve"> do instrumento. A AIR aparece como prática regulatória especializada, e não como política procedimental transversal do Executivo.</w:t>
      </w:r>
    </w:p>
    <w:p w14:paraId="631105F3" w14:textId="77777777" w:rsidR="00852C6C" w:rsidRPr="006900E5" w:rsidRDefault="00852C6C" w:rsidP="00852C6C">
      <w:pPr>
        <w:spacing w:after="0" w:line="360" w:lineRule="auto"/>
        <w:ind w:firstLine="708"/>
        <w:jc w:val="both"/>
        <w:rPr>
          <w:rFonts w:ascii="Times New Roman" w:hAnsi="Times New Roman" w:cs="Times New Roman"/>
          <w:sz w:val="24"/>
          <w:szCs w:val="24"/>
        </w:rPr>
      </w:pPr>
      <w:r w:rsidRPr="009E1058">
        <w:rPr>
          <w:rFonts w:ascii="Times New Roman" w:hAnsi="Times New Roman" w:cs="Times New Roman"/>
          <w:sz w:val="24"/>
          <w:szCs w:val="24"/>
        </w:rPr>
        <w:t>Esse cenário reforça a hipótese central do estudo: no plano federativo, a AIR ainda não se consolidou como política de Estado transversal. Sua difusão permanece dependente de iniciati</w:t>
      </w:r>
      <w:r w:rsidRPr="006900E5">
        <w:rPr>
          <w:rFonts w:ascii="Times New Roman" w:hAnsi="Times New Roman" w:cs="Times New Roman"/>
          <w:sz w:val="24"/>
          <w:szCs w:val="24"/>
        </w:rPr>
        <w:t>vas específicas, capacidades técnicas localizadas e dinâmicas organizacionais internas.</w:t>
      </w:r>
      <w:r w:rsidRPr="006900E5">
        <w:rPr>
          <w:rFonts w:ascii="Times New Roman" w:hAnsi="Times New Roman" w:cs="Times New Roman"/>
        </w:rPr>
        <w:t xml:space="preserve"> </w:t>
      </w:r>
      <w:r w:rsidRPr="006900E5">
        <w:rPr>
          <w:rFonts w:ascii="Times New Roman" w:hAnsi="Times New Roman" w:cs="Times New Roman"/>
          <w:sz w:val="24"/>
          <w:szCs w:val="24"/>
        </w:rPr>
        <w:t>A limitação do instrumento às agências reguladoras revela que sua difusão não decorreu de uma estratégia sistêmica de qualidade regulatória, mas de movimentos institucionais fragmentados, muitas vezes restritos a setores com maior densidade técnica.</w:t>
      </w:r>
    </w:p>
    <w:p w14:paraId="1F1E266D" w14:textId="77777777" w:rsidR="00852C6C" w:rsidRPr="006900E5" w:rsidRDefault="00852C6C" w:rsidP="00852C6C">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 xml:space="preserve">Nessa perspectiva, a melhoria da regulação no Brasil não pode ser compreendida como um desafio exclusivamente setorial. O aperfeiçoamento da capacidade institucional das agências reguladoras, embora relevante, é insuficiente para promover mudança estrutural no </w:t>
      </w:r>
      <w:r w:rsidRPr="006900E5">
        <w:rPr>
          <w:rFonts w:ascii="Times New Roman" w:hAnsi="Times New Roman" w:cs="Times New Roman"/>
          <w:sz w:val="24"/>
          <w:szCs w:val="24"/>
        </w:rPr>
        <w:lastRenderedPageBreak/>
        <w:t>processo normativo. O que se exige é a adoção de uma política de qualidade regulatória abrangente, orientada ao conjunto do Executivo, capaz de irradiar a lógica da racionalidade técnica também aos núcleos centrais de formulação normativa e de fortalecer mecanismos de coordenação intragovernamental (Queiroz e Vieira, 2012).</w:t>
      </w:r>
    </w:p>
    <w:p w14:paraId="62B4F3B2" w14:textId="77777777" w:rsidR="00852C6C" w:rsidRPr="006900E5" w:rsidRDefault="00852C6C" w:rsidP="00852C6C">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A consolidação da AIR como infraestrutura decisória permanente no âmbito estadual, portanto, pressupõe sua institucionalização em bases estruturais. Isso exigiria: Decreto geral aplicável ao conjunto do Executivo, instância central de coordenação técnica, integração obrigatória ao fluxo normativo e cultura organizacional orientada por evidências.</w:t>
      </w:r>
    </w:p>
    <w:p w14:paraId="52F5D42C" w14:textId="77777777" w:rsidR="00852C6C" w:rsidRPr="006900E5" w:rsidRDefault="00852C6C" w:rsidP="00852C6C">
      <w:pPr>
        <w:spacing w:after="0" w:line="360" w:lineRule="auto"/>
        <w:ind w:firstLine="708"/>
        <w:jc w:val="both"/>
        <w:rPr>
          <w:rFonts w:ascii="Times New Roman" w:hAnsi="Times New Roman" w:cs="Times New Roman"/>
          <w:sz w:val="24"/>
          <w:szCs w:val="24"/>
        </w:rPr>
      </w:pPr>
      <w:r w:rsidRPr="006900E5">
        <w:rPr>
          <w:rFonts w:ascii="Times New Roman" w:hAnsi="Times New Roman" w:cs="Times New Roman"/>
          <w:sz w:val="24"/>
          <w:szCs w:val="24"/>
        </w:rPr>
        <w:t>Enquanto esses elementos não se articularem de maneira sistêmica, a AIR tenderá a permanecer como instrumento setorial ou formalidade documental.</w:t>
      </w:r>
    </w:p>
    <w:p w14:paraId="3BD97407" w14:textId="77777777" w:rsidR="00852C6C" w:rsidRPr="006900E5" w:rsidRDefault="00852C6C" w:rsidP="00852C6C">
      <w:pPr>
        <w:spacing w:after="0" w:line="360" w:lineRule="auto"/>
        <w:ind w:firstLine="708"/>
        <w:jc w:val="both"/>
        <w:rPr>
          <w:rFonts w:ascii="Times New Roman" w:eastAsia="Times New Roman" w:hAnsi="Times New Roman" w:cs="Times New Roman"/>
          <w:sz w:val="24"/>
          <w:szCs w:val="24"/>
        </w:rPr>
      </w:pPr>
      <w:r w:rsidRPr="006900E5">
        <w:rPr>
          <w:rFonts w:ascii="Times New Roman" w:eastAsia="Times New Roman" w:hAnsi="Times New Roman" w:cs="Times New Roman"/>
          <w:sz w:val="24"/>
          <w:szCs w:val="24"/>
        </w:rPr>
        <w:t>A relevância dessa estruturação acentua-se diante da complexidade normativa brasileira, marcada pela edição excessiva de normas e pela baixa efetividade das regras em vigor. Nesse contexto, ferramentas adequadas de AIR representam um avanço estratégico para a sustentabilidade da governança estatal, pois conferem racionalidade ao processo legiferante (Mata e Braga, 2019).</w:t>
      </w:r>
    </w:p>
    <w:p w14:paraId="2044F46E" w14:textId="77777777" w:rsidR="00852C6C" w:rsidRPr="006900E5" w:rsidRDefault="00852C6C" w:rsidP="00852C6C">
      <w:pPr>
        <w:spacing w:after="0" w:line="360" w:lineRule="auto"/>
        <w:ind w:firstLine="708"/>
        <w:jc w:val="both"/>
        <w:rPr>
          <w:rFonts w:ascii="Times New Roman" w:eastAsia="Times New Roman" w:hAnsi="Times New Roman" w:cs="Times New Roman"/>
          <w:sz w:val="24"/>
          <w:szCs w:val="24"/>
        </w:rPr>
      </w:pPr>
      <w:r w:rsidRPr="006900E5">
        <w:rPr>
          <w:rFonts w:ascii="Times New Roman" w:eastAsia="Times New Roman" w:hAnsi="Times New Roman" w:cs="Times New Roman"/>
          <w:sz w:val="24"/>
          <w:szCs w:val="24"/>
        </w:rPr>
        <w:t>Ao substituir o voluntarismo normativo por decisões fundamentadas, a AIR torna-se um mecanismo essencial para enfrentar a inflação legislativa e garantir a eficácia das políticas públicas.</w:t>
      </w:r>
    </w:p>
    <w:p w14:paraId="655BD142" w14:textId="77777777" w:rsidR="00C974D3" w:rsidRPr="006900E5" w:rsidRDefault="00C974D3" w:rsidP="00B614BD">
      <w:pPr>
        <w:spacing w:after="0" w:line="360" w:lineRule="auto"/>
        <w:ind w:firstLine="708"/>
        <w:jc w:val="both"/>
        <w:rPr>
          <w:rFonts w:ascii="Times New Roman" w:hAnsi="Times New Roman" w:cs="Times New Roman"/>
          <w:sz w:val="24"/>
          <w:szCs w:val="24"/>
        </w:rPr>
      </w:pPr>
    </w:p>
    <w:p w14:paraId="5E25839F" w14:textId="0EA4F42E" w:rsidR="00B614BD" w:rsidRDefault="00C75C88" w:rsidP="00B614B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B614BD" w:rsidRPr="006900E5">
        <w:rPr>
          <w:rFonts w:ascii="Times New Roman" w:hAnsi="Times New Roman" w:cs="Times New Roman"/>
          <w:b/>
          <w:bCs/>
          <w:sz w:val="24"/>
          <w:szCs w:val="24"/>
        </w:rPr>
        <w:t>.3 Tra</w:t>
      </w:r>
      <w:r w:rsidR="00B614BD" w:rsidRPr="00B614BD">
        <w:rPr>
          <w:rFonts w:ascii="Times New Roman" w:hAnsi="Times New Roman" w:cs="Times New Roman"/>
          <w:b/>
          <w:bCs/>
          <w:sz w:val="24"/>
          <w:szCs w:val="24"/>
        </w:rPr>
        <w:t>nsparência classificatória e evidência documental</w:t>
      </w:r>
    </w:p>
    <w:p w14:paraId="2AE36EE3" w14:textId="77777777" w:rsidR="00B614BD" w:rsidRPr="00B614BD" w:rsidRDefault="00B614BD" w:rsidP="00B614BD">
      <w:pPr>
        <w:spacing w:after="0" w:line="360" w:lineRule="auto"/>
        <w:jc w:val="both"/>
        <w:rPr>
          <w:rFonts w:ascii="Times New Roman" w:hAnsi="Times New Roman" w:cs="Times New Roman"/>
          <w:b/>
          <w:bCs/>
          <w:sz w:val="24"/>
          <w:szCs w:val="24"/>
        </w:rPr>
      </w:pPr>
    </w:p>
    <w:p w14:paraId="60374DE4" w14:textId="16C666EA" w:rsidR="00B614BD" w:rsidRDefault="00B614BD" w:rsidP="00B614BD">
      <w:pPr>
        <w:spacing w:after="0" w:line="360" w:lineRule="auto"/>
        <w:ind w:firstLine="708"/>
        <w:jc w:val="both"/>
        <w:rPr>
          <w:rFonts w:ascii="Times New Roman" w:hAnsi="Times New Roman" w:cs="Times New Roman"/>
          <w:sz w:val="24"/>
          <w:szCs w:val="24"/>
        </w:rPr>
      </w:pPr>
      <w:r w:rsidRPr="00B614BD">
        <w:rPr>
          <w:rFonts w:ascii="Times New Roman" w:hAnsi="Times New Roman" w:cs="Times New Roman"/>
          <w:sz w:val="24"/>
          <w:szCs w:val="24"/>
        </w:rPr>
        <w:t xml:space="preserve">Para assegurar transparência metodológica e permitir a identificação nominal dos entes federativos classificados em cada categoria, apresenta-se o </w:t>
      </w:r>
      <w:r>
        <w:rPr>
          <w:rFonts w:ascii="Times New Roman" w:hAnsi="Times New Roman" w:cs="Times New Roman"/>
          <w:sz w:val="24"/>
          <w:szCs w:val="24"/>
        </w:rPr>
        <w:t>q</w:t>
      </w:r>
      <w:r w:rsidRPr="00B614BD">
        <w:rPr>
          <w:rFonts w:ascii="Times New Roman" w:hAnsi="Times New Roman" w:cs="Times New Roman"/>
          <w:sz w:val="24"/>
          <w:szCs w:val="24"/>
        </w:rPr>
        <w:t>uadro 2, no qual se detalha o tipo de evidência documental predominante em cada estado no período analisado (2020–2025). A listagem explicita a composição interna da tipologia agregada, sem alterar os critérios analíticos adotados.</w:t>
      </w:r>
    </w:p>
    <w:p w14:paraId="71238F3B" w14:textId="77777777" w:rsidR="00852C6C" w:rsidRDefault="00852C6C" w:rsidP="00B614BD">
      <w:pPr>
        <w:spacing w:after="0" w:line="360" w:lineRule="auto"/>
        <w:ind w:firstLine="708"/>
        <w:jc w:val="both"/>
        <w:rPr>
          <w:rFonts w:ascii="Times New Roman" w:hAnsi="Times New Roman" w:cs="Times New Roman"/>
          <w:sz w:val="24"/>
          <w:szCs w:val="24"/>
        </w:rPr>
      </w:pPr>
    </w:p>
    <w:p w14:paraId="4D1A9A2C" w14:textId="77777777" w:rsidR="00B614BD" w:rsidRPr="003625A0" w:rsidRDefault="00B614BD" w:rsidP="00B614BD">
      <w:pPr>
        <w:spacing w:after="0" w:line="240" w:lineRule="auto"/>
        <w:jc w:val="center"/>
        <w:rPr>
          <w:rFonts w:ascii="Times New Roman" w:hAnsi="Times New Roman" w:cs="Times New Roman"/>
          <w:b/>
          <w:bCs/>
          <w:sz w:val="20"/>
          <w:szCs w:val="20"/>
        </w:rPr>
      </w:pPr>
      <w:r w:rsidRPr="003625A0">
        <w:rPr>
          <w:rFonts w:ascii="Times New Roman" w:hAnsi="Times New Roman" w:cs="Times New Roman"/>
          <w:b/>
          <w:bCs/>
          <w:sz w:val="20"/>
          <w:szCs w:val="20"/>
        </w:rPr>
        <w:t xml:space="preserve">Quadro 2: </w:t>
      </w:r>
      <w:r w:rsidRPr="003625A0">
        <w:rPr>
          <w:rFonts w:ascii="Times New Roman" w:hAnsi="Times New Roman" w:cs="Times New Roman"/>
          <w:sz w:val="20"/>
          <w:szCs w:val="20"/>
        </w:rPr>
        <w:t>Estados por Categoria e Tipo de Evidência Predominante (2020–2025)</w:t>
      </w:r>
    </w:p>
    <w:p w14:paraId="10997450" w14:textId="77777777" w:rsidR="00B614BD" w:rsidRPr="003625A0" w:rsidRDefault="00B614BD" w:rsidP="00B614BD">
      <w:pPr>
        <w:spacing w:after="0" w:line="240" w:lineRule="auto"/>
        <w:jc w:val="both"/>
        <w:rPr>
          <w:rFonts w:ascii="Times New Roman" w:hAnsi="Times New Roman" w:cs="Times New Roman"/>
          <w:sz w:val="20"/>
          <w:szCs w:val="20"/>
        </w:rPr>
      </w:pPr>
    </w:p>
    <w:tbl>
      <w:tblPr>
        <w:tblStyle w:val="TabeladeGrade6Colorida-nfase4"/>
        <w:tblW w:w="0" w:type="auto"/>
        <w:tblLook w:val="04A0" w:firstRow="1" w:lastRow="0" w:firstColumn="1" w:lastColumn="0" w:noHBand="0" w:noVBand="1"/>
      </w:tblPr>
      <w:tblGrid>
        <w:gridCol w:w="1477"/>
        <w:gridCol w:w="4722"/>
        <w:gridCol w:w="2862"/>
      </w:tblGrid>
      <w:tr w:rsidR="00B614BD" w:rsidRPr="003625A0" w14:paraId="42D1C824" w14:textId="77777777" w:rsidTr="00F96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0FCADF" w14:textId="77777777" w:rsidR="00B614BD" w:rsidRPr="0009678F" w:rsidRDefault="00B614BD" w:rsidP="00F96C12">
            <w:pPr>
              <w:jc w:val="center"/>
              <w:rPr>
                <w:rFonts w:ascii="Times New Roman" w:hAnsi="Times New Roman" w:cs="Times New Roman"/>
                <w:color w:val="auto"/>
                <w:sz w:val="20"/>
                <w:szCs w:val="20"/>
              </w:rPr>
            </w:pPr>
            <w:r w:rsidRPr="0009678F">
              <w:rPr>
                <w:rFonts w:ascii="Times New Roman" w:hAnsi="Times New Roman" w:cs="Times New Roman"/>
                <w:color w:val="auto"/>
                <w:sz w:val="20"/>
                <w:szCs w:val="20"/>
              </w:rPr>
              <w:t>Estado</w:t>
            </w:r>
          </w:p>
        </w:tc>
        <w:tc>
          <w:tcPr>
            <w:tcW w:w="0" w:type="auto"/>
            <w:hideMark/>
          </w:tcPr>
          <w:p w14:paraId="7AE6B47C" w14:textId="77777777" w:rsidR="00B614BD" w:rsidRPr="0009678F" w:rsidRDefault="00B614BD" w:rsidP="00F96C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09678F">
              <w:rPr>
                <w:rFonts w:ascii="Times New Roman" w:hAnsi="Times New Roman" w:cs="Times New Roman"/>
                <w:color w:val="auto"/>
                <w:sz w:val="20"/>
                <w:szCs w:val="20"/>
              </w:rPr>
              <w:t>Tipo de Evidência Documental Predominante</w:t>
            </w:r>
          </w:p>
        </w:tc>
        <w:tc>
          <w:tcPr>
            <w:tcW w:w="0" w:type="auto"/>
            <w:hideMark/>
          </w:tcPr>
          <w:p w14:paraId="7FA6F354" w14:textId="77777777" w:rsidR="00B614BD" w:rsidRPr="0009678F" w:rsidRDefault="00B614BD" w:rsidP="00F96C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09678F">
              <w:rPr>
                <w:rFonts w:ascii="Times New Roman" w:hAnsi="Times New Roman" w:cs="Times New Roman"/>
                <w:color w:val="auto"/>
                <w:sz w:val="20"/>
                <w:szCs w:val="20"/>
              </w:rPr>
              <w:t>Categoria Analítica</w:t>
            </w:r>
          </w:p>
        </w:tc>
      </w:tr>
      <w:tr w:rsidR="00B614BD" w:rsidRPr="0009678F" w14:paraId="7F395FD8"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F7D2D7" w14:textId="77777777"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Minas Gerais</w:t>
            </w:r>
          </w:p>
        </w:tc>
        <w:tc>
          <w:tcPr>
            <w:tcW w:w="0" w:type="auto"/>
            <w:hideMark/>
          </w:tcPr>
          <w:p w14:paraId="326039B4"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Decreto geral aplicável ao Executivo estadual + evidências de institucionalização normativa</w:t>
            </w:r>
          </w:p>
        </w:tc>
        <w:tc>
          <w:tcPr>
            <w:tcW w:w="0" w:type="auto"/>
            <w:hideMark/>
          </w:tcPr>
          <w:p w14:paraId="30927FB0"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roofErr w:type="spellStart"/>
            <w:r w:rsidRPr="00CC1288">
              <w:rPr>
                <w:rFonts w:ascii="Times New Roman" w:hAnsi="Times New Roman" w:cs="Times New Roman"/>
                <w:color w:val="auto"/>
                <w:sz w:val="20"/>
                <w:szCs w:val="20"/>
              </w:rPr>
              <w:t>Transversalização</w:t>
            </w:r>
            <w:proofErr w:type="spellEnd"/>
            <w:r w:rsidRPr="00CC1288">
              <w:rPr>
                <w:rFonts w:ascii="Times New Roman" w:hAnsi="Times New Roman" w:cs="Times New Roman"/>
                <w:color w:val="auto"/>
                <w:sz w:val="20"/>
                <w:szCs w:val="20"/>
              </w:rPr>
              <w:t xml:space="preserve"> emergente</w:t>
            </w:r>
          </w:p>
        </w:tc>
      </w:tr>
      <w:tr w:rsidR="00B614BD" w:rsidRPr="0009678F" w14:paraId="34E6062F" w14:textId="77777777" w:rsidTr="00F96C12">
        <w:tc>
          <w:tcPr>
            <w:cnfStyle w:val="001000000000" w:firstRow="0" w:lastRow="0" w:firstColumn="1" w:lastColumn="0" w:oddVBand="0" w:evenVBand="0" w:oddHBand="0" w:evenHBand="0" w:firstRowFirstColumn="0" w:firstRowLastColumn="0" w:lastRowFirstColumn="0" w:lastRowLastColumn="0"/>
            <w:tcW w:w="0" w:type="auto"/>
            <w:hideMark/>
          </w:tcPr>
          <w:p w14:paraId="571EEAA9" w14:textId="77777777"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Goiás</w:t>
            </w:r>
          </w:p>
        </w:tc>
        <w:tc>
          <w:tcPr>
            <w:tcW w:w="0" w:type="auto"/>
            <w:hideMark/>
          </w:tcPr>
          <w:p w14:paraId="581D45B6" w14:textId="77777777" w:rsidR="00B614BD" w:rsidRPr="00CC1288"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Previsão legal ampliável + aplicação estruturada em agência reguladora</w:t>
            </w:r>
          </w:p>
        </w:tc>
        <w:tc>
          <w:tcPr>
            <w:tcW w:w="0" w:type="auto"/>
            <w:hideMark/>
          </w:tcPr>
          <w:p w14:paraId="76083BAB" w14:textId="77777777" w:rsidR="00B614BD" w:rsidRPr="00CC1288"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setorial com potencial de expansão</w:t>
            </w:r>
          </w:p>
        </w:tc>
      </w:tr>
      <w:tr w:rsidR="00094966" w:rsidRPr="0009678F" w14:paraId="0D8C35BD"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F5E540" w14:textId="24408167" w:rsidR="00094966" w:rsidRPr="00CC1288" w:rsidRDefault="00094966" w:rsidP="00094966">
            <w:pPr>
              <w:jc w:val="center"/>
              <w:rPr>
                <w:rFonts w:ascii="Times New Roman" w:hAnsi="Times New Roman" w:cs="Times New Roman"/>
                <w:color w:val="auto"/>
                <w:sz w:val="20"/>
                <w:szCs w:val="20"/>
              </w:rPr>
            </w:pPr>
            <w:r w:rsidRPr="00CC1288">
              <w:rPr>
                <w:rFonts w:ascii="Times New Roman" w:hAnsi="Times New Roman" w:cs="Times New Roman"/>
                <w:b w:val="0"/>
                <w:bCs w:val="0"/>
                <w:color w:val="auto"/>
                <w:sz w:val="20"/>
                <w:szCs w:val="20"/>
              </w:rPr>
              <w:t>Amapá</w:t>
            </w:r>
          </w:p>
        </w:tc>
        <w:tc>
          <w:tcPr>
            <w:tcW w:w="0" w:type="auto"/>
          </w:tcPr>
          <w:p w14:paraId="51686AB7" w14:textId="59B10836" w:rsidR="00094966" w:rsidRPr="00CC1288" w:rsidRDefault="00094966" w:rsidP="00094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Lei estadual de liberdade econômica com menção genérica à AIR + Norma de agência reguladora estadual</w:t>
            </w:r>
          </w:p>
        </w:tc>
        <w:tc>
          <w:tcPr>
            <w:tcW w:w="0" w:type="auto"/>
          </w:tcPr>
          <w:p w14:paraId="2DD2DD9A" w14:textId="7794D781" w:rsidR="00094966" w:rsidRPr="00CC1288" w:rsidRDefault="00094966" w:rsidP="00094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predominantemente setorial</w:t>
            </w:r>
          </w:p>
        </w:tc>
      </w:tr>
      <w:tr w:rsidR="00094966" w:rsidRPr="0009678F" w14:paraId="76C22F68"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59220AC6" w14:textId="66E94781" w:rsidR="00094966" w:rsidRPr="00CC1288" w:rsidRDefault="00094966" w:rsidP="00094966">
            <w:pPr>
              <w:jc w:val="center"/>
              <w:rPr>
                <w:rFonts w:ascii="Times New Roman" w:hAnsi="Times New Roman" w:cs="Times New Roman"/>
                <w:color w:val="auto"/>
                <w:sz w:val="20"/>
                <w:szCs w:val="20"/>
              </w:rPr>
            </w:pPr>
            <w:r w:rsidRPr="00CC1288">
              <w:rPr>
                <w:rFonts w:ascii="Times New Roman" w:hAnsi="Times New Roman" w:cs="Times New Roman"/>
                <w:b w:val="0"/>
                <w:bCs w:val="0"/>
                <w:color w:val="auto"/>
                <w:sz w:val="20"/>
                <w:szCs w:val="20"/>
              </w:rPr>
              <w:t>Distrito Federal</w:t>
            </w:r>
          </w:p>
        </w:tc>
        <w:tc>
          <w:tcPr>
            <w:tcW w:w="0" w:type="auto"/>
          </w:tcPr>
          <w:p w14:paraId="0A042680" w14:textId="1E6900E6" w:rsidR="00094966" w:rsidRPr="00CC1288" w:rsidRDefault="00094966" w:rsidP="00094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Norma de agência reguladora estadual</w:t>
            </w:r>
          </w:p>
        </w:tc>
        <w:tc>
          <w:tcPr>
            <w:tcW w:w="0" w:type="auto"/>
          </w:tcPr>
          <w:p w14:paraId="5C45A46F" w14:textId="3D5433A6" w:rsidR="00094966" w:rsidRPr="00CC1288" w:rsidRDefault="00094966" w:rsidP="00094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predominantemente setorial</w:t>
            </w:r>
          </w:p>
        </w:tc>
      </w:tr>
      <w:tr w:rsidR="00094966" w:rsidRPr="0009678F" w14:paraId="174E488B"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E744FB" w14:textId="199C29CB" w:rsidR="00094966" w:rsidRPr="00CC1288" w:rsidRDefault="00094966" w:rsidP="00094966">
            <w:pPr>
              <w:jc w:val="center"/>
              <w:rPr>
                <w:rFonts w:ascii="Times New Roman" w:hAnsi="Times New Roman" w:cs="Times New Roman"/>
                <w:color w:val="auto"/>
                <w:sz w:val="20"/>
                <w:szCs w:val="20"/>
              </w:rPr>
            </w:pPr>
            <w:r w:rsidRPr="00CC1288">
              <w:rPr>
                <w:rFonts w:ascii="Times New Roman" w:hAnsi="Times New Roman" w:cs="Times New Roman"/>
                <w:b w:val="0"/>
                <w:bCs w:val="0"/>
                <w:color w:val="auto"/>
                <w:sz w:val="20"/>
                <w:szCs w:val="20"/>
              </w:rPr>
              <w:lastRenderedPageBreak/>
              <w:t>Espírito Santo</w:t>
            </w:r>
          </w:p>
        </w:tc>
        <w:tc>
          <w:tcPr>
            <w:tcW w:w="0" w:type="auto"/>
          </w:tcPr>
          <w:p w14:paraId="774E17EA" w14:textId="16FC0BDE" w:rsidR="00094966" w:rsidRPr="00CC1288" w:rsidRDefault="00094966" w:rsidP="00094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Lei estadual de liberdade econômica com menção genérica à AIR + Norma de agência reguladora estadual</w:t>
            </w:r>
          </w:p>
        </w:tc>
        <w:tc>
          <w:tcPr>
            <w:tcW w:w="0" w:type="auto"/>
          </w:tcPr>
          <w:p w14:paraId="09F857D5" w14:textId="2467237A" w:rsidR="00094966" w:rsidRPr="00CC1288" w:rsidRDefault="00094966" w:rsidP="00094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predominantemente setorial</w:t>
            </w:r>
          </w:p>
        </w:tc>
      </w:tr>
      <w:tr w:rsidR="00094966" w:rsidRPr="0009678F" w14:paraId="153A2E23"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041951D2" w14:textId="47B7DF4F" w:rsidR="00094966" w:rsidRPr="00CC1288" w:rsidRDefault="00094966" w:rsidP="00094966">
            <w:pPr>
              <w:jc w:val="center"/>
              <w:rPr>
                <w:rFonts w:ascii="Times New Roman" w:hAnsi="Times New Roman" w:cs="Times New Roman"/>
                <w:color w:val="auto"/>
                <w:sz w:val="20"/>
                <w:szCs w:val="20"/>
              </w:rPr>
            </w:pPr>
            <w:r w:rsidRPr="00CC1288">
              <w:rPr>
                <w:rFonts w:ascii="Times New Roman" w:hAnsi="Times New Roman" w:cs="Times New Roman"/>
                <w:b w:val="0"/>
                <w:bCs w:val="0"/>
                <w:color w:val="auto"/>
                <w:sz w:val="20"/>
                <w:szCs w:val="20"/>
              </w:rPr>
              <w:t>Mato Grosso</w:t>
            </w:r>
          </w:p>
        </w:tc>
        <w:tc>
          <w:tcPr>
            <w:tcW w:w="0" w:type="auto"/>
          </w:tcPr>
          <w:p w14:paraId="5A6490F9" w14:textId="73FEB7E2" w:rsidR="00094966" w:rsidRPr="00CC1288" w:rsidRDefault="00094966" w:rsidP="00094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Norma de agência reguladora estadual</w:t>
            </w:r>
          </w:p>
        </w:tc>
        <w:tc>
          <w:tcPr>
            <w:tcW w:w="0" w:type="auto"/>
          </w:tcPr>
          <w:p w14:paraId="5F1A7653" w14:textId="743233C3" w:rsidR="00094966" w:rsidRPr="00CC1288" w:rsidRDefault="00094966" w:rsidP="00094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predominantemente setorial</w:t>
            </w:r>
          </w:p>
        </w:tc>
      </w:tr>
      <w:tr w:rsidR="00B614BD" w:rsidRPr="0009678F" w14:paraId="65E639B1"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E80DC7" w14:textId="77777777"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Paraná</w:t>
            </w:r>
          </w:p>
        </w:tc>
        <w:tc>
          <w:tcPr>
            <w:tcW w:w="0" w:type="auto"/>
            <w:hideMark/>
          </w:tcPr>
          <w:p w14:paraId="7D656727"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Norma de agência reguladora estadual</w:t>
            </w:r>
          </w:p>
        </w:tc>
        <w:tc>
          <w:tcPr>
            <w:tcW w:w="0" w:type="auto"/>
            <w:hideMark/>
          </w:tcPr>
          <w:p w14:paraId="36333788"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predominantemente setorial</w:t>
            </w:r>
          </w:p>
        </w:tc>
      </w:tr>
      <w:tr w:rsidR="00094966" w:rsidRPr="0009678F" w14:paraId="26AC3923"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7142480E" w14:textId="38778228" w:rsidR="00094966" w:rsidRPr="00CC1288" w:rsidRDefault="00094966" w:rsidP="00094966">
            <w:pPr>
              <w:jc w:val="center"/>
              <w:rPr>
                <w:rFonts w:ascii="Times New Roman" w:hAnsi="Times New Roman" w:cs="Times New Roman"/>
                <w:color w:val="auto"/>
                <w:sz w:val="20"/>
                <w:szCs w:val="20"/>
              </w:rPr>
            </w:pPr>
            <w:r w:rsidRPr="00CC1288">
              <w:rPr>
                <w:rFonts w:ascii="Times New Roman" w:hAnsi="Times New Roman" w:cs="Times New Roman"/>
                <w:b w:val="0"/>
                <w:bCs w:val="0"/>
                <w:color w:val="auto"/>
                <w:sz w:val="20"/>
                <w:szCs w:val="20"/>
              </w:rPr>
              <w:t>São Paulo</w:t>
            </w:r>
          </w:p>
        </w:tc>
        <w:tc>
          <w:tcPr>
            <w:tcW w:w="0" w:type="auto"/>
          </w:tcPr>
          <w:p w14:paraId="16D32861" w14:textId="5BC9142B" w:rsidR="00094966" w:rsidRPr="00CC1288" w:rsidRDefault="00094966" w:rsidP="00094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Norma/guia de AIR no âmbito de agência reguladora estadual</w:t>
            </w:r>
          </w:p>
        </w:tc>
        <w:tc>
          <w:tcPr>
            <w:tcW w:w="0" w:type="auto"/>
          </w:tcPr>
          <w:p w14:paraId="3DC0C0AB" w14:textId="4C179514" w:rsidR="00094966" w:rsidRPr="00CC1288" w:rsidRDefault="00094966" w:rsidP="00094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predominantemente setorial</w:t>
            </w:r>
          </w:p>
        </w:tc>
      </w:tr>
      <w:tr w:rsidR="00094966" w:rsidRPr="0009678F" w14:paraId="7160A41A" w14:textId="77777777" w:rsidTr="000949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401A9C" w14:textId="155EA6C7" w:rsidR="00094966" w:rsidRPr="00CC1288" w:rsidRDefault="00094966" w:rsidP="00094966">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Sergipe</w:t>
            </w:r>
          </w:p>
        </w:tc>
        <w:tc>
          <w:tcPr>
            <w:tcW w:w="0" w:type="auto"/>
          </w:tcPr>
          <w:p w14:paraId="5249AE4F" w14:textId="6B30CA66" w:rsidR="00094966" w:rsidRPr="00CC1288" w:rsidRDefault="00094966" w:rsidP="00094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Norma/guia de AIR no âmbito de agência reguladora estadual</w:t>
            </w:r>
          </w:p>
        </w:tc>
        <w:tc>
          <w:tcPr>
            <w:tcW w:w="0" w:type="auto"/>
          </w:tcPr>
          <w:p w14:paraId="6FB0EC28" w14:textId="49D1AE67" w:rsidR="00094966" w:rsidRPr="00CC1288" w:rsidRDefault="00094966" w:rsidP="0009496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predominantemente setorial</w:t>
            </w:r>
          </w:p>
        </w:tc>
      </w:tr>
      <w:tr w:rsidR="00094966" w:rsidRPr="0009678F" w14:paraId="0053BEE7"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7CD3D269" w14:textId="06FD7203" w:rsidR="00094966" w:rsidRPr="00CC1288" w:rsidRDefault="00094966" w:rsidP="00094966">
            <w:pPr>
              <w:jc w:val="center"/>
              <w:rPr>
                <w:rFonts w:ascii="Times New Roman" w:hAnsi="Times New Roman" w:cs="Times New Roman"/>
                <w:color w:val="auto"/>
                <w:sz w:val="20"/>
                <w:szCs w:val="20"/>
              </w:rPr>
            </w:pPr>
            <w:r w:rsidRPr="00CC1288">
              <w:rPr>
                <w:rFonts w:ascii="Times New Roman" w:hAnsi="Times New Roman" w:cs="Times New Roman"/>
                <w:b w:val="0"/>
                <w:bCs w:val="0"/>
                <w:color w:val="auto"/>
                <w:sz w:val="20"/>
                <w:szCs w:val="20"/>
              </w:rPr>
              <w:t>Rio Grande do Sul</w:t>
            </w:r>
          </w:p>
        </w:tc>
        <w:tc>
          <w:tcPr>
            <w:tcW w:w="0" w:type="auto"/>
          </w:tcPr>
          <w:p w14:paraId="653C0C6A" w14:textId="440B9EF4" w:rsidR="00094966" w:rsidRPr="00CC1288" w:rsidRDefault="00094966" w:rsidP="00094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Lei estadual de liberdade econômica com menção genérica à AIR + Norma de agência reguladora estadual</w:t>
            </w:r>
          </w:p>
        </w:tc>
        <w:tc>
          <w:tcPr>
            <w:tcW w:w="0" w:type="auto"/>
          </w:tcPr>
          <w:p w14:paraId="4BB52B87" w14:textId="0CDDC385" w:rsidR="00094966" w:rsidRPr="00CC1288" w:rsidRDefault="00094966" w:rsidP="0009496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Institucionalização predominantemente setorial</w:t>
            </w:r>
          </w:p>
        </w:tc>
      </w:tr>
      <w:tr w:rsidR="00B614BD" w:rsidRPr="0009678F" w14:paraId="10C30ED8"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84771A" w14:textId="77777777"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Acre</w:t>
            </w:r>
          </w:p>
        </w:tc>
        <w:tc>
          <w:tcPr>
            <w:tcW w:w="0" w:type="auto"/>
            <w:hideMark/>
          </w:tcPr>
          <w:p w14:paraId="2BD9EB73" w14:textId="17ADF71B" w:rsidR="00B614BD" w:rsidRPr="00CC1288" w:rsidRDefault="009119B3"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 xml:space="preserve">Decreto geral aplicável ao Executivo estadual </w:t>
            </w:r>
            <w:r w:rsidR="00B614BD" w:rsidRPr="00CC1288">
              <w:rPr>
                <w:rFonts w:ascii="Times New Roman" w:hAnsi="Times New Roman" w:cs="Times New Roman"/>
                <w:color w:val="auto"/>
                <w:sz w:val="20"/>
                <w:szCs w:val="20"/>
              </w:rPr>
              <w:t xml:space="preserve">com menção genérica à </w:t>
            </w:r>
            <w:r w:rsidRPr="00CC1288">
              <w:rPr>
                <w:rFonts w:ascii="Times New Roman" w:hAnsi="Times New Roman" w:cs="Times New Roman"/>
                <w:color w:val="auto"/>
                <w:sz w:val="20"/>
                <w:szCs w:val="20"/>
              </w:rPr>
              <w:t>estimativa de impacto orçamentário-financeiro</w:t>
            </w:r>
          </w:p>
        </w:tc>
        <w:tc>
          <w:tcPr>
            <w:tcW w:w="0" w:type="auto"/>
            <w:hideMark/>
          </w:tcPr>
          <w:p w14:paraId="622A6DCC"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Formalização normativa replicada</w:t>
            </w:r>
          </w:p>
        </w:tc>
      </w:tr>
      <w:tr w:rsidR="00B614BD" w:rsidRPr="0009678F" w14:paraId="11582ACC" w14:textId="77777777" w:rsidTr="00F96C12">
        <w:tc>
          <w:tcPr>
            <w:cnfStyle w:val="001000000000" w:firstRow="0" w:lastRow="0" w:firstColumn="1" w:lastColumn="0" w:oddVBand="0" w:evenVBand="0" w:oddHBand="0" w:evenHBand="0" w:firstRowFirstColumn="0" w:firstRowLastColumn="0" w:lastRowFirstColumn="0" w:lastRowLastColumn="0"/>
            <w:tcW w:w="0" w:type="auto"/>
            <w:hideMark/>
          </w:tcPr>
          <w:p w14:paraId="261D1EE1" w14:textId="77777777"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Alagoas</w:t>
            </w:r>
          </w:p>
        </w:tc>
        <w:tc>
          <w:tcPr>
            <w:tcW w:w="0" w:type="auto"/>
            <w:hideMark/>
          </w:tcPr>
          <w:p w14:paraId="4636703C" w14:textId="77777777" w:rsidR="00B614BD" w:rsidRPr="00CC1288"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Lei estadual de liberdade econômica com menção genérica à AIR</w:t>
            </w:r>
          </w:p>
        </w:tc>
        <w:tc>
          <w:tcPr>
            <w:tcW w:w="0" w:type="auto"/>
            <w:hideMark/>
          </w:tcPr>
          <w:p w14:paraId="317C871D" w14:textId="77777777" w:rsidR="00B614BD" w:rsidRPr="00CC1288"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Formalização normativa replicada</w:t>
            </w:r>
          </w:p>
        </w:tc>
      </w:tr>
      <w:tr w:rsidR="00B614BD" w:rsidRPr="0009678F" w14:paraId="5DD0237C"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97BFD9" w14:textId="1766139B" w:rsidR="00B614BD" w:rsidRPr="00CC1288" w:rsidRDefault="009119B3"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Amazonas</w:t>
            </w:r>
          </w:p>
        </w:tc>
        <w:tc>
          <w:tcPr>
            <w:tcW w:w="0" w:type="auto"/>
            <w:hideMark/>
          </w:tcPr>
          <w:p w14:paraId="27A7A5E0"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Lei estadual de liberdade econômica com menção genérica à AIR</w:t>
            </w:r>
          </w:p>
        </w:tc>
        <w:tc>
          <w:tcPr>
            <w:tcW w:w="0" w:type="auto"/>
            <w:hideMark/>
          </w:tcPr>
          <w:p w14:paraId="65934522"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Formalização normativa replicada</w:t>
            </w:r>
          </w:p>
        </w:tc>
      </w:tr>
      <w:tr w:rsidR="00B614BD" w:rsidRPr="0009678F" w14:paraId="33043456" w14:textId="77777777" w:rsidTr="00F96C12">
        <w:tc>
          <w:tcPr>
            <w:cnfStyle w:val="001000000000" w:firstRow="0" w:lastRow="0" w:firstColumn="1" w:lastColumn="0" w:oddVBand="0" w:evenVBand="0" w:oddHBand="0" w:evenHBand="0" w:firstRowFirstColumn="0" w:firstRowLastColumn="0" w:lastRowFirstColumn="0" w:lastRowLastColumn="0"/>
            <w:tcW w:w="0" w:type="auto"/>
            <w:hideMark/>
          </w:tcPr>
          <w:p w14:paraId="3E11D053" w14:textId="77777777"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Mato Grosso do Sul</w:t>
            </w:r>
          </w:p>
        </w:tc>
        <w:tc>
          <w:tcPr>
            <w:tcW w:w="0" w:type="auto"/>
            <w:hideMark/>
          </w:tcPr>
          <w:p w14:paraId="4C71D68B" w14:textId="77777777" w:rsidR="00B614BD" w:rsidRPr="00CC1288"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Lei estadual de liberdade econômica com menção genérica à AIR</w:t>
            </w:r>
          </w:p>
        </w:tc>
        <w:tc>
          <w:tcPr>
            <w:tcW w:w="0" w:type="auto"/>
            <w:hideMark/>
          </w:tcPr>
          <w:p w14:paraId="46407CE5" w14:textId="77777777" w:rsidR="00B614BD" w:rsidRPr="00CC1288"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Formalização normativa replicada</w:t>
            </w:r>
          </w:p>
        </w:tc>
      </w:tr>
      <w:tr w:rsidR="00B614BD" w:rsidRPr="0009678F" w14:paraId="31CA4CF9"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EC8439" w14:textId="77777777"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Rondônia</w:t>
            </w:r>
          </w:p>
        </w:tc>
        <w:tc>
          <w:tcPr>
            <w:tcW w:w="0" w:type="auto"/>
            <w:hideMark/>
          </w:tcPr>
          <w:p w14:paraId="69991E2D"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Lei estadual de liberdade econômica com menção genérica à AIR</w:t>
            </w:r>
          </w:p>
        </w:tc>
        <w:tc>
          <w:tcPr>
            <w:tcW w:w="0" w:type="auto"/>
            <w:hideMark/>
          </w:tcPr>
          <w:p w14:paraId="32278948"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Formalização normativa replicada</w:t>
            </w:r>
          </w:p>
        </w:tc>
      </w:tr>
      <w:tr w:rsidR="00560649" w:rsidRPr="0009678F" w14:paraId="0CD94165"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5188C803" w14:textId="10E1D278" w:rsidR="00560649" w:rsidRPr="00CC1288" w:rsidRDefault="00560649" w:rsidP="00560649">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Roraima</w:t>
            </w:r>
          </w:p>
        </w:tc>
        <w:tc>
          <w:tcPr>
            <w:tcW w:w="0" w:type="auto"/>
          </w:tcPr>
          <w:p w14:paraId="076E06FE" w14:textId="01556CC0" w:rsidR="00560649" w:rsidRPr="00CC1288" w:rsidRDefault="00560649" w:rsidP="005606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Lei estadual de liberdade econômica com menção genérica à AIR</w:t>
            </w:r>
          </w:p>
        </w:tc>
        <w:tc>
          <w:tcPr>
            <w:tcW w:w="0" w:type="auto"/>
          </w:tcPr>
          <w:p w14:paraId="230EE0F8" w14:textId="4539A9E9" w:rsidR="00560649" w:rsidRPr="00CC1288" w:rsidRDefault="00560649" w:rsidP="005606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Formalização normativa replicada</w:t>
            </w:r>
          </w:p>
        </w:tc>
      </w:tr>
      <w:tr w:rsidR="00B614BD" w:rsidRPr="0009678F" w14:paraId="46CFE1A6"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D40C80" w14:textId="0A73E078" w:rsidR="00B614BD" w:rsidRPr="00CC1288" w:rsidRDefault="009119B3"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Bahia</w:t>
            </w:r>
          </w:p>
        </w:tc>
        <w:tc>
          <w:tcPr>
            <w:tcW w:w="0" w:type="auto"/>
            <w:hideMark/>
          </w:tcPr>
          <w:p w14:paraId="14F06098"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hideMark/>
          </w:tcPr>
          <w:p w14:paraId="64B675BE"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9119B3" w:rsidRPr="0009678F" w14:paraId="7696A15E"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35114CDF" w14:textId="0BB99D3F" w:rsidR="009119B3" w:rsidRPr="00CC1288" w:rsidRDefault="009119B3" w:rsidP="009119B3">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Ceará</w:t>
            </w:r>
          </w:p>
        </w:tc>
        <w:tc>
          <w:tcPr>
            <w:tcW w:w="0" w:type="auto"/>
          </w:tcPr>
          <w:p w14:paraId="73BECE1E" w14:textId="52AEBCD5" w:rsidR="009119B3" w:rsidRPr="00CC1288" w:rsidRDefault="009119B3" w:rsidP="009119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tcPr>
          <w:p w14:paraId="79F63D32" w14:textId="148F157E" w:rsidR="009119B3" w:rsidRPr="00CC1288" w:rsidRDefault="009119B3" w:rsidP="009119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B614BD" w:rsidRPr="0009678F" w14:paraId="73F8FD04"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107F2A" w14:textId="77777777"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Maranhão</w:t>
            </w:r>
          </w:p>
        </w:tc>
        <w:tc>
          <w:tcPr>
            <w:tcW w:w="0" w:type="auto"/>
            <w:hideMark/>
          </w:tcPr>
          <w:p w14:paraId="03EB2A48"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hideMark/>
          </w:tcPr>
          <w:p w14:paraId="6FC1AC39"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B614BD" w:rsidRPr="0009678F" w14:paraId="30AE5F4F" w14:textId="77777777" w:rsidTr="00F96C12">
        <w:tc>
          <w:tcPr>
            <w:cnfStyle w:val="001000000000" w:firstRow="0" w:lastRow="0" w:firstColumn="1" w:lastColumn="0" w:oddVBand="0" w:evenVBand="0" w:oddHBand="0" w:evenHBand="0" w:firstRowFirstColumn="0" w:firstRowLastColumn="0" w:lastRowFirstColumn="0" w:lastRowLastColumn="0"/>
            <w:tcW w:w="0" w:type="auto"/>
            <w:hideMark/>
          </w:tcPr>
          <w:p w14:paraId="320F7B77" w14:textId="4047B6EA" w:rsidR="00B614BD" w:rsidRPr="00CC1288" w:rsidRDefault="00B614BD"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P</w:t>
            </w:r>
            <w:r w:rsidR="00560649" w:rsidRPr="00CC1288">
              <w:rPr>
                <w:rFonts w:ascii="Times New Roman" w:hAnsi="Times New Roman" w:cs="Times New Roman"/>
                <w:b w:val="0"/>
                <w:bCs w:val="0"/>
                <w:color w:val="auto"/>
                <w:sz w:val="20"/>
                <w:szCs w:val="20"/>
              </w:rPr>
              <w:t>ará</w:t>
            </w:r>
          </w:p>
        </w:tc>
        <w:tc>
          <w:tcPr>
            <w:tcW w:w="0" w:type="auto"/>
            <w:hideMark/>
          </w:tcPr>
          <w:p w14:paraId="17004532" w14:textId="77777777" w:rsidR="00B614BD" w:rsidRPr="00CC1288"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hideMark/>
          </w:tcPr>
          <w:p w14:paraId="006B5527" w14:textId="77777777" w:rsidR="00B614BD" w:rsidRPr="00CC1288" w:rsidRDefault="00B614BD" w:rsidP="00F96C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B614BD" w:rsidRPr="0009678F" w14:paraId="6EF422FA"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8B1EA3" w14:textId="470DEE7E" w:rsidR="00B614BD" w:rsidRPr="00CC1288" w:rsidRDefault="00560649"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Paraíba</w:t>
            </w:r>
          </w:p>
        </w:tc>
        <w:tc>
          <w:tcPr>
            <w:tcW w:w="0" w:type="auto"/>
            <w:hideMark/>
          </w:tcPr>
          <w:p w14:paraId="70231663"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hideMark/>
          </w:tcPr>
          <w:p w14:paraId="0D1EBAE2"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560649" w:rsidRPr="0009678F" w14:paraId="0C400640"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5FA2494E" w14:textId="7EF17CA9" w:rsidR="00560649" w:rsidRPr="00CC1288" w:rsidRDefault="00560649" w:rsidP="00560649">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Pernambuco</w:t>
            </w:r>
          </w:p>
        </w:tc>
        <w:tc>
          <w:tcPr>
            <w:tcW w:w="0" w:type="auto"/>
          </w:tcPr>
          <w:p w14:paraId="6FE323B4" w14:textId="5FE3BF6D" w:rsidR="00560649" w:rsidRPr="00CC1288" w:rsidRDefault="00560649" w:rsidP="005606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tcPr>
          <w:p w14:paraId="77DD9F95" w14:textId="3F33AEC3" w:rsidR="00560649" w:rsidRPr="00CC1288" w:rsidRDefault="00560649" w:rsidP="005606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B614BD" w:rsidRPr="0009678F" w14:paraId="33FBFF5B"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EEB779" w14:textId="4C0C09EA" w:rsidR="00B614BD" w:rsidRPr="00CC1288" w:rsidRDefault="00560649" w:rsidP="00F96C12">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Piauí</w:t>
            </w:r>
          </w:p>
        </w:tc>
        <w:tc>
          <w:tcPr>
            <w:tcW w:w="0" w:type="auto"/>
            <w:hideMark/>
          </w:tcPr>
          <w:p w14:paraId="2F01711A"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hideMark/>
          </w:tcPr>
          <w:p w14:paraId="655CCB9C" w14:textId="77777777" w:rsidR="00B614BD" w:rsidRPr="00CC1288" w:rsidRDefault="00B614BD" w:rsidP="00F96C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560649" w:rsidRPr="0009678F" w14:paraId="509C69D3"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0FDF69F5" w14:textId="5DEE08D9" w:rsidR="00560649" w:rsidRPr="00CC1288" w:rsidRDefault="00560649" w:rsidP="00560649">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Rio de Janeiro</w:t>
            </w:r>
          </w:p>
        </w:tc>
        <w:tc>
          <w:tcPr>
            <w:tcW w:w="0" w:type="auto"/>
          </w:tcPr>
          <w:p w14:paraId="08F09614" w14:textId="1ED096F9" w:rsidR="00560649" w:rsidRPr="00CC1288" w:rsidRDefault="00560649" w:rsidP="005606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tcPr>
          <w:p w14:paraId="10BA27FA" w14:textId="433C88FA" w:rsidR="00560649" w:rsidRPr="00CC1288" w:rsidRDefault="00560649" w:rsidP="005606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560649" w:rsidRPr="0009678F" w14:paraId="46877FAC"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70A081" w14:textId="21DD3AE5" w:rsidR="00560649" w:rsidRPr="00CC1288" w:rsidRDefault="00560649" w:rsidP="00560649">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Rio Grande do Norte</w:t>
            </w:r>
          </w:p>
        </w:tc>
        <w:tc>
          <w:tcPr>
            <w:tcW w:w="0" w:type="auto"/>
          </w:tcPr>
          <w:p w14:paraId="20CA548D" w14:textId="4E98A6E3" w:rsidR="00560649" w:rsidRPr="00CC1288" w:rsidRDefault="00560649" w:rsidP="005606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tcPr>
          <w:p w14:paraId="0D1A56FA" w14:textId="514729FB" w:rsidR="00560649" w:rsidRPr="00CC1288" w:rsidRDefault="00560649" w:rsidP="005606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560649" w:rsidRPr="0009678F" w14:paraId="2ABE585B" w14:textId="77777777" w:rsidTr="00F96C12">
        <w:tc>
          <w:tcPr>
            <w:cnfStyle w:val="001000000000" w:firstRow="0" w:lastRow="0" w:firstColumn="1" w:lastColumn="0" w:oddVBand="0" w:evenVBand="0" w:oddHBand="0" w:evenHBand="0" w:firstRowFirstColumn="0" w:firstRowLastColumn="0" w:lastRowFirstColumn="0" w:lastRowLastColumn="0"/>
            <w:tcW w:w="0" w:type="auto"/>
          </w:tcPr>
          <w:p w14:paraId="0FD1D99B" w14:textId="1BF712F7" w:rsidR="00560649" w:rsidRPr="00CC1288" w:rsidRDefault="00560649" w:rsidP="00560649">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Santa Catarina</w:t>
            </w:r>
          </w:p>
        </w:tc>
        <w:tc>
          <w:tcPr>
            <w:tcW w:w="0" w:type="auto"/>
          </w:tcPr>
          <w:p w14:paraId="0095CBEE" w14:textId="12E29E38" w:rsidR="00560649" w:rsidRPr="00CC1288" w:rsidRDefault="00560649" w:rsidP="005606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tcPr>
          <w:p w14:paraId="0DBD1AEB" w14:textId="1ADC8D7B" w:rsidR="00560649" w:rsidRPr="00CC1288" w:rsidRDefault="00560649" w:rsidP="0056064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r w:rsidR="00560649" w:rsidRPr="0009678F" w14:paraId="6B0F253C" w14:textId="77777777" w:rsidTr="00F96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ACE1D5" w14:textId="4429688E" w:rsidR="00560649" w:rsidRPr="00CC1288" w:rsidRDefault="00560649" w:rsidP="00560649">
            <w:pPr>
              <w:jc w:val="center"/>
              <w:rPr>
                <w:rFonts w:ascii="Times New Roman" w:hAnsi="Times New Roman" w:cs="Times New Roman"/>
                <w:b w:val="0"/>
                <w:bCs w:val="0"/>
                <w:color w:val="auto"/>
                <w:sz w:val="20"/>
                <w:szCs w:val="20"/>
              </w:rPr>
            </w:pPr>
            <w:r w:rsidRPr="00CC1288">
              <w:rPr>
                <w:rFonts w:ascii="Times New Roman" w:hAnsi="Times New Roman" w:cs="Times New Roman"/>
                <w:b w:val="0"/>
                <w:bCs w:val="0"/>
                <w:color w:val="auto"/>
                <w:sz w:val="20"/>
                <w:szCs w:val="20"/>
              </w:rPr>
              <w:t>Tocantins</w:t>
            </w:r>
          </w:p>
        </w:tc>
        <w:tc>
          <w:tcPr>
            <w:tcW w:w="0" w:type="auto"/>
          </w:tcPr>
          <w:p w14:paraId="3A606D63" w14:textId="439FA300" w:rsidR="00560649" w:rsidRPr="00CC1288" w:rsidRDefault="00560649" w:rsidP="005606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Nenhuma evidência normativa estruturada identificada</w:t>
            </w:r>
          </w:p>
        </w:tc>
        <w:tc>
          <w:tcPr>
            <w:tcW w:w="0" w:type="auto"/>
          </w:tcPr>
          <w:p w14:paraId="205153F8" w14:textId="5E3D0586" w:rsidR="00560649" w:rsidRPr="00CC1288" w:rsidRDefault="00560649" w:rsidP="0056064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CC1288">
              <w:rPr>
                <w:rFonts w:ascii="Times New Roman" w:hAnsi="Times New Roman" w:cs="Times New Roman"/>
                <w:color w:val="auto"/>
                <w:sz w:val="20"/>
                <w:szCs w:val="20"/>
              </w:rPr>
              <w:t>Ausência de normatização estruturada identificável</w:t>
            </w:r>
          </w:p>
        </w:tc>
      </w:tr>
    </w:tbl>
    <w:p w14:paraId="65801E2C" w14:textId="77777777" w:rsidR="00B614BD" w:rsidRDefault="00B614BD" w:rsidP="00B614BD">
      <w:pPr>
        <w:spacing w:after="0" w:line="240" w:lineRule="auto"/>
        <w:jc w:val="both"/>
        <w:rPr>
          <w:rFonts w:ascii="Times New Roman" w:hAnsi="Times New Roman" w:cs="Times New Roman"/>
          <w:sz w:val="20"/>
          <w:szCs w:val="20"/>
        </w:rPr>
      </w:pPr>
    </w:p>
    <w:p w14:paraId="7F126F33" w14:textId="77777777" w:rsidR="00B614BD" w:rsidRPr="009E1058" w:rsidRDefault="00B614BD" w:rsidP="00B614BD">
      <w:pPr>
        <w:spacing w:after="0" w:line="240" w:lineRule="auto"/>
        <w:jc w:val="both"/>
        <w:rPr>
          <w:rFonts w:ascii="Times New Roman" w:hAnsi="Times New Roman" w:cs="Times New Roman"/>
          <w:sz w:val="20"/>
          <w:szCs w:val="20"/>
        </w:rPr>
      </w:pPr>
      <w:r w:rsidRPr="009E1058">
        <w:rPr>
          <w:rFonts w:ascii="Times New Roman" w:hAnsi="Times New Roman" w:cs="Times New Roman"/>
          <w:sz w:val="20"/>
          <w:szCs w:val="20"/>
        </w:rPr>
        <w:t>Fonte: elaboração própria a partir de análise documental (2020–2025).</w:t>
      </w:r>
    </w:p>
    <w:p w14:paraId="7321278D" w14:textId="77777777" w:rsidR="00852C6C" w:rsidRDefault="00852C6C" w:rsidP="00B614BD">
      <w:pPr>
        <w:spacing w:after="0" w:line="360" w:lineRule="auto"/>
        <w:ind w:firstLine="708"/>
        <w:jc w:val="both"/>
        <w:rPr>
          <w:rFonts w:ascii="Times New Roman" w:hAnsi="Times New Roman" w:cs="Times New Roman"/>
          <w:sz w:val="24"/>
          <w:szCs w:val="24"/>
        </w:rPr>
      </w:pPr>
    </w:p>
    <w:p w14:paraId="45FBAE02" w14:textId="77777777" w:rsidR="00D079DB" w:rsidRDefault="00DE2AC6" w:rsidP="00D079DB">
      <w:pPr>
        <w:spacing w:after="0" w:line="360" w:lineRule="auto"/>
        <w:ind w:firstLine="708"/>
        <w:jc w:val="both"/>
        <w:rPr>
          <w:rFonts w:ascii="Times New Roman" w:hAnsi="Times New Roman" w:cs="Times New Roman"/>
          <w:sz w:val="24"/>
          <w:szCs w:val="24"/>
        </w:rPr>
      </w:pPr>
      <w:r w:rsidRPr="00DE2AC6">
        <w:rPr>
          <w:rFonts w:ascii="Times New Roman" w:hAnsi="Times New Roman" w:cs="Times New Roman"/>
          <w:sz w:val="24"/>
          <w:szCs w:val="24"/>
        </w:rPr>
        <w:t xml:space="preserve">A apresentação nominal dos estados não tem por finalidade estabelecer juízo de valor ou </w:t>
      </w:r>
      <w:r w:rsidRPr="00DE2AC6">
        <w:rPr>
          <w:rFonts w:ascii="Times New Roman" w:hAnsi="Times New Roman" w:cs="Times New Roman"/>
          <w:i/>
          <w:iCs/>
          <w:sz w:val="24"/>
          <w:szCs w:val="24"/>
        </w:rPr>
        <w:t>ranking</w:t>
      </w:r>
      <w:r w:rsidRPr="00DE2AC6">
        <w:rPr>
          <w:rFonts w:ascii="Times New Roman" w:hAnsi="Times New Roman" w:cs="Times New Roman"/>
          <w:sz w:val="24"/>
          <w:szCs w:val="24"/>
        </w:rPr>
        <w:t xml:space="preserve"> federativo, mas explicitar a composição empírica da tipologia construída. </w:t>
      </w:r>
      <w:r w:rsidR="00D079DB" w:rsidRPr="00D079DB">
        <w:rPr>
          <w:rFonts w:ascii="Times New Roman" w:hAnsi="Times New Roman" w:cs="Times New Roman"/>
          <w:sz w:val="24"/>
          <w:szCs w:val="24"/>
        </w:rPr>
        <w:t>A classificação deve ser compreendida como fotografia institucional do período analisado, não como avaliação de desempenho federativo.</w:t>
      </w:r>
    </w:p>
    <w:p w14:paraId="26878678" w14:textId="3F2693AA" w:rsidR="00DA30DA" w:rsidRDefault="00D079DB" w:rsidP="00D079D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Logo, a </w:t>
      </w:r>
      <w:r w:rsidRPr="00D079DB">
        <w:rPr>
          <w:rFonts w:ascii="Times New Roman" w:hAnsi="Times New Roman" w:cs="Times New Roman"/>
          <w:sz w:val="24"/>
          <w:szCs w:val="24"/>
        </w:rPr>
        <w:t>classificação não implica avaliação global da qualidade administrativa dos entes federativos, limitando-se ao objeto específico da institucionalização da AIR como política transversal.</w:t>
      </w:r>
    </w:p>
    <w:p w14:paraId="10A6810C" w14:textId="77777777" w:rsidR="00D079DB" w:rsidRPr="009E1058" w:rsidRDefault="00D079DB" w:rsidP="00D079DB">
      <w:pPr>
        <w:spacing w:after="0" w:line="360" w:lineRule="auto"/>
        <w:ind w:firstLine="708"/>
        <w:jc w:val="both"/>
        <w:rPr>
          <w:rFonts w:ascii="Times New Roman" w:hAnsi="Times New Roman" w:cs="Times New Roman"/>
          <w:sz w:val="24"/>
          <w:szCs w:val="24"/>
        </w:rPr>
      </w:pPr>
    </w:p>
    <w:p w14:paraId="1A8FAD65" w14:textId="2FEDB224" w:rsidR="007C7A4A" w:rsidRPr="009E1058" w:rsidRDefault="00C75C88" w:rsidP="007C7A4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F46949" w:rsidRPr="009E1058">
        <w:rPr>
          <w:rFonts w:ascii="Times New Roman" w:hAnsi="Times New Roman" w:cs="Times New Roman"/>
          <w:b/>
          <w:bCs/>
          <w:sz w:val="24"/>
          <w:szCs w:val="24"/>
        </w:rPr>
        <w:t xml:space="preserve"> </w:t>
      </w:r>
      <w:r w:rsidR="007C7A4A" w:rsidRPr="009E1058">
        <w:rPr>
          <w:rFonts w:ascii="Times New Roman" w:hAnsi="Times New Roman" w:cs="Times New Roman"/>
          <w:b/>
          <w:bCs/>
          <w:sz w:val="24"/>
          <w:szCs w:val="24"/>
        </w:rPr>
        <w:t>CONCLUSÕES</w:t>
      </w:r>
    </w:p>
    <w:p w14:paraId="127590AE" w14:textId="77777777" w:rsidR="00E744BB" w:rsidRPr="009E1058" w:rsidRDefault="00E744BB" w:rsidP="007C7A4A">
      <w:pPr>
        <w:spacing w:after="0" w:line="360" w:lineRule="auto"/>
        <w:jc w:val="both"/>
        <w:rPr>
          <w:rFonts w:ascii="Times New Roman" w:hAnsi="Times New Roman" w:cs="Times New Roman"/>
          <w:sz w:val="24"/>
          <w:szCs w:val="24"/>
        </w:rPr>
      </w:pPr>
    </w:p>
    <w:p w14:paraId="6F8AD56E" w14:textId="5A757548" w:rsidR="002C401C" w:rsidRDefault="002C401C" w:rsidP="00CC1288">
      <w:pPr>
        <w:spacing w:after="0" w:line="360" w:lineRule="auto"/>
        <w:ind w:firstLine="708"/>
        <w:jc w:val="both"/>
        <w:rPr>
          <w:rFonts w:ascii="Times New Roman" w:hAnsi="Times New Roman" w:cs="Times New Roman"/>
          <w:sz w:val="24"/>
          <w:szCs w:val="24"/>
        </w:rPr>
      </w:pPr>
      <w:r w:rsidRPr="002C401C">
        <w:rPr>
          <w:rFonts w:ascii="Times New Roman" w:hAnsi="Times New Roman" w:cs="Times New Roman"/>
          <w:sz w:val="24"/>
          <w:szCs w:val="24"/>
        </w:rPr>
        <w:t>A presente pesquisa analisou em que medida a</w:t>
      </w:r>
      <w:r>
        <w:rPr>
          <w:rFonts w:ascii="Times New Roman" w:hAnsi="Times New Roman" w:cs="Times New Roman"/>
          <w:sz w:val="24"/>
          <w:szCs w:val="24"/>
        </w:rPr>
        <w:t xml:space="preserve"> </w:t>
      </w:r>
      <w:r w:rsidRPr="002C401C">
        <w:rPr>
          <w:rFonts w:ascii="Times New Roman" w:hAnsi="Times New Roman" w:cs="Times New Roman"/>
          <w:sz w:val="24"/>
          <w:szCs w:val="24"/>
        </w:rPr>
        <w:t xml:space="preserve">AIR tem sido institucionalizada como política transversal do Executivo estadual no Brasil federativo. A partir de pesquisa documental sistemática e análise de conteúdo dos atos normativos estaduais no período de 2020 a 2025, verificou-se que a consolidação da AIR como política de Estado permanece heterogênea e, na maior parte dos casos, </w:t>
      </w:r>
      <w:r w:rsidR="00CC1288">
        <w:rPr>
          <w:rFonts w:ascii="Times New Roman" w:hAnsi="Times New Roman" w:cs="Times New Roman"/>
          <w:sz w:val="24"/>
          <w:szCs w:val="24"/>
        </w:rPr>
        <w:t xml:space="preserve">ou não existe, ou fica </w:t>
      </w:r>
      <w:r w:rsidRPr="002C401C">
        <w:rPr>
          <w:rFonts w:ascii="Times New Roman" w:hAnsi="Times New Roman" w:cs="Times New Roman"/>
          <w:sz w:val="24"/>
          <w:szCs w:val="24"/>
        </w:rPr>
        <w:t>restrita a formas setoriais</w:t>
      </w:r>
      <w:r w:rsidR="00CC1288">
        <w:rPr>
          <w:rFonts w:ascii="Times New Roman" w:hAnsi="Times New Roman" w:cs="Times New Roman"/>
          <w:sz w:val="24"/>
          <w:szCs w:val="24"/>
        </w:rPr>
        <w:t>.</w:t>
      </w:r>
    </w:p>
    <w:p w14:paraId="138C6F8F" w14:textId="779E6446" w:rsidR="002C401C" w:rsidRDefault="002C401C" w:rsidP="002C401C">
      <w:pPr>
        <w:spacing w:after="0" w:line="360" w:lineRule="auto"/>
        <w:ind w:firstLine="708"/>
        <w:jc w:val="both"/>
        <w:rPr>
          <w:rFonts w:ascii="Times New Roman" w:hAnsi="Times New Roman" w:cs="Times New Roman"/>
          <w:sz w:val="24"/>
          <w:szCs w:val="24"/>
        </w:rPr>
      </w:pPr>
      <w:r w:rsidRPr="002C401C">
        <w:rPr>
          <w:rFonts w:ascii="Times New Roman" w:hAnsi="Times New Roman" w:cs="Times New Roman"/>
          <w:sz w:val="24"/>
          <w:szCs w:val="24"/>
        </w:rPr>
        <w:t xml:space="preserve">Os resultados indicam que a difusão do modelo federal, especialmente após o Decreto nº 10.411/2020, produziu efeitos normativos relevantes, mas não assegurou, de maneira uniforme, a internalização da AIR como infraestrutura decisória transversal nos Executivos estaduais. </w:t>
      </w:r>
      <w:r w:rsidR="00CC1288" w:rsidRPr="00CC1288">
        <w:rPr>
          <w:rFonts w:ascii="Times New Roman" w:hAnsi="Times New Roman" w:cs="Times New Roman"/>
          <w:sz w:val="24"/>
          <w:szCs w:val="24"/>
        </w:rPr>
        <w:t>Quando existentes, os modelos identificados limitam-se a formalizar normativas inspiradas na legislação federal ou apresentam institucionalização restrita às agências reguladoras, sem evidências consistentes de coordenação organizacional centralizada ou de rotinização procedimental aplicável ao conjunto da administração direta.</w:t>
      </w:r>
    </w:p>
    <w:p w14:paraId="4DFCB0A4" w14:textId="161AFBBA" w:rsidR="002C401C" w:rsidRDefault="002C401C" w:rsidP="002C401C">
      <w:pPr>
        <w:spacing w:after="0" w:line="360" w:lineRule="auto"/>
        <w:ind w:firstLine="708"/>
        <w:jc w:val="both"/>
        <w:rPr>
          <w:rFonts w:ascii="Times New Roman" w:hAnsi="Times New Roman" w:cs="Times New Roman"/>
          <w:sz w:val="24"/>
          <w:szCs w:val="24"/>
        </w:rPr>
      </w:pPr>
      <w:r w:rsidRPr="002C401C">
        <w:rPr>
          <w:rFonts w:ascii="Times New Roman" w:hAnsi="Times New Roman" w:cs="Times New Roman"/>
          <w:sz w:val="24"/>
          <w:szCs w:val="24"/>
        </w:rPr>
        <w:t>A hipótese de que a AIR somente se consolida como política de Estado quando deixa de operar como instrumento regulatório setorial e passa a integrar a rotina decisória transversal do Executivo estadual mostrou-se consistente com os achados empíricos. A mera previsão normativa, desacompanhada de arranjos organizacionais e mecanismos de coordenação técnica, não é suficiente para caracterizar institucionalização como política de Estado.</w:t>
      </w:r>
    </w:p>
    <w:p w14:paraId="5DEFD5D9" w14:textId="77777777" w:rsidR="002C401C" w:rsidRDefault="002C401C" w:rsidP="002C401C">
      <w:pPr>
        <w:spacing w:after="0" w:line="360" w:lineRule="auto"/>
        <w:ind w:firstLine="708"/>
        <w:jc w:val="both"/>
        <w:rPr>
          <w:rFonts w:ascii="Times New Roman" w:hAnsi="Times New Roman" w:cs="Times New Roman"/>
          <w:sz w:val="24"/>
          <w:szCs w:val="24"/>
        </w:rPr>
      </w:pPr>
      <w:r w:rsidRPr="002C401C">
        <w:rPr>
          <w:rFonts w:ascii="Times New Roman" w:hAnsi="Times New Roman" w:cs="Times New Roman"/>
          <w:sz w:val="24"/>
          <w:szCs w:val="24"/>
        </w:rPr>
        <w:t xml:space="preserve">No plano federativo, os resultados revelam padrão de difusão institucional assimétrico, compatível com as diferenças de capacidade administrativa subnacional. A </w:t>
      </w:r>
      <w:proofErr w:type="spellStart"/>
      <w:r w:rsidRPr="002C401C">
        <w:rPr>
          <w:rFonts w:ascii="Times New Roman" w:hAnsi="Times New Roman" w:cs="Times New Roman"/>
          <w:sz w:val="24"/>
          <w:szCs w:val="24"/>
        </w:rPr>
        <w:t>transversalização</w:t>
      </w:r>
      <w:proofErr w:type="spellEnd"/>
      <w:r w:rsidRPr="002C401C">
        <w:rPr>
          <w:rFonts w:ascii="Times New Roman" w:hAnsi="Times New Roman" w:cs="Times New Roman"/>
          <w:sz w:val="24"/>
          <w:szCs w:val="24"/>
        </w:rPr>
        <w:t xml:space="preserve"> da AIR depende menos da replicação textual de dispositivos federais e mais da construção de estruturas administrativas permanentes, capazes de assegurar previsibilidade procedimental e uso sistemático de evidências na produção normativa.</w:t>
      </w:r>
    </w:p>
    <w:p w14:paraId="7488A555" w14:textId="77777777" w:rsidR="002C401C" w:rsidRDefault="002C401C" w:rsidP="002C401C">
      <w:pPr>
        <w:spacing w:after="0" w:line="360" w:lineRule="auto"/>
        <w:ind w:firstLine="708"/>
        <w:jc w:val="both"/>
        <w:rPr>
          <w:rFonts w:ascii="Times New Roman" w:hAnsi="Times New Roman" w:cs="Times New Roman"/>
          <w:sz w:val="24"/>
          <w:szCs w:val="24"/>
        </w:rPr>
      </w:pPr>
      <w:r w:rsidRPr="002C401C">
        <w:rPr>
          <w:rFonts w:ascii="Times New Roman" w:hAnsi="Times New Roman" w:cs="Times New Roman"/>
          <w:sz w:val="24"/>
          <w:szCs w:val="24"/>
        </w:rPr>
        <w:t xml:space="preserve">Como agenda futura, recomenda-se aprofundar investigações qualitativas sobre processos internos de formulação normativa nos estados classificados como </w:t>
      </w:r>
      <w:proofErr w:type="spellStart"/>
      <w:r w:rsidRPr="002C401C">
        <w:rPr>
          <w:rFonts w:ascii="Times New Roman" w:hAnsi="Times New Roman" w:cs="Times New Roman"/>
          <w:sz w:val="24"/>
          <w:szCs w:val="24"/>
        </w:rPr>
        <w:t>transversalização</w:t>
      </w:r>
      <w:proofErr w:type="spellEnd"/>
      <w:r w:rsidRPr="002C401C">
        <w:rPr>
          <w:rFonts w:ascii="Times New Roman" w:hAnsi="Times New Roman" w:cs="Times New Roman"/>
          <w:sz w:val="24"/>
          <w:szCs w:val="24"/>
        </w:rPr>
        <w:t xml:space="preserve"> emergente, bem como examinar os fatores organizacionais e políticos que condicionam a internalização da AIR. Ademais, estudos comparativos longitudinais poderão avaliar se a formalização normativa replicada constitui etapa inicial de amadurecimento institucional ou permanece como incorporação meramente simbólica.</w:t>
      </w:r>
      <w:r>
        <w:rPr>
          <w:rFonts w:ascii="Times New Roman" w:hAnsi="Times New Roman" w:cs="Times New Roman"/>
          <w:sz w:val="24"/>
          <w:szCs w:val="24"/>
        </w:rPr>
        <w:t xml:space="preserve"> </w:t>
      </w:r>
    </w:p>
    <w:p w14:paraId="06B23E3E" w14:textId="43DBA7BF" w:rsidR="00032876" w:rsidRDefault="00032876" w:rsidP="002C40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I</w:t>
      </w:r>
      <w:r w:rsidRPr="00032876">
        <w:rPr>
          <w:rFonts w:ascii="Times New Roman" w:hAnsi="Times New Roman" w:cs="Times New Roman"/>
          <w:sz w:val="24"/>
          <w:szCs w:val="24"/>
        </w:rPr>
        <w:t>mporta destacar que os resultados apresentados correspondem ao estágio atual da investigação, baseada em evidências documentais públicas disponíveis até o momento da coleta (2020–2025). Considerando que pedidos formais de acesso à informação encontram-se em tramitação junto a entes estaduais, a classificação aqui proposta poderá ser objeto de ajustes ou aprofundamentos à luz de documentos eventualmente não publicizados. Tal estratégia reforça o compromisso metodológico com a verificação empírica e com o aprimoramento contínuo da análise.</w:t>
      </w:r>
    </w:p>
    <w:p w14:paraId="3AFAD323" w14:textId="77777777" w:rsidR="00D079DB" w:rsidRDefault="002C401C" w:rsidP="00D079DB">
      <w:pPr>
        <w:spacing w:after="0" w:line="360" w:lineRule="auto"/>
        <w:ind w:firstLine="708"/>
        <w:jc w:val="both"/>
        <w:rPr>
          <w:rFonts w:ascii="Times New Roman" w:hAnsi="Times New Roman" w:cs="Times New Roman"/>
          <w:sz w:val="24"/>
          <w:szCs w:val="24"/>
        </w:rPr>
      </w:pPr>
      <w:r w:rsidRPr="002C401C">
        <w:rPr>
          <w:rFonts w:ascii="Times New Roman" w:hAnsi="Times New Roman" w:cs="Times New Roman"/>
          <w:sz w:val="24"/>
          <w:szCs w:val="24"/>
        </w:rPr>
        <w:t xml:space="preserve">Em síntese, </w:t>
      </w:r>
      <w:r w:rsidR="00032876">
        <w:rPr>
          <w:rFonts w:ascii="Times New Roman" w:hAnsi="Times New Roman" w:cs="Times New Roman"/>
          <w:sz w:val="24"/>
          <w:szCs w:val="24"/>
        </w:rPr>
        <w:t xml:space="preserve">infere-se que </w:t>
      </w:r>
      <w:r w:rsidRPr="002C401C">
        <w:rPr>
          <w:rFonts w:ascii="Times New Roman" w:hAnsi="Times New Roman" w:cs="Times New Roman"/>
          <w:sz w:val="24"/>
          <w:szCs w:val="24"/>
        </w:rPr>
        <w:t xml:space="preserve">a AIR </w:t>
      </w:r>
      <w:r w:rsidR="00032876">
        <w:rPr>
          <w:rFonts w:ascii="Times New Roman" w:hAnsi="Times New Roman" w:cs="Times New Roman"/>
          <w:sz w:val="24"/>
          <w:szCs w:val="24"/>
        </w:rPr>
        <w:t xml:space="preserve">se </w:t>
      </w:r>
      <w:r w:rsidRPr="002C401C">
        <w:rPr>
          <w:rFonts w:ascii="Times New Roman" w:hAnsi="Times New Roman" w:cs="Times New Roman"/>
          <w:sz w:val="24"/>
          <w:szCs w:val="24"/>
        </w:rPr>
        <w:t>encontra</w:t>
      </w:r>
      <w:r w:rsidR="00032876">
        <w:rPr>
          <w:rFonts w:ascii="Times New Roman" w:hAnsi="Times New Roman" w:cs="Times New Roman"/>
          <w:sz w:val="24"/>
          <w:szCs w:val="24"/>
        </w:rPr>
        <w:t xml:space="preserve"> </w:t>
      </w:r>
      <w:r w:rsidRPr="002C401C">
        <w:rPr>
          <w:rFonts w:ascii="Times New Roman" w:hAnsi="Times New Roman" w:cs="Times New Roman"/>
          <w:sz w:val="24"/>
          <w:szCs w:val="24"/>
        </w:rPr>
        <w:t xml:space="preserve">consolidada como instrumento normativo no plano federal, mas sua conversão em política de Estado transversal no âmbito dos Executivos estaduais ainda se apresenta como processo em construção. </w:t>
      </w:r>
    </w:p>
    <w:p w14:paraId="0929A5B4" w14:textId="1081C477" w:rsidR="00D079DB" w:rsidRDefault="00D079DB" w:rsidP="00D079DB">
      <w:pPr>
        <w:spacing w:after="0" w:line="360" w:lineRule="auto"/>
        <w:ind w:firstLine="708"/>
        <w:jc w:val="both"/>
        <w:rPr>
          <w:rFonts w:ascii="Times New Roman" w:hAnsi="Times New Roman" w:cs="Times New Roman"/>
          <w:sz w:val="24"/>
          <w:szCs w:val="24"/>
        </w:rPr>
      </w:pPr>
      <w:r w:rsidRPr="00D079DB">
        <w:rPr>
          <w:rFonts w:ascii="Times New Roman" w:hAnsi="Times New Roman" w:cs="Times New Roman"/>
          <w:sz w:val="24"/>
          <w:szCs w:val="24"/>
        </w:rPr>
        <w:t xml:space="preserve">A consolidação da AIR como política de Estado transversal nos Executivos estaduais </w:t>
      </w:r>
      <w:r>
        <w:rPr>
          <w:rFonts w:ascii="Times New Roman" w:hAnsi="Times New Roman" w:cs="Times New Roman"/>
          <w:sz w:val="24"/>
          <w:szCs w:val="24"/>
        </w:rPr>
        <w:t xml:space="preserve">deve </w:t>
      </w:r>
      <w:r w:rsidRPr="00D079DB">
        <w:rPr>
          <w:rFonts w:ascii="Times New Roman" w:hAnsi="Times New Roman" w:cs="Times New Roman"/>
          <w:sz w:val="24"/>
          <w:szCs w:val="24"/>
        </w:rPr>
        <w:t>representa</w:t>
      </w:r>
      <w:r>
        <w:rPr>
          <w:rFonts w:ascii="Times New Roman" w:hAnsi="Times New Roman" w:cs="Times New Roman"/>
          <w:sz w:val="24"/>
          <w:szCs w:val="24"/>
        </w:rPr>
        <w:t>r</w:t>
      </w:r>
      <w:r w:rsidRPr="00D079DB">
        <w:rPr>
          <w:rFonts w:ascii="Times New Roman" w:hAnsi="Times New Roman" w:cs="Times New Roman"/>
          <w:sz w:val="24"/>
          <w:szCs w:val="24"/>
        </w:rPr>
        <w:t xml:space="preserve"> não apenas avanço técnico-regulatório, mas transformação estrutural da cultura decisória administrativa no federalismo brasileiro.</w:t>
      </w:r>
    </w:p>
    <w:p w14:paraId="715FF74C" w14:textId="77777777" w:rsidR="00D079DB" w:rsidRDefault="00D079DB" w:rsidP="000C4BA0">
      <w:pPr>
        <w:spacing w:after="0" w:line="360" w:lineRule="auto"/>
        <w:ind w:firstLine="708"/>
        <w:rPr>
          <w:rFonts w:ascii="Times New Roman" w:hAnsi="Times New Roman" w:cs="Times New Roman"/>
          <w:b/>
          <w:bCs/>
          <w:sz w:val="24"/>
          <w:szCs w:val="24"/>
        </w:rPr>
      </w:pPr>
    </w:p>
    <w:p w14:paraId="55681E5C" w14:textId="7F3903C1" w:rsidR="007C7A4A" w:rsidRPr="00B90781" w:rsidRDefault="007C7A4A" w:rsidP="00B90781">
      <w:pPr>
        <w:spacing w:after="0" w:line="240" w:lineRule="auto"/>
        <w:rPr>
          <w:rFonts w:ascii="Times New Roman" w:hAnsi="Times New Roman" w:cs="Times New Roman"/>
          <w:b/>
          <w:bCs/>
          <w:sz w:val="24"/>
          <w:szCs w:val="24"/>
        </w:rPr>
      </w:pPr>
      <w:r w:rsidRPr="00B90781">
        <w:rPr>
          <w:rFonts w:ascii="Times New Roman" w:hAnsi="Times New Roman" w:cs="Times New Roman"/>
          <w:b/>
          <w:bCs/>
          <w:sz w:val="24"/>
          <w:szCs w:val="24"/>
        </w:rPr>
        <w:t>REFERÊNCIAS</w:t>
      </w:r>
    </w:p>
    <w:p w14:paraId="5190E8C2" w14:textId="77777777" w:rsidR="0007651E" w:rsidRPr="00B90781" w:rsidRDefault="0007651E" w:rsidP="00B90781">
      <w:pPr>
        <w:spacing w:after="0" w:line="240" w:lineRule="auto"/>
        <w:rPr>
          <w:rFonts w:ascii="Times New Roman" w:hAnsi="Times New Roman" w:cs="Times New Roman"/>
          <w:sz w:val="24"/>
          <w:szCs w:val="24"/>
        </w:rPr>
      </w:pPr>
    </w:p>
    <w:p w14:paraId="53B6F313" w14:textId="3CA2D61A" w:rsidR="0007651E"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BARDIN, Laurence. </w:t>
      </w:r>
      <w:r w:rsidRPr="00B90781">
        <w:rPr>
          <w:rFonts w:ascii="Times New Roman" w:hAnsi="Times New Roman" w:cs="Times New Roman"/>
          <w:b/>
          <w:bCs/>
          <w:sz w:val="24"/>
          <w:szCs w:val="24"/>
        </w:rPr>
        <w:t>Análise de conteúdo.</w:t>
      </w:r>
      <w:r w:rsidRPr="00B90781">
        <w:rPr>
          <w:rFonts w:ascii="Times New Roman" w:hAnsi="Times New Roman" w:cs="Times New Roman"/>
          <w:sz w:val="24"/>
          <w:szCs w:val="24"/>
        </w:rPr>
        <w:t xml:space="preserve"> São Paulo: Edições 70, 2016.</w:t>
      </w:r>
    </w:p>
    <w:p w14:paraId="1310743E" w14:textId="77777777" w:rsidR="0007651E" w:rsidRPr="00B90781" w:rsidRDefault="0007651E" w:rsidP="00B90781">
      <w:pPr>
        <w:spacing w:after="0" w:line="240" w:lineRule="auto"/>
        <w:rPr>
          <w:rFonts w:ascii="Times New Roman" w:hAnsi="Times New Roman" w:cs="Times New Roman"/>
          <w:sz w:val="24"/>
          <w:szCs w:val="24"/>
        </w:rPr>
      </w:pPr>
    </w:p>
    <w:p w14:paraId="71FE1280" w14:textId="74A30372" w:rsidR="00A844E5" w:rsidRPr="00B90781" w:rsidRDefault="00A844E5"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BIT</w:t>
      </w:r>
      <w:r w:rsidR="00D56362" w:rsidRPr="00B90781">
        <w:rPr>
          <w:rFonts w:ascii="Times New Roman" w:hAnsi="Times New Roman" w:cs="Times New Roman"/>
          <w:sz w:val="24"/>
          <w:szCs w:val="24"/>
        </w:rPr>
        <w:t>T</w:t>
      </w:r>
      <w:r w:rsidRPr="00B90781">
        <w:rPr>
          <w:rFonts w:ascii="Times New Roman" w:hAnsi="Times New Roman" w:cs="Times New Roman"/>
          <w:sz w:val="24"/>
          <w:szCs w:val="24"/>
        </w:rPr>
        <w:t>ENCOURT, Caroline Müller; TAVARES, André Afonso. Avaliação de políticas públicas no contexto do federalismo cooperativo brasileiro. </w:t>
      </w:r>
      <w:r w:rsidRPr="00B90781">
        <w:rPr>
          <w:rFonts w:ascii="Times New Roman" w:hAnsi="Times New Roman" w:cs="Times New Roman"/>
          <w:b/>
          <w:bCs/>
          <w:sz w:val="24"/>
          <w:szCs w:val="24"/>
        </w:rPr>
        <w:t>A&amp;C - Revista de Direito Administrativo &amp; Constitucional</w:t>
      </w:r>
      <w:r w:rsidRPr="00B90781">
        <w:rPr>
          <w:rFonts w:ascii="Times New Roman" w:hAnsi="Times New Roman" w:cs="Times New Roman"/>
          <w:sz w:val="24"/>
          <w:szCs w:val="24"/>
        </w:rPr>
        <w:t>, Belo Horizonte, v. 22, n. 90, p. 171–205, 2022. Disponível em: https://revistaaec.com/index.php/revistaaec/article/view/1736. Acesso em: 22 fev. 2026.</w:t>
      </w:r>
    </w:p>
    <w:p w14:paraId="1C4A85DC" w14:textId="77777777" w:rsidR="00A844E5" w:rsidRPr="00B90781" w:rsidRDefault="00A844E5" w:rsidP="00B90781">
      <w:pPr>
        <w:spacing w:after="0" w:line="240" w:lineRule="auto"/>
        <w:rPr>
          <w:rFonts w:ascii="Times New Roman" w:hAnsi="Times New Roman" w:cs="Times New Roman"/>
          <w:sz w:val="24"/>
          <w:szCs w:val="24"/>
        </w:rPr>
      </w:pPr>
    </w:p>
    <w:p w14:paraId="58515C2C" w14:textId="795988DB" w:rsidR="008D3F90" w:rsidRPr="00B90781" w:rsidRDefault="008D3F90"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BITTENCOURT, Caroline Müller; RECK, </w:t>
      </w:r>
      <w:proofErr w:type="spellStart"/>
      <w:r w:rsidRPr="00B90781">
        <w:rPr>
          <w:rFonts w:ascii="Times New Roman" w:hAnsi="Times New Roman" w:cs="Times New Roman"/>
          <w:sz w:val="24"/>
          <w:szCs w:val="24"/>
        </w:rPr>
        <w:t>Janriê</w:t>
      </w:r>
      <w:proofErr w:type="spellEnd"/>
      <w:r w:rsidRPr="00B90781">
        <w:rPr>
          <w:rFonts w:ascii="Times New Roman" w:hAnsi="Times New Roman" w:cs="Times New Roman"/>
          <w:sz w:val="24"/>
          <w:szCs w:val="24"/>
        </w:rPr>
        <w:t xml:space="preserve"> Rodrigues. Políticas públicas de Governo e de Estado – uma distinção pouco complexa: necessidade de diferenciação entre modelos decisórios, arranjos institucionais e objetivos de políticas públicas de Governo e Estado. </w:t>
      </w:r>
      <w:r w:rsidRPr="00B90781">
        <w:rPr>
          <w:rFonts w:ascii="Times New Roman" w:hAnsi="Times New Roman" w:cs="Times New Roman"/>
          <w:b/>
          <w:bCs/>
          <w:sz w:val="24"/>
          <w:szCs w:val="24"/>
        </w:rPr>
        <w:t>Revista de Direito Econômico e Socioambiental</w:t>
      </w:r>
      <w:r w:rsidRPr="00B90781">
        <w:rPr>
          <w:rFonts w:ascii="Times New Roman" w:hAnsi="Times New Roman" w:cs="Times New Roman"/>
          <w:sz w:val="24"/>
          <w:szCs w:val="24"/>
        </w:rPr>
        <w:t>, Curitiba, v. 12, n. 3, p. 631-667, set./dez. 2021. Disponível em: https://doi.org/10.7213/rev.dir.econ.soc.v12i3.28105. Acesso em: 10 jan. 2026.</w:t>
      </w:r>
    </w:p>
    <w:p w14:paraId="3013765C" w14:textId="77777777" w:rsidR="008D3F90" w:rsidRPr="00B90781" w:rsidRDefault="008D3F90" w:rsidP="00B90781">
      <w:pPr>
        <w:spacing w:after="0" w:line="240" w:lineRule="auto"/>
        <w:rPr>
          <w:rFonts w:ascii="Times New Roman" w:hAnsi="Times New Roman" w:cs="Times New Roman"/>
          <w:sz w:val="24"/>
          <w:szCs w:val="24"/>
        </w:rPr>
      </w:pPr>
    </w:p>
    <w:p w14:paraId="2C980954" w14:textId="67394CF7" w:rsidR="0007651E"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BRASIL. </w:t>
      </w:r>
      <w:r w:rsidRPr="00B90781">
        <w:rPr>
          <w:rFonts w:ascii="Times New Roman" w:hAnsi="Times New Roman" w:cs="Times New Roman"/>
          <w:b/>
          <w:bCs/>
          <w:sz w:val="24"/>
          <w:szCs w:val="24"/>
        </w:rPr>
        <w:t>Decreto nº 10.411, de 30 de junho de 2020.</w:t>
      </w:r>
      <w:r w:rsidRPr="00B90781">
        <w:rPr>
          <w:rFonts w:ascii="Times New Roman" w:hAnsi="Times New Roman" w:cs="Times New Roman"/>
          <w:sz w:val="24"/>
          <w:szCs w:val="24"/>
        </w:rPr>
        <w:t xml:space="preserve"> Regulamenta a Análise de Impacto Regulatório. Diário Oficial da União: Brasília, DF, 1º jul. 2020. Disponível em: https://www.planalto.gov.br/ccivil_03/_ato2019-2022/2020/decreto/d10411.htm. Acesso em: 10 fev. 2026.</w:t>
      </w:r>
    </w:p>
    <w:p w14:paraId="62AB84DF" w14:textId="77777777" w:rsidR="0007651E" w:rsidRPr="00B90781" w:rsidRDefault="0007651E" w:rsidP="00B90781">
      <w:pPr>
        <w:spacing w:after="0" w:line="240" w:lineRule="auto"/>
        <w:rPr>
          <w:rFonts w:ascii="Times New Roman" w:hAnsi="Times New Roman" w:cs="Times New Roman"/>
          <w:sz w:val="24"/>
          <w:szCs w:val="24"/>
        </w:rPr>
      </w:pPr>
    </w:p>
    <w:p w14:paraId="5FAAA4CB" w14:textId="4235D5CE" w:rsidR="0007651E"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BRASIL. </w:t>
      </w:r>
      <w:r w:rsidRPr="00B90781">
        <w:rPr>
          <w:rFonts w:ascii="Times New Roman" w:hAnsi="Times New Roman" w:cs="Times New Roman"/>
          <w:b/>
          <w:bCs/>
          <w:sz w:val="24"/>
          <w:szCs w:val="24"/>
        </w:rPr>
        <w:t>Lei nº 13.874, de 20 de setembro de 2019.</w:t>
      </w:r>
      <w:r w:rsidRPr="00B90781">
        <w:rPr>
          <w:rFonts w:ascii="Times New Roman" w:hAnsi="Times New Roman" w:cs="Times New Roman"/>
          <w:sz w:val="24"/>
          <w:szCs w:val="24"/>
        </w:rPr>
        <w:t xml:space="preserve"> Institui a Declaração de Direitos de Liberdade Econômica. Diário Oficial da União: Brasília, DF, 23 set. 2019. Disponível em: https://www.planalto.gov.br/ccivil_03/_ato2019-2022/2019/lei/l13874.htm. Acesso em: 10 fev. 2026.</w:t>
      </w:r>
    </w:p>
    <w:p w14:paraId="188A776C" w14:textId="77777777" w:rsidR="0007651E" w:rsidRPr="00B90781" w:rsidRDefault="0007651E" w:rsidP="00B90781">
      <w:pPr>
        <w:spacing w:after="0" w:line="240" w:lineRule="auto"/>
        <w:rPr>
          <w:rFonts w:ascii="Times New Roman" w:hAnsi="Times New Roman" w:cs="Times New Roman"/>
          <w:sz w:val="24"/>
          <w:szCs w:val="24"/>
        </w:rPr>
      </w:pPr>
    </w:p>
    <w:p w14:paraId="3080F250" w14:textId="5166E99F" w:rsidR="0007651E"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lang w:val="en-US"/>
        </w:rPr>
        <w:t xml:space="preserve">CARVALHO, Paulo; ELLIG, Jerry. </w:t>
      </w:r>
      <w:r w:rsidRPr="00B90781">
        <w:rPr>
          <w:rFonts w:ascii="Times New Roman" w:hAnsi="Times New Roman" w:cs="Times New Roman"/>
          <w:i/>
          <w:iCs/>
          <w:sz w:val="24"/>
          <w:szCs w:val="24"/>
          <w:lang w:val="en-US"/>
        </w:rPr>
        <w:t>Regulatory impact analysis: Best practices in OECD countries.</w:t>
      </w:r>
      <w:r w:rsidRPr="00B90781">
        <w:rPr>
          <w:rFonts w:ascii="Times New Roman" w:hAnsi="Times New Roman" w:cs="Times New Roman"/>
          <w:sz w:val="24"/>
          <w:szCs w:val="24"/>
          <w:lang w:val="en-US"/>
        </w:rPr>
        <w:t xml:space="preserve"> </w:t>
      </w:r>
      <w:proofErr w:type="spellStart"/>
      <w:r w:rsidRPr="00B90781">
        <w:rPr>
          <w:rFonts w:ascii="Times New Roman" w:hAnsi="Times New Roman" w:cs="Times New Roman"/>
          <w:b/>
          <w:bCs/>
          <w:i/>
          <w:iCs/>
          <w:sz w:val="24"/>
          <w:szCs w:val="24"/>
        </w:rPr>
        <w:t>Public</w:t>
      </w:r>
      <w:proofErr w:type="spellEnd"/>
      <w:r w:rsidRPr="00B90781">
        <w:rPr>
          <w:rFonts w:ascii="Times New Roman" w:hAnsi="Times New Roman" w:cs="Times New Roman"/>
          <w:b/>
          <w:bCs/>
          <w:i/>
          <w:iCs/>
          <w:sz w:val="24"/>
          <w:szCs w:val="24"/>
        </w:rPr>
        <w:t xml:space="preserve"> </w:t>
      </w:r>
      <w:proofErr w:type="spellStart"/>
      <w:r w:rsidRPr="00B90781">
        <w:rPr>
          <w:rFonts w:ascii="Times New Roman" w:hAnsi="Times New Roman" w:cs="Times New Roman"/>
          <w:b/>
          <w:bCs/>
          <w:i/>
          <w:iCs/>
          <w:sz w:val="24"/>
          <w:szCs w:val="24"/>
        </w:rPr>
        <w:t>Administration</w:t>
      </w:r>
      <w:proofErr w:type="spellEnd"/>
      <w:r w:rsidRPr="00B90781">
        <w:rPr>
          <w:rFonts w:ascii="Times New Roman" w:hAnsi="Times New Roman" w:cs="Times New Roman"/>
          <w:b/>
          <w:bCs/>
          <w:i/>
          <w:iCs/>
          <w:sz w:val="24"/>
          <w:szCs w:val="24"/>
        </w:rPr>
        <w:t xml:space="preserve"> Review</w:t>
      </w:r>
      <w:r w:rsidRPr="00B90781">
        <w:rPr>
          <w:rFonts w:ascii="Times New Roman" w:hAnsi="Times New Roman" w:cs="Times New Roman"/>
          <w:sz w:val="24"/>
          <w:szCs w:val="24"/>
        </w:rPr>
        <w:t>, v. 77, n. 3, p. 436</w:t>
      </w:r>
      <w:r w:rsidR="0088412A" w:rsidRPr="00B90781">
        <w:rPr>
          <w:rFonts w:ascii="Times New Roman" w:hAnsi="Times New Roman" w:cs="Times New Roman"/>
          <w:sz w:val="24"/>
          <w:szCs w:val="24"/>
        </w:rPr>
        <w:t>-</w:t>
      </w:r>
      <w:r w:rsidRPr="00B90781">
        <w:rPr>
          <w:rFonts w:ascii="Times New Roman" w:hAnsi="Times New Roman" w:cs="Times New Roman"/>
          <w:sz w:val="24"/>
          <w:szCs w:val="24"/>
        </w:rPr>
        <w:t>445, 2017.</w:t>
      </w:r>
      <w:r w:rsidR="00525C0D" w:rsidRPr="00B90781">
        <w:rPr>
          <w:rFonts w:ascii="Times New Roman" w:hAnsi="Times New Roman" w:cs="Times New Roman"/>
          <w:sz w:val="24"/>
          <w:szCs w:val="24"/>
        </w:rPr>
        <w:t xml:space="preserve"> Disponível em: </w:t>
      </w:r>
      <w:r w:rsidR="00525C0D" w:rsidRPr="00B90781">
        <w:rPr>
          <w:rFonts w:ascii="Times New Roman" w:hAnsi="Times New Roman" w:cs="Times New Roman"/>
          <w:sz w:val="24"/>
          <w:szCs w:val="24"/>
        </w:rPr>
        <w:lastRenderedPageBreak/>
        <w:t>https://www.oecd.org/content/dam/oecd/en/publications/reports/1997/12/regulatory-impact-analysis_g1gh1430/9789264162150-en.pdf. Acesso em: 10 jan. 2024.</w:t>
      </w:r>
    </w:p>
    <w:p w14:paraId="04CA8C0B" w14:textId="77777777" w:rsidR="0007651E" w:rsidRPr="00B90781" w:rsidRDefault="0007651E" w:rsidP="00B90781">
      <w:pPr>
        <w:spacing w:after="0" w:line="240" w:lineRule="auto"/>
        <w:rPr>
          <w:rFonts w:ascii="Times New Roman" w:hAnsi="Times New Roman" w:cs="Times New Roman"/>
          <w:sz w:val="24"/>
          <w:szCs w:val="24"/>
        </w:rPr>
      </w:pPr>
    </w:p>
    <w:p w14:paraId="5DDCB67C" w14:textId="01AEF7FD" w:rsidR="0007651E"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ESCOLA NACIONAL DE ADMINISTRAÇÃO PÚBLICA</w:t>
      </w:r>
      <w:r w:rsidR="00AD45D7" w:rsidRPr="00B90781">
        <w:rPr>
          <w:rFonts w:ascii="Times New Roman" w:hAnsi="Times New Roman" w:cs="Times New Roman"/>
          <w:sz w:val="24"/>
          <w:szCs w:val="24"/>
        </w:rPr>
        <w:t xml:space="preserve"> (ENAP)</w:t>
      </w:r>
      <w:r w:rsidRPr="00B90781">
        <w:rPr>
          <w:rFonts w:ascii="Times New Roman" w:hAnsi="Times New Roman" w:cs="Times New Roman"/>
          <w:sz w:val="24"/>
          <w:szCs w:val="24"/>
        </w:rPr>
        <w:t xml:space="preserve">. </w:t>
      </w:r>
      <w:r w:rsidRPr="00B90781">
        <w:rPr>
          <w:rFonts w:ascii="Times New Roman" w:hAnsi="Times New Roman" w:cs="Times New Roman"/>
          <w:b/>
          <w:bCs/>
          <w:sz w:val="24"/>
          <w:szCs w:val="24"/>
        </w:rPr>
        <w:t>Guia prático de Análise de Impacto Regulatório – AIR.</w:t>
      </w:r>
      <w:r w:rsidRPr="00B90781">
        <w:rPr>
          <w:rFonts w:ascii="Times New Roman" w:hAnsi="Times New Roman" w:cs="Times New Roman"/>
          <w:sz w:val="24"/>
          <w:szCs w:val="24"/>
        </w:rPr>
        <w:t xml:space="preserve"> Brasília: ENAP, 2020. Disponível em: https://www.enap.gov.br. Acesso em: 10 fev. 2026.</w:t>
      </w:r>
    </w:p>
    <w:p w14:paraId="52DABE83" w14:textId="77777777" w:rsidR="0007651E" w:rsidRPr="0006309A" w:rsidRDefault="0007651E" w:rsidP="00B90781">
      <w:pPr>
        <w:spacing w:after="0" w:line="240" w:lineRule="auto"/>
        <w:rPr>
          <w:rFonts w:ascii="Times New Roman" w:hAnsi="Times New Roman" w:cs="Times New Roman"/>
          <w:sz w:val="24"/>
          <w:szCs w:val="24"/>
        </w:rPr>
      </w:pPr>
    </w:p>
    <w:p w14:paraId="7751A190" w14:textId="696B4248" w:rsidR="0007651E" w:rsidRPr="0006309A" w:rsidRDefault="0007651E" w:rsidP="00B90781">
      <w:pPr>
        <w:spacing w:after="0" w:line="240" w:lineRule="auto"/>
        <w:rPr>
          <w:rFonts w:ascii="Times New Roman" w:hAnsi="Times New Roman" w:cs="Times New Roman"/>
          <w:sz w:val="24"/>
          <w:szCs w:val="24"/>
        </w:rPr>
      </w:pPr>
      <w:r w:rsidRPr="0006309A">
        <w:rPr>
          <w:rFonts w:ascii="Times New Roman" w:hAnsi="Times New Roman" w:cs="Times New Roman"/>
          <w:sz w:val="24"/>
          <w:szCs w:val="24"/>
        </w:rPr>
        <w:t xml:space="preserve">GIL, </w:t>
      </w:r>
      <w:proofErr w:type="spellStart"/>
      <w:r w:rsidRPr="0006309A">
        <w:rPr>
          <w:rFonts w:ascii="Times New Roman" w:hAnsi="Times New Roman" w:cs="Times New Roman"/>
          <w:sz w:val="24"/>
          <w:szCs w:val="24"/>
        </w:rPr>
        <w:t>Antonio</w:t>
      </w:r>
      <w:proofErr w:type="spellEnd"/>
      <w:r w:rsidRPr="0006309A">
        <w:rPr>
          <w:rFonts w:ascii="Times New Roman" w:hAnsi="Times New Roman" w:cs="Times New Roman"/>
          <w:sz w:val="24"/>
          <w:szCs w:val="24"/>
        </w:rPr>
        <w:t xml:space="preserve"> Carlos. </w:t>
      </w:r>
      <w:r w:rsidRPr="0006309A">
        <w:rPr>
          <w:rFonts w:ascii="Times New Roman" w:hAnsi="Times New Roman" w:cs="Times New Roman"/>
          <w:b/>
          <w:bCs/>
          <w:sz w:val="24"/>
          <w:szCs w:val="24"/>
        </w:rPr>
        <w:t>Métodos e técnicas de pesquisa social.</w:t>
      </w:r>
      <w:r w:rsidRPr="0006309A">
        <w:rPr>
          <w:rFonts w:ascii="Times New Roman" w:hAnsi="Times New Roman" w:cs="Times New Roman"/>
          <w:sz w:val="24"/>
          <w:szCs w:val="24"/>
        </w:rPr>
        <w:t xml:space="preserve"> 7. ed. São Paulo: Atlas, 2019.</w:t>
      </w:r>
    </w:p>
    <w:p w14:paraId="05A4D72E" w14:textId="77777777" w:rsidR="00F758E9" w:rsidRPr="0006309A" w:rsidRDefault="00F758E9" w:rsidP="00B90781">
      <w:pPr>
        <w:spacing w:after="0" w:line="240" w:lineRule="auto"/>
        <w:rPr>
          <w:rFonts w:ascii="Times New Roman" w:hAnsi="Times New Roman" w:cs="Times New Roman"/>
          <w:sz w:val="24"/>
          <w:szCs w:val="24"/>
        </w:rPr>
      </w:pPr>
    </w:p>
    <w:p w14:paraId="0492342E" w14:textId="6BB80EBD" w:rsidR="0006309A" w:rsidRPr="0006309A" w:rsidRDefault="0006309A" w:rsidP="0006309A">
      <w:pPr>
        <w:spacing w:after="0" w:line="240" w:lineRule="auto"/>
        <w:jc w:val="both"/>
        <w:rPr>
          <w:rFonts w:ascii="Times New Roman" w:hAnsi="Times New Roman" w:cs="Times New Roman"/>
          <w:sz w:val="24"/>
          <w:szCs w:val="24"/>
        </w:rPr>
      </w:pPr>
      <w:r w:rsidRPr="0006309A">
        <w:rPr>
          <w:rFonts w:ascii="Times New Roman" w:hAnsi="Times New Roman" w:cs="Times New Roman"/>
          <w:sz w:val="24"/>
          <w:szCs w:val="24"/>
        </w:rPr>
        <w:t>GOMIDE, Alexandre de Ávila; PIRES, Roberto Rocha C. (</w:t>
      </w:r>
      <w:proofErr w:type="spellStart"/>
      <w:r>
        <w:rPr>
          <w:rFonts w:ascii="Times New Roman" w:hAnsi="Times New Roman" w:cs="Times New Roman"/>
          <w:sz w:val="24"/>
          <w:szCs w:val="24"/>
        </w:rPr>
        <w:t>O</w:t>
      </w:r>
      <w:r w:rsidRPr="0006309A">
        <w:rPr>
          <w:rFonts w:ascii="Times New Roman" w:hAnsi="Times New Roman" w:cs="Times New Roman"/>
          <w:sz w:val="24"/>
          <w:szCs w:val="24"/>
        </w:rPr>
        <w:t>rg</w:t>
      </w:r>
      <w:r>
        <w:rPr>
          <w:rFonts w:ascii="Times New Roman" w:hAnsi="Times New Roman" w:cs="Times New Roman"/>
          <w:sz w:val="24"/>
          <w:szCs w:val="24"/>
        </w:rPr>
        <w:t>s</w:t>
      </w:r>
      <w:proofErr w:type="spellEnd"/>
      <w:r w:rsidRPr="0006309A">
        <w:rPr>
          <w:rFonts w:ascii="Times New Roman" w:hAnsi="Times New Roman" w:cs="Times New Roman"/>
          <w:sz w:val="24"/>
          <w:szCs w:val="24"/>
        </w:rPr>
        <w:t xml:space="preserve">.). </w:t>
      </w:r>
      <w:r w:rsidRPr="0006309A">
        <w:rPr>
          <w:rFonts w:ascii="Times New Roman" w:hAnsi="Times New Roman" w:cs="Times New Roman"/>
          <w:b/>
          <w:bCs/>
          <w:sz w:val="24"/>
          <w:szCs w:val="24"/>
        </w:rPr>
        <w:t>Capacidades estatais e democracia:</w:t>
      </w:r>
      <w:r w:rsidRPr="0006309A">
        <w:rPr>
          <w:rFonts w:ascii="Times New Roman" w:hAnsi="Times New Roman" w:cs="Times New Roman"/>
          <w:sz w:val="24"/>
          <w:szCs w:val="24"/>
        </w:rPr>
        <w:t xml:space="preserve"> arranjos institucionais de políticas públicas. Brasília: Ipea, 2014.</w:t>
      </w:r>
      <w:r>
        <w:rPr>
          <w:rFonts w:ascii="Times New Roman" w:hAnsi="Times New Roman" w:cs="Times New Roman"/>
          <w:sz w:val="24"/>
          <w:szCs w:val="24"/>
        </w:rPr>
        <w:t xml:space="preserve"> Disponível em: </w:t>
      </w:r>
      <w:r w:rsidRPr="0006309A">
        <w:rPr>
          <w:rFonts w:ascii="Times New Roman" w:hAnsi="Times New Roman" w:cs="Times New Roman"/>
          <w:sz w:val="24"/>
          <w:szCs w:val="24"/>
        </w:rPr>
        <w:t>https://repositorio.ipea.gov.br/server/api/core/bitstreams/d202e434-1308-49a7-b586-8efdb3011a8c/content</w:t>
      </w:r>
      <w:r>
        <w:rPr>
          <w:rFonts w:ascii="Times New Roman" w:hAnsi="Times New Roman" w:cs="Times New Roman"/>
          <w:sz w:val="24"/>
          <w:szCs w:val="24"/>
        </w:rPr>
        <w:t>. Acesso em: 11 jan. 2026.</w:t>
      </w:r>
    </w:p>
    <w:p w14:paraId="49E22AD6" w14:textId="77777777" w:rsidR="0006309A" w:rsidRPr="0006309A" w:rsidRDefault="0006309A" w:rsidP="00B90781">
      <w:pPr>
        <w:spacing w:after="0" w:line="240" w:lineRule="auto"/>
        <w:rPr>
          <w:rFonts w:ascii="Times New Roman" w:hAnsi="Times New Roman" w:cs="Times New Roman"/>
          <w:sz w:val="24"/>
          <w:szCs w:val="24"/>
        </w:rPr>
      </w:pPr>
    </w:p>
    <w:p w14:paraId="19C061A4" w14:textId="7235665C" w:rsidR="0007651E" w:rsidRPr="00B90781" w:rsidRDefault="004865FB" w:rsidP="00B90781">
      <w:pPr>
        <w:spacing w:after="0" w:line="240" w:lineRule="auto"/>
        <w:rPr>
          <w:rFonts w:ascii="Times New Roman" w:hAnsi="Times New Roman" w:cs="Times New Roman"/>
          <w:sz w:val="24"/>
          <w:szCs w:val="24"/>
        </w:rPr>
      </w:pPr>
      <w:r w:rsidRPr="0006309A">
        <w:rPr>
          <w:rFonts w:ascii="Times New Roman" w:hAnsi="Times New Roman" w:cs="Times New Roman"/>
          <w:sz w:val="24"/>
          <w:szCs w:val="24"/>
        </w:rPr>
        <w:t xml:space="preserve">GOVERNO DO ESTADO DA BAHIA. </w:t>
      </w:r>
      <w:r w:rsidRPr="0006309A">
        <w:rPr>
          <w:rFonts w:ascii="Times New Roman" w:hAnsi="Times New Roman" w:cs="Times New Roman"/>
          <w:b/>
          <w:bCs/>
          <w:sz w:val="24"/>
          <w:szCs w:val="24"/>
        </w:rPr>
        <w:t>Portal do Governo da Bahia</w:t>
      </w:r>
      <w:r w:rsidRPr="0006309A">
        <w:rPr>
          <w:rFonts w:ascii="Times New Roman" w:hAnsi="Times New Roman" w:cs="Times New Roman"/>
          <w:sz w:val="24"/>
          <w:szCs w:val="24"/>
        </w:rPr>
        <w:t xml:space="preserve">. 2026. Disponível em: </w:t>
      </w:r>
      <w:r w:rsidRPr="00B90781">
        <w:rPr>
          <w:rFonts w:ascii="Times New Roman" w:hAnsi="Times New Roman" w:cs="Times New Roman"/>
          <w:sz w:val="24"/>
          <w:szCs w:val="24"/>
        </w:rPr>
        <w:t>https://www.ba.gov.br/. Acesso em: 13 fev. 2026.</w:t>
      </w:r>
    </w:p>
    <w:p w14:paraId="351480D0" w14:textId="77777777" w:rsidR="004865FB" w:rsidRPr="00B90781" w:rsidRDefault="004865FB" w:rsidP="00B90781">
      <w:pPr>
        <w:spacing w:after="0" w:line="240" w:lineRule="auto"/>
        <w:rPr>
          <w:rFonts w:ascii="Times New Roman" w:hAnsi="Times New Roman" w:cs="Times New Roman"/>
          <w:sz w:val="24"/>
          <w:szCs w:val="24"/>
        </w:rPr>
      </w:pPr>
    </w:p>
    <w:p w14:paraId="46C05662" w14:textId="4816FDD4" w:rsidR="006C59E2"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ALAGOAS. </w:t>
      </w:r>
      <w:r w:rsidR="00E22FAF" w:rsidRPr="00B90781">
        <w:rPr>
          <w:rFonts w:ascii="Times New Roman" w:hAnsi="Times New Roman" w:cs="Times New Roman"/>
          <w:b/>
          <w:bCs/>
          <w:sz w:val="24"/>
          <w:szCs w:val="24"/>
        </w:rPr>
        <w:t>Lei nº 8.278, de 14 de julho de 2020</w:t>
      </w:r>
      <w:r w:rsidR="006C59E2" w:rsidRPr="00B90781">
        <w:rPr>
          <w:rFonts w:ascii="Times New Roman" w:hAnsi="Times New Roman" w:cs="Times New Roman"/>
          <w:sz w:val="24"/>
          <w:szCs w:val="24"/>
        </w:rPr>
        <w:t xml:space="preserve">. </w:t>
      </w:r>
      <w:r w:rsidR="00E22FAF" w:rsidRPr="00B90781">
        <w:rPr>
          <w:rFonts w:ascii="Times New Roman" w:hAnsi="Times New Roman" w:cs="Times New Roman"/>
          <w:sz w:val="24"/>
          <w:szCs w:val="24"/>
        </w:rPr>
        <w:t>Institui a declaração alagoana de direitos de liberdade econômica e estabelece normas para atos de liberação de atividade econômica, análise de impacto regulatório, e dá outras providências.</w:t>
      </w:r>
      <w:r w:rsidR="006C59E2" w:rsidRPr="00B90781">
        <w:rPr>
          <w:rFonts w:ascii="Times New Roman" w:hAnsi="Times New Roman" w:cs="Times New Roman"/>
          <w:sz w:val="24"/>
          <w:szCs w:val="24"/>
        </w:rPr>
        <w:t xml:space="preserve"> Diário Oficial do Estado de Alagoas, Maceió, </w:t>
      </w:r>
      <w:r w:rsidR="002B4A15" w:rsidRPr="00B90781">
        <w:rPr>
          <w:rFonts w:ascii="Times New Roman" w:hAnsi="Times New Roman" w:cs="Times New Roman"/>
          <w:sz w:val="24"/>
          <w:szCs w:val="24"/>
        </w:rPr>
        <w:t>AL</w:t>
      </w:r>
      <w:r w:rsidR="006C59E2" w:rsidRPr="00B90781">
        <w:rPr>
          <w:rFonts w:ascii="Times New Roman" w:hAnsi="Times New Roman" w:cs="Times New Roman"/>
          <w:sz w:val="24"/>
          <w:szCs w:val="24"/>
        </w:rPr>
        <w:t>, 15 jul. 2020. Disponível em:</w:t>
      </w:r>
      <w:r w:rsidRPr="00B90781">
        <w:rPr>
          <w:rFonts w:ascii="Times New Roman" w:hAnsi="Times New Roman" w:cs="Times New Roman"/>
          <w:sz w:val="24"/>
          <w:szCs w:val="24"/>
        </w:rPr>
        <w:t xml:space="preserve"> https://sapl.al.al.leg.br/norma/1846</w:t>
      </w:r>
      <w:r w:rsidR="006C59E2" w:rsidRPr="00B90781">
        <w:rPr>
          <w:rFonts w:ascii="Times New Roman" w:hAnsi="Times New Roman" w:cs="Times New Roman"/>
          <w:sz w:val="24"/>
          <w:szCs w:val="24"/>
        </w:rPr>
        <w:t>. Acesso em: 1</w:t>
      </w:r>
      <w:r w:rsidRPr="00B90781">
        <w:rPr>
          <w:rFonts w:ascii="Times New Roman" w:hAnsi="Times New Roman" w:cs="Times New Roman"/>
          <w:sz w:val="24"/>
          <w:szCs w:val="24"/>
        </w:rPr>
        <w:t>1</w:t>
      </w:r>
      <w:r w:rsidR="006C59E2" w:rsidRPr="00B90781">
        <w:rPr>
          <w:rFonts w:ascii="Times New Roman" w:hAnsi="Times New Roman" w:cs="Times New Roman"/>
          <w:sz w:val="24"/>
          <w:szCs w:val="24"/>
        </w:rPr>
        <w:t xml:space="preserve"> </w:t>
      </w:r>
      <w:r w:rsidRPr="00B90781">
        <w:rPr>
          <w:rFonts w:ascii="Times New Roman" w:hAnsi="Times New Roman" w:cs="Times New Roman"/>
          <w:sz w:val="24"/>
          <w:szCs w:val="24"/>
        </w:rPr>
        <w:t>jan.</w:t>
      </w:r>
      <w:r w:rsidR="006C59E2" w:rsidRPr="00B90781">
        <w:rPr>
          <w:rFonts w:ascii="Times New Roman" w:hAnsi="Times New Roman" w:cs="Times New Roman"/>
          <w:sz w:val="24"/>
          <w:szCs w:val="24"/>
        </w:rPr>
        <w:t xml:space="preserve"> 202</w:t>
      </w:r>
      <w:r w:rsidRPr="00B90781">
        <w:rPr>
          <w:rFonts w:ascii="Times New Roman" w:hAnsi="Times New Roman" w:cs="Times New Roman"/>
          <w:sz w:val="24"/>
          <w:szCs w:val="24"/>
        </w:rPr>
        <w:t>5</w:t>
      </w:r>
      <w:r w:rsidR="006C59E2" w:rsidRPr="00B90781">
        <w:rPr>
          <w:rFonts w:ascii="Times New Roman" w:hAnsi="Times New Roman" w:cs="Times New Roman"/>
          <w:sz w:val="24"/>
          <w:szCs w:val="24"/>
        </w:rPr>
        <w:t>.</w:t>
      </w:r>
    </w:p>
    <w:p w14:paraId="39AC19CB" w14:textId="77777777" w:rsidR="001379B9" w:rsidRPr="00B90781" w:rsidRDefault="001379B9" w:rsidP="00B90781">
      <w:pPr>
        <w:spacing w:after="0" w:line="240" w:lineRule="auto"/>
        <w:rPr>
          <w:rFonts w:ascii="Times New Roman" w:hAnsi="Times New Roman" w:cs="Times New Roman"/>
          <w:sz w:val="24"/>
          <w:szCs w:val="24"/>
        </w:rPr>
      </w:pPr>
    </w:p>
    <w:p w14:paraId="30082B5B" w14:textId="4878F08B"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GOIÁS. </w:t>
      </w:r>
      <w:r w:rsidRPr="00B90781">
        <w:rPr>
          <w:rFonts w:ascii="Times New Roman" w:hAnsi="Times New Roman" w:cs="Times New Roman"/>
          <w:b/>
          <w:bCs/>
          <w:sz w:val="24"/>
          <w:szCs w:val="24"/>
        </w:rPr>
        <w:t>Lei nº 22.612, de 11 abril de 2024</w:t>
      </w:r>
      <w:r w:rsidRPr="00B90781">
        <w:rPr>
          <w:rFonts w:ascii="Times New Roman" w:hAnsi="Times New Roman" w:cs="Times New Roman"/>
          <w:sz w:val="24"/>
          <w:szCs w:val="24"/>
        </w:rPr>
        <w:t>. Dispõe sobre a Declaração Estadual de Direitos de Liberdade Econômica e sobre a atuação do Estado como agente normativo regulador, bem como suplementa, na administração pública direta, autárquica e fundacional do Estado de Goiás, a Lei federal nº 13.874, de 20 de setembro de 2019, para ampliar o alcance das garantias fundamentais à livre iniciativa, ao livre exercício de atividade econômica e à proteção dos valores sociais do trabalho. Diário Oficial do Estado de Goiás, Goiânia, GO, 11 abr. 2024a. Disponível em: https://legisla.casacivil.go.gov.br/api/v2/pesquisa/legislacoes/108673/pdf. Acesso em: 23 fev. 2024.</w:t>
      </w:r>
    </w:p>
    <w:p w14:paraId="44741468" w14:textId="77777777" w:rsidR="001379B9" w:rsidRPr="00B90781" w:rsidRDefault="001379B9" w:rsidP="00B90781">
      <w:pPr>
        <w:spacing w:after="0" w:line="240" w:lineRule="auto"/>
        <w:rPr>
          <w:rFonts w:ascii="Times New Roman" w:hAnsi="Times New Roman" w:cs="Times New Roman"/>
          <w:sz w:val="24"/>
          <w:szCs w:val="24"/>
        </w:rPr>
      </w:pPr>
    </w:p>
    <w:p w14:paraId="343FA529" w14:textId="1722021D"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GOIÁS. </w:t>
      </w:r>
      <w:r w:rsidRPr="00B90781">
        <w:rPr>
          <w:rFonts w:ascii="Times New Roman" w:hAnsi="Times New Roman" w:cs="Times New Roman"/>
          <w:b/>
          <w:bCs/>
          <w:sz w:val="24"/>
          <w:szCs w:val="24"/>
        </w:rPr>
        <w:t>Resolução Normativa 278, de 19 de dezembro de 2024</w:t>
      </w:r>
      <w:r w:rsidRPr="00B90781">
        <w:rPr>
          <w:rFonts w:ascii="Times New Roman" w:hAnsi="Times New Roman" w:cs="Times New Roman"/>
          <w:sz w:val="24"/>
          <w:szCs w:val="24"/>
        </w:rPr>
        <w:t>. Dispõe sobre norma interna para procedimento de Análise de Impacto Regulatório (AIR) no âmbito da Agência Goiana de Regulação, Controle e Fiscalização de Serviços Públicos - AGR, conforme processo nº 202300029005527. Diário Oficial do Estado de Goiás, Goiânia, GO, 26 dez. 2024b. Disponível em: https://goias.gov.br/agr/wp-content/uploads/sites/43/2025/01/Resolucao-Normativa-n-278.2024-CR.pdf. Acesso em: 23 fev. 2024.</w:t>
      </w:r>
    </w:p>
    <w:p w14:paraId="37616FBB" w14:textId="77777777" w:rsidR="001379B9" w:rsidRPr="00B90781" w:rsidRDefault="001379B9" w:rsidP="00B90781">
      <w:pPr>
        <w:spacing w:after="0" w:line="240" w:lineRule="auto"/>
        <w:rPr>
          <w:rFonts w:ascii="Times New Roman" w:hAnsi="Times New Roman" w:cs="Times New Roman"/>
          <w:sz w:val="24"/>
          <w:szCs w:val="24"/>
        </w:rPr>
      </w:pPr>
    </w:p>
    <w:p w14:paraId="37CC8524" w14:textId="77777777"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MINAS GERAIS. </w:t>
      </w:r>
      <w:r w:rsidRPr="00B90781">
        <w:rPr>
          <w:rFonts w:ascii="Times New Roman" w:hAnsi="Times New Roman" w:cs="Times New Roman"/>
          <w:b/>
          <w:bCs/>
          <w:sz w:val="24"/>
          <w:szCs w:val="24"/>
        </w:rPr>
        <w:t xml:space="preserve">Lei nº 23.959, de 27 de setembro de 2021. </w:t>
      </w:r>
      <w:r w:rsidRPr="00B90781">
        <w:rPr>
          <w:rFonts w:ascii="Times New Roman" w:hAnsi="Times New Roman" w:cs="Times New Roman"/>
          <w:sz w:val="24"/>
          <w:szCs w:val="24"/>
        </w:rPr>
        <w:t>Institui a Declaração Estadual de Direitos de Liberdade Econômica. Diário Oficial do Estado de Minas Gerais, Belo Horizonte, MG, 28 set. 2021. Disponível em: https://www.jornalminasgerais.mg.gov.br/edicao-do-dia?dados=%7B%22dataPublicacaoSelecionada%22:%222021-09-28T06:00:00.000Z%22%7D. Acesso em: 15 jun. 2025.</w:t>
      </w:r>
    </w:p>
    <w:p w14:paraId="3C1C8700" w14:textId="77777777" w:rsidR="001379B9" w:rsidRPr="00B90781" w:rsidRDefault="001379B9" w:rsidP="00B90781">
      <w:pPr>
        <w:spacing w:after="0" w:line="240" w:lineRule="auto"/>
        <w:rPr>
          <w:rFonts w:ascii="Times New Roman" w:hAnsi="Times New Roman" w:cs="Times New Roman"/>
          <w:sz w:val="24"/>
          <w:szCs w:val="24"/>
        </w:rPr>
      </w:pPr>
    </w:p>
    <w:p w14:paraId="2D73EB6F" w14:textId="77777777"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MINAS GERAIS. </w:t>
      </w:r>
      <w:r w:rsidRPr="00B90781">
        <w:rPr>
          <w:rFonts w:ascii="Times New Roman" w:hAnsi="Times New Roman" w:cs="Times New Roman"/>
          <w:b/>
          <w:bCs/>
          <w:sz w:val="24"/>
          <w:szCs w:val="24"/>
        </w:rPr>
        <w:t>Decreto nº 48.936, de 01 de novembro de 2024</w:t>
      </w:r>
      <w:r w:rsidRPr="00B90781">
        <w:rPr>
          <w:rFonts w:ascii="Times New Roman" w:hAnsi="Times New Roman" w:cs="Times New Roman"/>
          <w:sz w:val="24"/>
          <w:szCs w:val="24"/>
        </w:rPr>
        <w:t xml:space="preserve">. Dispõe sobre normas para o procedimento de elaboração, encaminhamento e publicação </w:t>
      </w:r>
      <w:r w:rsidRPr="00B90781">
        <w:rPr>
          <w:rFonts w:ascii="Times New Roman" w:hAnsi="Times New Roman" w:cs="Times New Roman"/>
          <w:sz w:val="24"/>
          <w:szCs w:val="24"/>
        </w:rPr>
        <w:lastRenderedPageBreak/>
        <w:t>dos atos normativos de competência do Governador, nos termos da Lei Complementar nº 78, de 9 de julho de 2004. Diário Oficial do Estado de Minas Gerais, Belo Horizonte, MG, 02 nov. 2024. Disponível em: https://www.jornalminasgerais.mg.gov.br/edicao-do-dia?dados=%7B%22dataPublicacaoSelecionada%22:%222024-11-02T06:00:00.000Z%22%7D. Acesso em: 15 jun. 2025.</w:t>
      </w:r>
    </w:p>
    <w:p w14:paraId="531BD265" w14:textId="77777777" w:rsidR="001379B9" w:rsidRPr="00B90781" w:rsidRDefault="001379B9" w:rsidP="00B90781">
      <w:pPr>
        <w:spacing w:after="0" w:line="240" w:lineRule="auto"/>
        <w:rPr>
          <w:rFonts w:ascii="Times New Roman" w:hAnsi="Times New Roman" w:cs="Times New Roman"/>
          <w:sz w:val="24"/>
          <w:szCs w:val="24"/>
        </w:rPr>
      </w:pPr>
    </w:p>
    <w:p w14:paraId="6D635B0F" w14:textId="77777777"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GOVERNO DO ESTADO DE MINAS GERAIS. Agência Reguladora Intermunicipal dos Serviços de Saneamento de Minas Gerais</w:t>
      </w:r>
      <w:r w:rsidRPr="00B90781">
        <w:rPr>
          <w:rFonts w:ascii="Times New Roman" w:hAnsi="Times New Roman" w:cs="Times New Roman"/>
          <w:b/>
          <w:bCs/>
          <w:sz w:val="24"/>
          <w:szCs w:val="24"/>
        </w:rPr>
        <w:t>. Agenda Regulatória</w:t>
      </w:r>
      <w:r w:rsidRPr="00B90781">
        <w:rPr>
          <w:rFonts w:ascii="Times New Roman" w:hAnsi="Times New Roman" w:cs="Times New Roman"/>
          <w:sz w:val="24"/>
          <w:szCs w:val="24"/>
        </w:rPr>
        <w:t>. 2026. Disponível em: https://aris.mg.gov.br/agenda-regulatoria/. Acesso em: 11 jun. 2025.</w:t>
      </w:r>
    </w:p>
    <w:p w14:paraId="205A005C" w14:textId="77777777" w:rsidR="001379B9" w:rsidRPr="00B90781" w:rsidRDefault="001379B9" w:rsidP="00B90781">
      <w:pPr>
        <w:spacing w:after="0" w:line="240" w:lineRule="auto"/>
        <w:rPr>
          <w:rFonts w:ascii="Times New Roman" w:hAnsi="Times New Roman" w:cs="Times New Roman"/>
          <w:sz w:val="24"/>
          <w:szCs w:val="24"/>
        </w:rPr>
      </w:pPr>
    </w:p>
    <w:p w14:paraId="3DAA2ADA" w14:textId="6776ACCA"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GOVERNO DO ESTADO DE PERNAMBUCO</w:t>
      </w:r>
      <w:r w:rsidR="00077B7D" w:rsidRPr="00B90781">
        <w:rPr>
          <w:rFonts w:ascii="Times New Roman" w:hAnsi="Times New Roman" w:cs="Times New Roman"/>
          <w:sz w:val="24"/>
          <w:szCs w:val="24"/>
        </w:rPr>
        <w:t>.</w:t>
      </w:r>
      <w:r w:rsidR="00EF03BE" w:rsidRPr="00B90781">
        <w:rPr>
          <w:rFonts w:ascii="Times New Roman" w:hAnsi="Times New Roman" w:cs="Times New Roman"/>
          <w:sz w:val="24"/>
          <w:szCs w:val="24"/>
        </w:rPr>
        <w:t xml:space="preserve"> </w:t>
      </w:r>
      <w:r w:rsidR="004B676B" w:rsidRPr="00B90781">
        <w:rPr>
          <w:rFonts w:ascii="Times New Roman" w:hAnsi="Times New Roman" w:cs="Times New Roman"/>
          <w:b/>
          <w:bCs/>
          <w:sz w:val="24"/>
          <w:szCs w:val="24"/>
        </w:rPr>
        <w:t>Portal do Governo de Pernambuco</w:t>
      </w:r>
      <w:r w:rsidR="008439F0" w:rsidRPr="00B90781">
        <w:rPr>
          <w:rFonts w:ascii="Times New Roman" w:hAnsi="Times New Roman" w:cs="Times New Roman"/>
          <w:sz w:val="24"/>
          <w:szCs w:val="24"/>
        </w:rPr>
        <w:t>. 20</w:t>
      </w:r>
      <w:r w:rsidR="004B676B" w:rsidRPr="00B90781">
        <w:rPr>
          <w:rFonts w:ascii="Times New Roman" w:hAnsi="Times New Roman" w:cs="Times New Roman"/>
          <w:sz w:val="24"/>
          <w:szCs w:val="24"/>
        </w:rPr>
        <w:t>26</w:t>
      </w:r>
      <w:r w:rsidR="008439F0" w:rsidRPr="00B90781">
        <w:rPr>
          <w:rFonts w:ascii="Times New Roman" w:hAnsi="Times New Roman" w:cs="Times New Roman"/>
          <w:sz w:val="24"/>
          <w:szCs w:val="24"/>
        </w:rPr>
        <w:t>.</w:t>
      </w:r>
      <w:r w:rsidR="00EF03BE" w:rsidRPr="00B90781">
        <w:rPr>
          <w:rFonts w:ascii="Times New Roman" w:hAnsi="Times New Roman" w:cs="Times New Roman"/>
          <w:sz w:val="24"/>
          <w:szCs w:val="24"/>
        </w:rPr>
        <w:t xml:space="preserve"> </w:t>
      </w:r>
      <w:r w:rsidR="00077B7D" w:rsidRPr="00B90781">
        <w:rPr>
          <w:rFonts w:ascii="Times New Roman" w:hAnsi="Times New Roman" w:cs="Times New Roman"/>
          <w:sz w:val="24"/>
          <w:szCs w:val="24"/>
        </w:rPr>
        <w:t>Disponível em:</w:t>
      </w:r>
      <w:r w:rsidR="004B676B" w:rsidRPr="00B90781">
        <w:rPr>
          <w:rFonts w:ascii="Times New Roman" w:hAnsi="Times New Roman" w:cs="Times New Roman"/>
          <w:sz w:val="24"/>
          <w:szCs w:val="24"/>
        </w:rPr>
        <w:t xml:space="preserve"> https://www.pe.gov.br/</w:t>
      </w:r>
      <w:r w:rsidR="00077B7D" w:rsidRPr="00B90781">
        <w:rPr>
          <w:rFonts w:ascii="Times New Roman" w:hAnsi="Times New Roman" w:cs="Times New Roman"/>
          <w:sz w:val="24"/>
          <w:szCs w:val="24"/>
        </w:rPr>
        <w:t>. Acesso em: 1</w:t>
      </w:r>
      <w:r w:rsidR="004B676B" w:rsidRPr="00B90781">
        <w:rPr>
          <w:rFonts w:ascii="Times New Roman" w:hAnsi="Times New Roman" w:cs="Times New Roman"/>
          <w:sz w:val="24"/>
          <w:szCs w:val="24"/>
        </w:rPr>
        <w:t>3</w:t>
      </w:r>
      <w:r w:rsidR="00077B7D" w:rsidRPr="00B90781">
        <w:rPr>
          <w:rFonts w:ascii="Times New Roman" w:hAnsi="Times New Roman" w:cs="Times New Roman"/>
          <w:sz w:val="24"/>
          <w:szCs w:val="24"/>
        </w:rPr>
        <w:t xml:space="preserve"> j</w:t>
      </w:r>
      <w:r w:rsidR="004B676B" w:rsidRPr="00B90781">
        <w:rPr>
          <w:rFonts w:ascii="Times New Roman" w:hAnsi="Times New Roman" w:cs="Times New Roman"/>
          <w:sz w:val="24"/>
          <w:szCs w:val="24"/>
        </w:rPr>
        <w:t>an</w:t>
      </w:r>
      <w:r w:rsidR="00077B7D" w:rsidRPr="00B90781">
        <w:rPr>
          <w:rFonts w:ascii="Times New Roman" w:hAnsi="Times New Roman" w:cs="Times New Roman"/>
          <w:sz w:val="24"/>
          <w:szCs w:val="24"/>
        </w:rPr>
        <w:t>. 202</w:t>
      </w:r>
      <w:r w:rsidR="004B676B" w:rsidRPr="00B90781">
        <w:rPr>
          <w:rFonts w:ascii="Times New Roman" w:hAnsi="Times New Roman" w:cs="Times New Roman"/>
          <w:sz w:val="24"/>
          <w:szCs w:val="24"/>
        </w:rPr>
        <w:t>6</w:t>
      </w:r>
      <w:r w:rsidR="00077B7D" w:rsidRPr="00B90781">
        <w:rPr>
          <w:rFonts w:ascii="Times New Roman" w:hAnsi="Times New Roman" w:cs="Times New Roman"/>
          <w:sz w:val="24"/>
          <w:szCs w:val="24"/>
        </w:rPr>
        <w:t>.</w:t>
      </w:r>
    </w:p>
    <w:p w14:paraId="5B21E063" w14:textId="77777777" w:rsidR="001379B9" w:rsidRPr="00B90781" w:rsidRDefault="001379B9" w:rsidP="00B90781">
      <w:pPr>
        <w:spacing w:after="0" w:line="240" w:lineRule="auto"/>
        <w:rPr>
          <w:rFonts w:ascii="Times New Roman" w:hAnsi="Times New Roman" w:cs="Times New Roman"/>
          <w:sz w:val="24"/>
          <w:szCs w:val="24"/>
        </w:rPr>
      </w:pPr>
    </w:p>
    <w:p w14:paraId="415CBF69" w14:textId="10E716E1"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RONDÔNIA. </w:t>
      </w:r>
      <w:r w:rsidRPr="00B90781">
        <w:rPr>
          <w:rFonts w:ascii="Times New Roman" w:hAnsi="Times New Roman" w:cs="Times New Roman"/>
          <w:b/>
          <w:bCs/>
          <w:sz w:val="24"/>
          <w:szCs w:val="24"/>
        </w:rPr>
        <w:t>Lei n° 5.918, de 26 de novembro de 2024</w:t>
      </w:r>
      <w:r w:rsidRPr="00B90781">
        <w:rPr>
          <w:rFonts w:ascii="Times New Roman" w:hAnsi="Times New Roman" w:cs="Times New Roman"/>
          <w:sz w:val="24"/>
          <w:szCs w:val="24"/>
        </w:rPr>
        <w:t>. Institui a Declaração de Direitos de Liberdade Econômica do Estado de Rondônia, nos termos da Lei Federal n° 13.874, de 20 de setembro de 2019. Diário Oficial do Estado de Rondônia, Porto Velho, RO, 27 nov. 2024. Disponível em: https://sapl.al.ro.leg.br/media/sapl/public/normajuridica/2024/12374/l5918.pdf. Acesso em: 10 maio. 2025.</w:t>
      </w:r>
    </w:p>
    <w:p w14:paraId="1E27ED13" w14:textId="77777777" w:rsidR="001379B9" w:rsidRPr="00B90781" w:rsidRDefault="001379B9" w:rsidP="00B90781">
      <w:pPr>
        <w:spacing w:after="0" w:line="240" w:lineRule="auto"/>
        <w:rPr>
          <w:rFonts w:ascii="Times New Roman" w:hAnsi="Times New Roman" w:cs="Times New Roman"/>
          <w:sz w:val="24"/>
          <w:szCs w:val="24"/>
        </w:rPr>
      </w:pPr>
    </w:p>
    <w:p w14:paraId="7CBEA1C7" w14:textId="1A021787"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GOVERNO DO ESTADO DE RORAIMA.</w:t>
      </w:r>
      <w:r w:rsidR="00C51C15" w:rsidRPr="00B90781">
        <w:rPr>
          <w:rFonts w:ascii="Times New Roman" w:hAnsi="Times New Roman" w:cs="Times New Roman"/>
          <w:sz w:val="24"/>
          <w:szCs w:val="24"/>
        </w:rPr>
        <w:t xml:space="preserve"> </w:t>
      </w:r>
      <w:r w:rsidR="00C51C15" w:rsidRPr="00B90781">
        <w:rPr>
          <w:rFonts w:ascii="Times New Roman" w:hAnsi="Times New Roman" w:cs="Times New Roman"/>
          <w:b/>
          <w:bCs/>
          <w:sz w:val="24"/>
          <w:szCs w:val="24"/>
        </w:rPr>
        <w:t>Lei Ordinária nº 1.412, de 08 de junho de 2020</w:t>
      </w:r>
      <w:r w:rsidR="00C51C15" w:rsidRPr="00B90781">
        <w:rPr>
          <w:rFonts w:ascii="Times New Roman" w:hAnsi="Times New Roman" w:cs="Times New Roman"/>
          <w:sz w:val="24"/>
          <w:szCs w:val="24"/>
        </w:rPr>
        <w:t xml:space="preserve">. </w:t>
      </w:r>
      <w:r w:rsidR="00BF104C" w:rsidRPr="00B90781">
        <w:rPr>
          <w:rFonts w:ascii="Times New Roman" w:hAnsi="Times New Roman" w:cs="Times New Roman"/>
          <w:sz w:val="24"/>
          <w:szCs w:val="24"/>
        </w:rPr>
        <w:t xml:space="preserve">Institui a Declaração Estadual de Direitos de Liberdade Econômica, estabelece normas para atos de liberação de atividade econômica e análise de impacto regulatório e dá outras providências. Diário Oficial do Estado de Roraima, Boa Vista, RR, 09 jun. 2020. Disponível em: </w:t>
      </w:r>
      <w:r w:rsidR="00731743" w:rsidRPr="00B90781">
        <w:rPr>
          <w:rFonts w:ascii="Times New Roman" w:hAnsi="Times New Roman" w:cs="Times New Roman"/>
          <w:sz w:val="24"/>
          <w:szCs w:val="24"/>
        </w:rPr>
        <w:t>https://sapl.al.rr.leg.br/norma/1228?display</w:t>
      </w:r>
      <w:r w:rsidR="00BF104C" w:rsidRPr="00B90781">
        <w:rPr>
          <w:rFonts w:ascii="Times New Roman" w:hAnsi="Times New Roman" w:cs="Times New Roman"/>
          <w:sz w:val="24"/>
          <w:szCs w:val="24"/>
        </w:rPr>
        <w:t>. Acesso em: 1</w:t>
      </w:r>
      <w:r w:rsidR="00731743" w:rsidRPr="00B90781">
        <w:rPr>
          <w:rFonts w:ascii="Times New Roman" w:hAnsi="Times New Roman" w:cs="Times New Roman"/>
          <w:sz w:val="24"/>
          <w:szCs w:val="24"/>
        </w:rPr>
        <w:t>6</w:t>
      </w:r>
      <w:r w:rsidR="00BF104C" w:rsidRPr="00B90781">
        <w:rPr>
          <w:rFonts w:ascii="Times New Roman" w:hAnsi="Times New Roman" w:cs="Times New Roman"/>
          <w:sz w:val="24"/>
          <w:szCs w:val="24"/>
        </w:rPr>
        <w:t xml:space="preserve"> maio. 2025.</w:t>
      </w:r>
    </w:p>
    <w:p w14:paraId="3851521E" w14:textId="77777777" w:rsidR="001379B9" w:rsidRPr="00B90781" w:rsidRDefault="001379B9" w:rsidP="00B90781">
      <w:pPr>
        <w:spacing w:after="0" w:line="240" w:lineRule="auto"/>
        <w:rPr>
          <w:rFonts w:ascii="Times New Roman" w:hAnsi="Times New Roman" w:cs="Times New Roman"/>
          <w:sz w:val="24"/>
          <w:szCs w:val="24"/>
        </w:rPr>
      </w:pPr>
    </w:p>
    <w:p w14:paraId="22C8286F" w14:textId="498DE497"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SANTA CATARINA. </w:t>
      </w:r>
      <w:r w:rsidR="004B676B" w:rsidRPr="00B90781">
        <w:rPr>
          <w:rFonts w:ascii="Times New Roman" w:hAnsi="Times New Roman" w:cs="Times New Roman"/>
          <w:b/>
          <w:bCs/>
          <w:sz w:val="24"/>
          <w:szCs w:val="24"/>
        </w:rPr>
        <w:t xml:space="preserve">Portal do Governo </w:t>
      </w:r>
      <w:r w:rsidRPr="00B90781">
        <w:rPr>
          <w:rFonts w:ascii="Times New Roman" w:hAnsi="Times New Roman" w:cs="Times New Roman"/>
          <w:b/>
          <w:bCs/>
          <w:sz w:val="24"/>
          <w:szCs w:val="24"/>
        </w:rPr>
        <w:t>de Santa Catarina</w:t>
      </w:r>
      <w:r w:rsidR="004B676B" w:rsidRPr="00B90781">
        <w:rPr>
          <w:rFonts w:ascii="Times New Roman" w:hAnsi="Times New Roman" w:cs="Times New Roman"/>
          <w:sz w:val="24"/>
          <w:szCs w:val="24"/>
        </w:rPr>
        <w:t xml:space="preserve">. </w:t>
      </w:r>
      <w:r w:rsidRPr="00B90781">
        <w:rPr>
          <w:rFonts w:ascii="Times New Roman" w:hAnsi="Times New Roman" w:cs="Times New Roman"/>
          <w:sz w:val="24"/>
          <w:szCs w:val="24"/>
        </w:rPr>
        <w:t>202</w:t>
      </w:r>
      <w:r w:rsidR="004B676B" w:rsidRPr="00B90781">
        <w:rPr>
          <w:rFonts w:ascii="Times New Roman" w:hAnsi="Times New Roman" w:cs="Times New Roman"/>
          <w:sz w:val="24"/>
          <w:szCs w:val="24"/>
        </w:rPr>
        <w:t>6</w:t>
      </w:r>
      <w:r w:rsidRPr="00B90781">
        <w:rPr>
          <w:rFonts w:ascii="Times New Roman" w:hAnsi="Times New Roman" w:cs="Times New Roman"/>
          <w:sz w:val="24"/>
          <w:szCs w:val="24"/>
        </w:rPr>
        <w:t>. Disponível em:</w:t>
      </w:r>
      <w:r w:rsidR="004B676B" w:rsidRPr="00B90781">
        <w:rPr>
          <w:rFonts w:ascii="Times New Roman" w:hAnsi="Times New Roman" w:cs="Times New Roman"/>
          <w:sz w:val="24"/>
          <w:szCs w:val="24"/>
        </w:rPr>
        <w:t xml:space="preserve"> https://www.sc.gov.br/</w:t>
      </w:r>
      <w:r w:rsidRPr="00B90781">
        <w:rPr>
          <w:rFonts w:ascii="Times New Roman" w:hAnsi="Times New Roman" w:cs="Times New Roman"/>
          <w:sz w:val="24"/>
          <w:szCs w:val="24"/>
        </w:rPr>
        <w:t xml:space="preserve">. Acesso em: 10 </w:t>
      </w:r>
      <w:r w:rsidR="004B676B" w:rsidRPr="00B90781">
        <w:rPr>
          <w:rFonts w:ascii="Times New Roman" w:hAnsi="Times New Roman" w:cs="Times New Roman"/>
          <w:sz w:val="24"/>
          <w:szCs w:val="24"/>
        </w:rPr>
        <w:t>jan</w:t>
      </w:r>
      <w:r w:rsidRPr="00B90781">
        <w:rPr>
          <w:rFonts w:ascii="Times New Roman" w:hAnsi="Times New Roman" w:cs="Times New Roman"/>
          <w:sz w:val="24"/>
          <w:szCs w:val="24"/>
        </w:rPr>
        <w:t>. 20</w:t>
      </w:r>
      <w:r w:rsidR="004B676B" w:rsidRPr="00B90781">
        <w:rPr>
          <w:rFonts w:ascii="Times New Roman" w:hAnsi="Times New Roman" w:cs="Times New Roman"/>
          <w:sz w:val="24"/>
          <w:szCs w:val="24"/>
        </w:rPr>
        <w:t>26</w:t>
      </w:r>
      <w:r w:rsidRPr="00B90781">
        <w:rPr>
          <w:rFonts w:ascii="Times New Roman" w:hAnsi="Times New Roman" w:cs="Times New Roman"/>
          <w:sz w:val="24"/>
          <w:szCs w:val="24"/>
        </w:rPr>
        <w:t>.</w:t>
      </w:r>
    </w:p>
    <w:p w14:paraId="73C3F480" w14:textId="77777777" w:rsidR="001379B9" w:rsidRPr="00B90781" w:rsidRDefault="001379B9" w:rsidP="00B90781">
      <w:pPr>
        <w:spacing w:after="0" w:line="240" w:lineRule="auto"/>
        <w:rPr>
          <w:rFonts w:ascii="Times New Roman" w:hAnsi="Times New Roman" w:cs="Times New Roman"/>
          <w:sz w:val="24"/>
          <w:szCs w:val="24"/>
        </w:rPr>
      </w:pPr>
    </w:p>
    <w:p w14:paraId="3A2CD6A0" w14:textId="20C3BADD" w:rsidR="001379B9" w:rsidRPr="00B90781" w:rsidRDefault="001379B9" w:rsidP="00B90781">
      <w:pPr>
        <w:spacing w:after="0" w:line="240" w:lineRule="auto"/>
        <w:rPr>
          <w:rFonts w:ascii="Times New Roman" w:hAnsi="Times New Roman" w:cs="Times New Roman"/>
          <w:i/>
          <w:iCs/>
          <w:sz w:val="24"/>
          <w:szCs w:val="24"/>
        </w:rPr>
      </w:pPr>
      <w:r w:rsidRPr="00B90781">
        <w:rPr>
          <w:rFonts w:ascii="Times New Roman" w:hAnsi="Times New Roman" w:cs="Times New Roman"/>
          <w:sz w:val="24"/>
          <w:szCs w:val="24"/>
        </w:rPr>
        <w:t xml:space="preserve">GOVERNO DO ESTADO DE SÃO PAULO. </w:t>
      </w:r>
      <w:r w:rsidRPr="00B90781">
        <w:rPr>
          <w:rFonts w:ascii="Times New Roman" w:hAnsi="Times New Roman" w:cs="Times New Roman"/>
          <w:b/>
          <w:bCs/>
          <w:sz w:val="24"/>
          <w:szCs w:val="24"/>
        </w:rPr>
        <w:t>Decreto n° 69.339, de 04 de fevereiro de 2025</w:t>
      </w:r>
      <w:r w:rsidRPr="00B90781">
        <w:rPr>
          <w:rFonts w:ascii="Times New Roman" w:hAnsi="Times New Roman" w:cs="Times New Roman"/>
          <w:sz w:val="24"/>
          <w:szCs w:val="24"/>
        </w:rPr>
        <w:t>. Regulamenta a Lei Complementar n° 1.413, de 23 de setembro de 2024, que dispõe sobre o regime jurídico das agências reguladoras estaduais, bem como estabelece diretrizes para a organização das agências e dá providências correlatas. Diário Oficial do Estado de São Paulo, São Paulo, 05 fev. 2025. Disponível em: https://www.al.sp.gov.br/repositorio/legislacao/decreto/2025/decreto-69339-04.02.2025.html. Acesso em: 10 ago. 2025.</w:t>
      </w:r>
    </w:p>
    <w:p w14:paraId="65328334" w14:textId="77777777" w:rsidR="001379B9" w:rsidRPr="00B90781" w:rsidRDefault="001379B9" w:rsidP="00B90781">
      <w:pPr>
        <w:spacing w:after="0" w:line="240" w:lineRule="auto"/>
        <w:rPr>
          <w:rFonts w:ascii="Times New Roman" w:hAnsi="Times New Roman" w:cs="Times New Roman"/>
          <w:sz w:val="24"/>
          <w:szCs w:val="24"/>
        </w:rPr>
      </w:pPr>
    </w:p>
    <w:p w14:paraId="5DE03BE1" w14:textId="7BD0E517"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SÃO PAULO. </w:t>
      </w:r>
      <w:r w:rsidRPr="00B90781">
        <w:rPr>
          <w:rFonts w:ascii="Times New Roman" w:hAnsi="Times New Roman" w:cs="Times New Roman"/>
          <w:b/>
          <w:bCs/>
          <w:sz w:val="24"/>
          <w:szCs w:val="24"/>
        </w:rPr>
        <w:t>Deliberação ARSESP nº 1.466, de 08 de novembro de 2023</w:t>
      </w:r>
      <w:r w:rsidRPr="00B90781">
        <w:rPr>
          <w:rFonts w:ascii="Times New Roman" w:hAnsi="Times New Roman" w:cs="Times New Roman"/>
          <w:sz w:val="24"/>
          <w:szCs w:val="24"/>
        </w:rPr>
        <w:t>. Aprova o Guia Orientador Para Elaboração de Análise de Impacto Regulatório - AIR. Diário Oficial do Estado de São Paulo, São Paulo, 10 nov. 2023. Disponível em: https://www.arsesp.sp.gov.br/Documentosgerais/Guia_para_elaboracao_de_Analise_de_Impacto_Regulatorio-AIR.pdf. Acesso em: 10 ago. 2025.</w:t>
      </w:r>
    </w:p>
    <w:p w14:paraId="7ECF2483" w14:textId="77777777" w:rsidR="001379B9" w:rsidRPr="00B90781" w:rsidRDefault="001379B9" w:rsidP="00B90781">
      <w:pPr>
        <w:spacing w:after="0" w:line="240" w:lineRule="auto"/>
        <w:rPr>
          <w:rFonts w:ascii="Times New Roman" w:hAnsi="Times New Roman" w:cs="Times New Roman"/>
          <w:sz w:val="24"/>
          <w:szCs w:val="24"/>
        </w:rPr>
      </w:pPr>
    </w:p>
    <w:p w14:paraId="57A860C7" w14:textId="5827D94B"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DE SERGIPE. </w:t>
      </w:r>
      <w:r w:rsidR="00201CFB" w:rsidRPr="00B90781">
        <w:rPr>
          <w:rFonts w:ascii="Times New Roman" w:hAnsi="Times New Roman" w:cs="Times New Roman"/>
          <w:sz w:val="24"/>
          <w:szCs w:val="24"/>
        </w:rPr>
        <w:t>Agência Reguladora dos Serviços Públicos do Estado Sergipe</w:t>
      </w:r>
      <w:r w:rsidRPr="00B90781">
        <w:rPr>
          <w:rFonts w:ascii="Times New Roman" w:hAnsi="Times New Roman" w:cs="Times New Roman"/>
          <w:sz w:val="24"/>
          <w:szCs w:val="24"/>
        </w:rPr>
        <w:t xml:space="preserve">. </w:t>
      </w:r>
      <w:r w:rsidR="00201CFB" w:rsidRPr="00B90781">
        <w:rPr>
          <w:rFonts w:ascii="Times New Roman" w:hAnsi="Times New Roman" w:cs="Times New Roman"/>
          <w:b/>
          <w:bCs/>
          <w:sz w:val="24"/>
          <w:szCs w:val="24"/>
        </w:rPr>
        <w:t>Manual de Boas Práticas Regulatórias</w:t>
      </w:r>
      <w:r w:rsidR="00201CFB" w:rsidRPr="00B90781">
        <w:rPr>
          <w:rFonts w:ascii="Times New Roman" w:hAnsi="Times New Roman" w:cs="Times New Roman"/>
          <w:sz w:val="24"/>
          <w:szCs w:val="24"/>
        </w:rPr>
        <w:t xml:space="preserve">. 2022. </w:t>
      </w:r>
      <w:r w:rsidRPr="00B90781">
        <w:rPr>
          <w:rFonts w:ascii="Times New Roman" w:hAnsi="Times New Roman" w:cs="Times New Roman"/>
          <w:sz w:val="24"/>
          <w:szCs w:val="24"/>
        </w:rPr>
        <w:t>Disponível em:</w:t>
      </w:r>
      <w:r w:rsidR="00201CFB" w:rsidRPr="00B90781">
        <w:rPr>
          <w:rFonts w:ascii="Times New Roman" w:hAnsi="Times New Roman" w:cs="Times New Roman"/>
          <w:sz w:val="24"/>
          <w:szCs w:val="24"/>
        </w:rPr>
        <w:t xml:space="preserve"> https://agrese.se.gov.br/wp-content/uploads/2023/06/Manual-de-boas-praticas-regulatorias.pdf</w:t>
      </w:r>
      <w:r w:rsidRPr="00B90781">
        <w:rPr>
          <w:rFonts w:ascii="Times New Roman" w:hAnsi="Times New Roman" w:cs="Times New Roman"/>
          <w:sz w:val="24"/>
          <w:szCs w:val="24"/>
        </w:rPr>
        <w:t>. Acesso em: 11 jun. 2025.</w:t>
      </w:r>
    </w:p>
    <w:p w14:paraId="719585E9" w14:textId="77777777" w:rsidR="001379B9" w:rsidRPr="00B90781" w:rsidRDefault="001379B9" w:rsidP="00B90781">
      <w:pPr>
        <w:spacing w:after="0" w:line="240" w:lineRule="auto"/>
        <w:rPr>
          <w:rFonts w:ascii="Times New Roman" w:hAnsi="Times New Roman" w:cs="Times New Roman"/>
          <w:sz w:val="24"/>
          <w:szCs w:val="24"/>
        </w:rPr>
      </w:pPr>
    </w:p>
    <w:p w14:paraId="0C78ECD2" w14:textId="77777777"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lastRenderedPageBreak/>
        <w:t xml:space="preserve">GOVERNO DO ESTADO DO ACRE. </w:t>
      </w:r>
      <w:r w:rsidRPr="00B90781">
        <w:rPr>
          <w:rFonts w:ascii="Times New Roman" w:hAnsi="Times New Roman" w:cs="Times New Roman"/>
          <w:b/>
          <w:bCs/>
          <w:sz w:val="24"/>
          <w:szCs w:val="24"/>
        </w:rPr>
        <w:t xml:space="preserve">Decreto nº 9.354, de 29 de junho de 2021. </w:t>
      </w:r>
      <w:r w:rsidRPr="00B90781">
        <w:rPr>
          <w:rFonts w:ascii="Times New Roman" w:hAnsi="Times New Roman" w:cs="Times New Roman"/>
          <w:sz w:val="24"/>
          <w:szCs w:val="24"/>
        </w:rPr>
        <w:t>Estabelece as normas e as diretrizes para encaminhamento de propostas de atos normativos ao Governador do Estado pelos Secretários de Estado. Diário Oficial do Estado do Acre, Rio Branco, 02 jul. 2021. Disponível em: https://www.legis.ac.gov.br/detalhar/4691. Acesso em: 26 jun. 2025.</w:t>
      </w:r>
    </w:p>
    <w:p w14:paraId="1E6464BA" w14:textId="77777777" w:rsidR="001379B9" w:rsidRPr="00B90781" w:rsidRDefault="001379B9" w:rsidP="00B90781">
      <w:pPr>
        <w:spacing w:after="0" w:line="240" w:lineRule="auto"/>
        <w:rPr>
          <w:rFonts w:ascii="Times New Roman" w:hAnsi="Times New Roman" w:cs="Times New Roman"/>
          <w:sz w:val="24"/>
          <w:szCs w:val="24"/>
        </w:rPr>
      </w:pPr>
    </w:p>
    <w:p w14:paraId="716C0B53" w14:textId="1B43FC3B"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AMAPÁ. </w:t>
      </w:r>
      <w:r w:rsidRPr="00B90781">
        <w:rPr>
          <w:rFonts w:ascii="Times New Roman" w:hAnsi="Times New Roman" w:cs="Times New Roman"/>
          <w:b/>
          <w:bCs/>
          <w:sz w:val="24"/>
          <w:szCs w:val="24"/>
        </w:rPr>
        <w:t>Lei nº 2963, de 14 de dezembro de 2023</w:t>
      </w:r>
      <w:r w:rsidRPr="00B90781">
        <w:rPr>
          <w:rFonts w:ascii="Times New Roman" w:hAnsi="Times New Roman" w:cs="Times New Roman"/>
          <w:sz w:val="24"/>
          <w:szCs w:val="24"/>
        </w:rPr>
        <w:t>. Institui a Declaração Estadual de Direitos de Liberdade Econômica, estabelece normas para atos de liberação de atividade econômica e análise de impacto regulatório e dá outras providências. Diário Oficial do Estado do Amapá, Macapá, AP, 14 dez. 2023. Disponível em: https://www.al.ap.leg.br/ver_texto_lei.php?iddocumento=133506. Acesso em: 10 fev. 2026.</w:t>
      </w:r>
    </w:p>
    <w:p w14:paraId="1120F8B4" w14:textId="77777777" w:rsidR="00947BC0" w:rsidRPr="00B90781" w:rsidRDefault="00947BC0" w:rsidP="00B90781">
      <w:pPr>
        <w:spacing w:after="0" w:line="240" w:lineRule="auto"/>
        <w:rPr>
          <w:rFonts w:ascii="Times New Roman" w:hAnsi="Times New Roman" w:cs="Times New Roman"/>
          <w:sz w:val="24"/>
          <w:szCs w:val="24"/>
        </w:rPr>
      </w:pPr>
    </w:p>
    <w:p w14:paraId="4CA62900" w14:textId="44DCD86F" w:rsidR="00B554C2"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AMAZONAS. </w:t>
      </w:r>
      <w:r w:rsidR="00E22FAF" w:rsidRPr="00B90781">
        <w:rPr>
          <w:rFonts w:ascii="Times New Roman" w:hAnsi="Times New Roman" w:cs="Times New Roman"/>
          <w:b/>
          <w:bCs/>
          <w:sz w:val="24"/>
          <w:szCs w:val="24"/>
        </w:rPr>
        <w:t xml:space="preserve">Lei n.º 5.787, de 12 de janeiro de 2022. </w:t>
      </w:r>
      <w:r w:rsidR="00E22FAF" w:rsidRPr="00B90781">
        <w:rPr>
          <w:rFonts w:ascii="Times New Roman" w:hAnsi="Times New Roman" w:cs="Times New Roman"/>
          <w:sz w:val="24"/>
          <w:szCs w:val="24"/>
        </w:rPr>
        <w:t xml:space="preserve">Institui o </w:t>
      </w:r>
      <w:r w:rsidR="002B4A15" w:rsidRPr="00B90781">
        <w:rPr>
          <w:rFonts w:ascii="Times New Roman" w:hAnsi="Times New Roman" w:cs="Times New Roman"/>
          <w:sz w:val="24"/>
          <w:szCs w:val="24"/>
        </w:rPr>
        <w:t xml:space="preserve">Código de Defesa do Empreendedor do Estado do Amazonas. Diário Oficial do Estado do Amazonas, Manaus, AM, 12 jan. 2022. Disponível em: </w:t>
      </w:r>
      <w:r w:rsidR="00DE0FF0" w:rsidRPr="00B90781">
        <w:rPr>
          <w:rFonts w:ascii="Times New Roman" w:hAnsi="Times New Roman" w:cs="Times New Roman"/>
          <w:sz w:val="24"/>
          <w:szCs w:val="24"/>
        </w:rPr>
        <w:t>https://legisla.imprensaoficial.am.gov.br/diario_am/12/2022/1/6769?modo=lista</w:t>
      </w:r>
      <w:r w:rsidR="002B4A15" w:rsidRPr="00B90781">
        <w:rPr>
          <w:rFonts w:ascii="Times New Roman" w:hAnsi="Times New Roman" w:cs="Times New Roman"/>
          <w:sz w:val="24"/>
          <w:szCs w:val="24"/>
        </w:rPr>
        <w:t>. Acesso em: 1</w:t>
      </w:r>
      <w:r w:rsidRPr="00B90781">
        <w:rPr>
          <w:rFonts w:ascii="Times New Roman" w:hAnsi="Times New Roman" w:cs="Times New Roman"/>
          <w:sz w:val="24"/>
          <w:szCs w:val="24"/>
        </w:rPr>
        <w:t>2</w:t>
      </w:r>
      <w:r w:rsidR="002B4A15" w:rsidRPr="00B90781">
        <w:rPr>
          <w:rFonts w:ascii="Times New Roman" w:hAnsi="Times New Roman" w:cs="Times New Roman"/>
          <w:sz w:val="24"/>
          <w:szCs w:val="24"/>
        </w:rPr>
        <w:t xml:space="preserve"> fev. 2026.</w:t>
      </w:r>
    </w:p>
    <w:p w14:paraId="4841F5DB" w14:textId="77777777" w:rsidR="00B554C2" w:rsidRPr="00B90781" w:rsidRDefault="00B554C2" w:rsidP="00B90781">
      <w:pPr>
        <w:spacing w:after="0" w:line="240" w:lineRule="auto"/>
        <w:rPr>
          <w:rFonts w:ascii="Times New Roman" w:hAnsi="Times New Roman" w:cs="Times New Roman"/>
          <w:sz w:val="24"/>
          <w:szCs w:val="24"/>
        </w:rPr>
      </w:pPr>
    </w:p>
    <w:p w14:paraId="5E933800" w14:textId="37A377DE" w:rsidR="00183DF4" w:rsidRPr="00B90781" w:rsidRDefault="00183DF4"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CEARÁ. </w:t>
      </w:r>
      <w:r w:rsidRPr="00B90781">
        <w:rPr>
          <w:rFonts w:ascii="Times New Roman" w:hAnsi="Times New Roman" w:cs="Times New Roman"/>
          <w:b/>
          <w:bCs/>
          <w:sz w:val="24"/>
          <w:szCs w:val="24"/>
        </w:rPr>
        <w:t>Portal do Governo do Ceará</w:t>
      </w:r>
      <w:r w:rsidRPr="00B90781">
        <w:rPr>
          <w:rFonts w:ascii="Times New Roman" w:hAnsi="Times New Roman" w:cs="Times New Roman"/>
          <w:sz w:val="24"/>
          <w:szCs w:val="24"/>
        </w:rPr>
        <w:t>. 2026. Disponível em: https://www.ceara.gov.br/. Acesso em: 14 fev. 2026.</w:t>
      </w:r>
    </w:p>
    <w:p w14:paraId="44CFD637" w14:textId="77777777" w:rsidR="00183DF4" w:rsidRPr="00B90781" w:rsidRDefault="00183DF4" w:rsidP="00B90781">
      <w:pPr>
        <w:spacing w:after="0" w:line="240" w:lineRule="auto"/>
        <w:rPr>
          <w:rFonts w:ascii="Times New Roman" w:hAnsi="Times New Roman" w:cs="Times New Roman"/>
          <w:sz w:val="24"/>
          <w:szCs w:val="24"/>
        </w:rPr>
      </w:pPr>
    </w:p>
    <w:p w14:paraId="50EF3FED" w14:textId="71F852F3" w:rsidR="00DE0FF0"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DISTRITO FEDERAL. </w:t>
      </w:r>
      <w:r w:rsidRPr="00B90781">
        <w:rPr>
          <w:rFonts w:ascii="Times New Roman" w:hAnsi="Times New Roman" w:cs="Times New Roman"/>
          <w:b/>
          <w:bCs/>
          <w:sz w:val="24"/>
          <w:szCs w:val="24"/>
        </w:rPr>
        <w:t>Portaria nº 163, de 26 de dezembro de 2023</w:t>
      </w:r>
      <w:r w:rsidR="00C34FFC" w:rsidRPr="00B90781">
        <w:rPr>
          <w:rFonts w:ascii="Times New Roman" w:hAnsi="Times New Roman" w:cs="Times New Roman"/>
          <w:b/>
          <w:bCs/>
          <w:sz w:val="24"/>
          <w:szCs w:val="24"/>
        </w:rPr>
        <w:t xml:space="preserve">. </w:t>
      </w:r>
      <w:r w:rsidR="00C34FFC" w:rsidRPr="00B90781">
        <w:rPr>
          <w:rFonts w:ascii="Times New Roman" w:hAnsi="Times New Roman" w:cs="Times New Roman"/>
          <w:sz w:val="24"/>
          <w:szCs w:val="24"/>
        </w:rPr>
        <w:t xml:space="preserve">Dispõe sobre a Análise de Impacto Regulatório (AIR) e a Avaliação de Resultado Regulatório (ARR) da Agência Reguladora de Águas, Energia e Saneamento Básico do Distrito Federal. Diário Oficial do Estado do </w:t>
      </w:r>
      <w:r w:rsidR="007954B6" w:rsidRPr="00B90781">
        <w:rPr>
          <w:rFonts w:ascii="Times New Roman" w:hAnsi="Times New Roman" w:cs="Times New Roman"/>
          <w:sz w:val="24"/>
          <w:szCs w:val="24"/>
        </w:rPr>
        <w:t>Distrito Federal,</w:t>
      </w:r>
      <w:r w:rsidR="00C34FFC" w:rsidRPr="00B90781">
        <w:rPr>
          <w:rFonts w:ascii="Times New Roman" w:hAnsi="Times New Roman" w:cs="Times New Roman"/>
          <w:sz w:val="24"/>
          <w:szCs w:val="24"/>
        </w:rPr>
        <w:t xml:space="preserve"> </w:t>
      </w:r>
      <w:r w:rsidR="000E78A3" w:rsidRPr="00B90781">
        <w:rPr>
          <w:rFonts w:ascii="Times New Roman" w:hAnsi="Times New Roman" w:cs="Times New Roman"/>
          <w:sz w:val="24"/>
          <w:szCs w:val="24"/>
        </w:rPr>
        <w:t>Brasília</w:t>
      </w:r>
      <w:r w:rsidR="00C34FFC" w:rsidRPr="00B90781">
        <w:rPr>
          <w:rFonts w:ascii="Times New Roman" w:hAnsi="Times New Roman" w:cs="Times New Roman"/>
          <w:sz w:val="24"/>
          <w:szCs w:val="24"/>
        </w:rPr>
        <w:t xml:space="preserve">, </w:t>
      </w:r>
      <w:r w:rsidR="007954B6" w:rsidRPr="00B90781">
        <w:rPr>
          <w:rFonts w:ascii="Times New Roman" w:hAnsi="Times New Roman" w:cs="Times New Roman"/>
          <w:sz w:val="24"/>
          <w:szCs w:val="24"/>
        </w:rPr>
        <w:t>DF</w:t>
      </w:r>
      <w:r w:rsidR="00C34FFC" w:rsidRPr="00B90781">
        <w:rPr>
          <w:rFonts w:ascii="Times New Roman" w:hAnsi="Times New Roman" w:cs="Times New Roman"/>
          <w:sz w:val="24"/>
          <w:szCs w:val="24"/>
        </w:rPr>
        <w:t xml:space="preserve">, </w:t>
      </w:r>
      <w:r w:rsidR="007954B6" w:rsidRPr="00B90781">
        <w:rPr>
          <w:rFonts w:ascii="Times New Roman" w:hAnsi="Times New Roman" w:cs="Times New Roman"/>
          <w:sz w:val="24"/>
          <w:szCs w:val="24"/>
        </w:rPr>
        <w:t>27</w:t>
      </w:r>
      <w:r w:rsidR="00C34FFC" w:rsidRPr="00B90781">
        <w:rPr>
          <w:rFonts w:ascii="Times New Roman" w:hAnsi="Times New Roman" w:cs="Times New Roman"/>
          <w:sz w:val="24"/>
          <w:szCs w:val="24"/>
        </w:rPr>
        <w:t xml:space="preserve"> </w:t>
      </w:r>
      <w:r w:rsidR="007954B6" w:rsidRPr="00B90781">
        <w:rPr>
          <w:rFonts w:ascii="Times New Roman" w:hAnsi="Times New Roman" w:cs="Times New Roman"/>
          <w:sz w:val="24"/>
          <w:szCs w:val="24"/>
        </w:rPr>
        <w:t>dez</w:t>
      </w:r>
      <w:r w:rsidR="00C34FFC" w:rsidRPr="00B90781">
        <w:rPr>
          <w:rFonts w:ascii="Times New Roman" w:hAnsi="Times New Roman" w:cs="Times New Roman"/>
          <w:sz w:val="24"/>
          <w:szCs w:val="24"/>
        </w:rPr>
        <w:t>. 202</w:t>
      </w:r>
      <w:r w:rsidR="007954B6" w:rsidRPr="00B90781">
        <w:rPr>
          <w:rFonts w:ascii="Times New Roman" w:hAnsi="Times New Roman" w:cs="Times New Roman"/>
          <w:sz w:val="24"/>
          <w:szCs w:val="24"/>
        </w:rPr>
        <w:t>3</w:t>
      </w:r>
      <w:r w:rsidR="00C34FFC" w:rsidRPr="00B90781">
        <w:rPr>
          <w:rFonts w:ascii="Times New Roman" w:hAnsi="Times New Roman" w:cs="Times New Roman"/>
          <w:sz w:val="24"/>
          <w:szCs w:val="24"/>
        </w:rPr>
        <w:t xml:space="preserve">. Disponível em: </w:t>
      </w:r>
      <w:r w:rsidR="00594BD8" w:rsidRPr="00B90781">
        <w:rPr>
          <w:rFonts w:ascii="Times New Roman" w:hAnsi="Times New Roman" w:cs="Times New Roman"/>
          <w:sz w:val="24"/>
          <w:szCs w:val="24"/>
        </w:rPr>
        <w:t>https://dflegis.df.gov.br/ato.php?p=portaria-163-de-26-de-dezembro-de-2023</w:t>
      </w:r>
      <w:r w:rsidR="00C34FFC" w:rsidRPr="00B90781">
        <w:rPr>
          <w:rFonts w:ascii="Times New Roman" w:hAnsi="Times New Roman" w:cs="Times New Roman"/>
          <w:sz w:val="24"/>
          <w:szCs w:val="24"/>
        </w:rPr>
        <w:t>. Acesso em: 1</w:t>
      </w:r>
      <w:r w:rsidRPr="00B90781">
        <w:rPr>
          <w:rFonts w:ascii="Times New Roman" w:hAnsi="Times New Roman" w:cs="Times New Roman"/>
          <w:sz w:val="24"/>
          <w:szCs w:val="24"/>
        </w:rPr>
        <w:t>6</w:t>
      </w:r>
      <w:r w:rsidR="00C34FFC" w:rsidRPr="00B90781">
        <w:rPr>
          <w:rFonts w:ascii="Times New Roman" w:hAnsi="Times New Roman" w:cs="Times New Roman"/>
          <w:sz w:val="24"/>
          <w:szCs w:val="24"/>
        </w:rPr>
        <w:t xml:space="preserve"> </w:t>
      </w:r>
      <w:r w:rsidRPr="00B90781">
        <w:rPr>
          <w:rFonts w:ascii="Times New Roman" w:hAnsi="Times New Roman" w:cs="Times New Roman"/>
          <w:sz w:val="24"/>
          <w:szCs w:val="24"/>
        </w:rPr>
        <w:t>jan</w:t>
      </w:r>
      <w:r w:rsidR="00C34FFC" w:rsidRPr="00B90781">
        <w:rPr>
          <w:rFonts w:ascii="Times New Roman" w:hAnsi="Times New Roman" w:cs="Times New Roman"/>
          <w:sz w:val="24"/>
          <w:szCs w:val="24"/>
        </w:rPr>
        <w:t>. 2026.</w:t>
      </w:r>
    </w:p>
    <w:p w14:paraId="5ACEC79F" w14:textId="77777777" w:rsidR="00DE0FF0" w:rsidRPr="00B90781" w:rsidRDefault="00DE0FF0" w:rsidP="00B90781">
      <w:pPr>
        <w:spacing w:after="0" w:line="240" w:lineRule="auto"/>
        <w:rPr>
          <w:rFonts w:ascii="Times New Roman" w:hAnsi="Times New Roman" w:cs="Times New Roman"/>
          <w:sz w:val="24"/>
          <w:szCs w:val="24"/>
        </w:rPr>
      </w:pPr>
    </w:p>
    <w:p w14:paraId="7D78BDA2" w14:textId="2C8D5974" w:rsidR="000E78A3"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ESPÍRITO SANTO. </w:t>
      </w:r>
      <w:r w:rsidR="00E22FAF" w:rsidRPr="00B90781">
        <w:rPr>
          <w:rFonts w:ascii="Times New Roman" w:hAnsi="Times New Roman" w:cs="Times New Roman"/>
          <w:b/>
          <w:bCs/>
          <w:sz w:val="24"/>
          <w:szCs w:val="24"/>
        </w:rPr>
        <w:t>Lei nº 11.499, de 16 de dezembro de 2021</w:t>
      </w:r>
      <w:r w:rsidR="00E22FAF" w:rsidRPr="00B90781">
        <w:rPr>
          <w:rFonts w:ascii="Times New Roman" w:hAnsi="Times New Roman" w:cs="Times New Roman"/>
          <w:sz w:val="24"/>
          <w:szCs w:val="24"/>
        </w:rPr>
        <w:t xml:space="preserve">. </w:t>
      </w:r>
      <w:r w:rsidR="00F7556A" w:rsidRPr="00B90781">
        <w:rPr>
          <w:rFonts w:ascii="Times New Roman" w:hAnsi="Times New Roman" w:cs="Times New Roman"/>
          <w:sz w:val="24"/>
          <w:szCs w:val="24"/>
        </w:rPr>
        <w:t xml:space="preserve">Institui a Declaração Estadual de Direitos de Liberdade Econômica, que estabelece normas para atos de liberação de atividade econômica e a análise de impacto regulatório e dá outras providências. Diário Oficial do Estado do Espírito Santo, </w:t>
      </w:r>
      <w:r w:rsidR="00725876" w:rsidRPr="00B90781">
        <w:rPr>
          <w:rFonts w:ascii="Times New Roman" w:hAnsi="Times New Roman" w:cs="Times New Roman"/>
          <w:sz w:val="24"/>
          <w:szCs w:val="24"/>
        </w:rPr>
        <w:t>Vitória,</w:t>
      </w:r>
      <w:r w:rsidR="00F7556A" w:rsidRPr="00B90781">
        <w:rPr>
          <w:rFonts w:ascii="Times New Roman" w:hAnsi="Times New Roman" w:cs="Times New Roman"/>
          <w:sz w:val="24"/>
          <w:szCs w:val="24"/>
        </w:rPr>
        <w:t xml:space="preserve"> </w:t>
      </w:r>
      <w:r w:rsidR="00725876" w:rsidRPr="00B90781">
        <w:rPr>
          <w:rFonts w:ascii="Times New Roman" w:hAnsi="Times New Roman" w:cs="Times New Roman"/>
          <w:sz w:val="24"/>
          <w:szCs w:val="24"/>
        </w:rPr>
        <w:t>ES</w:t>
      </w:r>
      <w:r w:rsidR="00F7556A" w:rsidRPr="00B90781">
        <w:rPr>
          <w:rFonts w:ascii="Times New Roman" w:hAnsi="Times New Roman" w:cs="Times New Roman"/>
          <w:sz w:val="24"/>
          <w:szCs w:val="24"/>
        </w:rPr>
        <w:t xml:space="preserve">, </w:t>
      </w:r>
      <w:r w:rsidR="00725876" w:rsidRPr="00B90781">
        <w:rPr>
          <w:rFonts w:ascii="Times New Roman" w:hAnsi="Times New Roman" w:cs="Times New Roman"/>
          <w:sz w:val="24"/>
          <w:szCs w:val="24"/>
        </w:rPr>
        <w:t>12</w:t>
      </w:r>
      <w:r w:rsidR="00F7556A" w:rsidRPr="00B90781">
        <w:rPr>
          <w:rFonts w:ascii="Times New Roman" w:hAnsi="Times New Roman" w:cs="Times New Roman"/>
          <w:sz w:val="24"/>
          <w:szCs w:val="24"/>
        </w:rPr>
        <w:t xml:space="preserve"> dez. 202</w:t>
      </w:r>
      <w:r w:rsidR="00725876" w:rsidRPr="00B90781">
        <w:rPr>
          <w:rFonts w:ascii="Times New Roman" w:hAnsi="Times New Roman" w:cs="Times New Roman"/>
          <w:sz w:val="24"/>
          <w:szCs w:val="24"/>
        </w:rPr>
        <w:t>1</w:t>
      </w:r>
      <w:r w:rsidR="00F7556A" w:rsidRPr="00B90781">
        <w:rPr>
          <w:rFonts w:ascii="Times New Roman" w:hAnsi="Times New Roman" w:cs="Times New Roman"/>
          <w:sz w:val="24"/>
          <w:szCs w:val="24"/>
        </w:rPr>
        <w:t xml:space="preserve">. Disponível em: </w:t>
      </w:r>
      <w:r w:rsidR="00D56362" w:rsidRPr="00B90781">
        <w:rPr>
          <w:rFonts w:ascii="Times New Roman" w:hAnsi="Times New Roman" w:cs="Times New Roman"/>
          <w:sz w:val="24"/>
          <w:szCs w:val="24"/>
        </w:rPr>
        <w:t>https://arsp.es.gov.br/Media/arsi/Legisla%C3%A7%C3%A3o/RegimentoInterno/Regimento_Interno_ARSP_2024.pdf</w:t>
      </w:r>
      <w:r w:rsidR="00F7556A" w:rsidRPr="00B90781">
        <w:rPr>
          <w:rFonts w:ascii="Times New Roman" w:hAnsi="Times New Roman" w:cs="Times New Roman"/>
          <w:sz w:val="24"/>
          <w:szCs w:val="24"/>
        </w:rPr>
        <w:t>. Acesso em: 1</w:t>
      </w:r>
      <w:r w:rsidRPr="00B90781">
        <w:rPr>
          <w:rFonts w:ascii="Times New Roman" w:hAnsi="Times New Roman" w:cs="Times New Roman"/>
          <w:sz w:val="24"/>
          <w:szCs w:val="24"/>
        </w:rPr>
        <w:t>7</w:t>
      </w:r>
      <w:r w:rsidR="00F7556A" w:rsidRPr="00B90781">
        <w:rPr>
          <w:rFonts w:ascii="Times New Roman" w:hAnsi="Times New Roman" w:cs="Times New Roman"/>
          <w:sz w:val="24"/>
          <w:szCs w:val="24"/>
        </w:rPr>
        <w:t xml:space="preserve"> </w:t>
      </w:r>
      <w:r w:rsidRPr="00B90781">
        <w:rPr>
          <w:rFonts w:ascii="Times New Roman" w:hAnsi="Times New Roman" w:cs="Times New Roman"/>
          <w:sz w:val="24"/>
          <w:szCs w:val="24"/>
        </w:rPr>
        <w:t>dez</w:t>
      </w:r>
      <w:r w:rsidR="00F7556A" w:rsidRPr="00B90781">
        <w:rPr>
          <w:rFonts w:ascii="Times New Roman" w:hAnsi="Times New Roman" w:cs="Times New Roman"/>
          <w:sz w:val="24"/>
          <w:szCs w:val="24"/>
        </w:rPr>
        <w:t>. 202</w:t>
      </w:r>
      <w:r w:rsidRPr="00B90781">
        <w:rPr>
          <w:rFonts w:ascii="Times New Roman" w:hAnsi="Times New Roman" w:cs="Times New Roman"/>
          <w:sz w:val="24"/>
          <w:szCs w:val="24"/>
        </w:rPr>
        <w:t>5</w:t>
      </w:r>
      <w:r w:rsidR="00F7556A" w:rsidRPr="00B90781">
        <w:rPr>
          <w:rFonts w:ascii="Times New Roman" w:hAnsi="Times New Roman" w:cs="Times New Roman"/>
          <w:sz w:val="24"/>
          <w:szCs w:val="24"/>
        </w:rPr>
        <w:t>.</w:t>
      </w:r>
    </w:p>
    <w:p w14:paraId="32ACC033" w14:textId="77777777" w:rsidR="00D56362" w:rsidRPr="00B90781" w:rsidRDefault="00D56362" w:rsidP="00B90781">
      <w:pPr>
        <w:spacing w:after="0" w:line="240" w:lineRule="auto"/>
        <w:rPr>
          <w:rFonts w:ascii="Times New Roman" w:hAnsi="Times New Roman" w:cs="Times New Roman"/>
          <w:sz w:val="24"/>
          <w:szCs w:val="24"/>
        </w:rPr>
      </w:pPr>
    </w:p>
    <w:p w14:paraId="237339C9" w14:textId="2F7688D8" w:rsidR="00D56362" w:rsidRPr="00B90781" w:rsidRDefault="00D56362"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ESPÍRITO SANTO. </w:t>
      </w:r>
      <w:r w:rsidRPr="00B90781">
        <w:rPr>
          <w:rFonts w:ascii="Times New Roman" w:hAnsi="Times New Roman" w:cs="Times New Roman"/>
          <w:b/>
          <w:bCs/>
          <w:sz w:val="24"/>
          <w:szCs w:val="24"/>
        </w:rPr>
        <w:t>Resolução ARSP nº 071, de 15 de fevereiro de 2024</w:t>
      </w:r>
      <w:r w:rsidRPr="00B90781">
        <w:rPr>
          <w:rFonts w:ascii="Times New Roman" w:hAnsi="Times New Roman" w:cs="Times New Roman"/>
          <w:sz w:val="24"/>
          <w:szCs w:val="24"/>
        </w:rPr>
        <w:t>. Aprova o regimento Interno da Agência de Regulação de Serviços Públicos – ARSP. Diário Oficial do Estado do Espírito Santo, Vitória, ES, 16 fev. 2024. Disponível em: https://www3.al.es.gov.br/Arquivo/Documents/legislacao/html/LEI114992021.html. Acesso em: 17 dez. 2025.</w:t>
      </w:r>
    </w:p>
    <w:p w14:paraId="37D0C8CC" w14:textId="167CA253" w:rsidR="00D56362" w:rsidRPr="00B90781" w:rsidRDefault="00D56362" w:rsidP="00B90781">
      <w:pPr>
        <w:spacing w:after="0" w:line="240" w:lineRule="auto"/>
        <w:rPr>
          <w:rFonts w:ascii="Times New Roman" w:hAnsi="Times New Roman" w:cs="Times New Roman"/>
          <w:sz w:val="24"/>
          <w:szCs w:val="24"/>
        </w:rPr>
      </w:pPr>
    </w:p>
    <w:p w14:paraId="74A396B4" w14:textId="2106F039" w:rsidR="00183DF4" w:rsidRPr="00B90781" w:rsidRDefault="00183DF4"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MARANHÃO. </w:t>
      </w:r>
      <w:r w:rsidRPr="00B90781">
        <w:rPr>
          <w:rFonts w:ascii="Times New Roman" w:hAnsi="Times New Roman" w:cs="Times New Roman"/>
          <w:b/>
          <w:bCs/>
          <w:sz w:val="24"/>
          <w:szCs w:val="24"/>
        </w:rPr>
        <w:t>Portal do Governo do Maranhão</w:t>
      </w:r>
      <w:r w:rsidRPr="00B90781">
        <w:rPr>
          <w:rFonts w:ascii="Times New Roman" w:hAnsi="Times New Roman" w:cs="Times New Roman"/>
          <w:sz w:val="24"/>
          <w:szCs w:val="24"/>
        </w:rPr>
        <w:t>. 2026. Disponível em: https://www.ma.gov.br/. Acesso em:16 jan. 2026.</w:t>
      </w:r>
    </w:p>
    <w:p w14:paraId="7085BEA0" w14:textId="77777777" w:rsidR="00B90781" w:rsidRDefault="00B90781" w:rsidP="00B90781">
      <w:pPr>
        <w:spacing w:after="0" w:line="240" w:lineRule="auto"/>
        <w:rPr>
          <w:rFonts w:ascii="Times New Roman" w:hAnsi="Times New Roman" w:cs="Times New Roman"/>
          <w:sz w:val="24"/>
          <w:szCs w:val="24"/>
        </w:rPr>
      </w:pPr>
    </w:p>
    <w:p w14:paraId="1F2C8A4C" w14:textId="3F1A56EE"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MATO GROSSO. </w:t>
      </w:r>
      <w:r w:rsidR="00D56362" w:rsidRPr="00B90781">
        <w:rPr>
          <w:rFonts w:ascii="Times New Roman" w:hAnsi="Times New Roman" w:cs="Times New Roman"/>
          <w:b/>
          <w:bCs/>
          <w:sz w:val="24"/>
          <w:szCs w:val="24"/>
        </w:rPr>
        <w:t>Resolução Normativa AGER/MT nº 001/2025</w:t>
      </w:r>
      <w:r w:rsidRPr="00B90781">
        <w:rPr>
          <w:rFonts w:ascii="Times New Roman" w:hAnsi="Times New Roman" w:cs="Times New Roman"/>
          <w:sz w:val="24"/>
          <w:szCs w:val="24"/>
        </w:rPr>
        <w:t xml:space="preserve">. </w:t>
      </w:r>
      <w:r w:rsidR="00D56362" w:rsidRPr="00B90781">
        <w:rPr>
          <w:rFonts w:ascii="Times New Roman" w:hAnsi="Times New Roman" w:cs="Times New Roman"/>
          <w:sz w:val="24"/>
          <w:szCs w:val="24"/>
        </w:rPr>
        <w:t>Estabelece o procedimento e disciplina a aplicação dos instrumentos de Análise de Impacto Regulatório e Avaliação de Resultado Regulatório no âmbito da AGER/MT e dá outras providências</w:t>
      </w:r>
      <w:r w:rsidRPr="00B90781">
        <w:rPr>
          <w:rFonts w:ascii="Times New Roman" w:hAnsi="Times New Roman" w:cs="Times New Roman"/>
          <w:sz w:val="24"/>
          <w:szCs w:val="24"/>
        </w:rPr>
        <w:t xml:space="preserve">. Diário Oficial do Estado de Mato Grosso, Cuiabá, </w:t>
      </w:r>
      <w:r w:rsidR="00FE6048" w:rsidRPr="00B90781">
        <w:rPr>
          <w:rFonts w:ascii="Times New Roman" w:hAnsi="Times New Roman" w:cs="Times New Roman"/>
          <w:sz w:val="24"/>
          <w:szCs w:val="24"/>
        </w:rPr>
        <w:t xml:space="preserve">MG, </w:t>
      </w:r>
      <w:r w:rsidR="00D56362" w:rsidRPr="00B90781">
        <w:rPr>
          <w:rFonts w:ascii="Times New Roman" w:hAnsi="Times New Roman" w:cs="Times New Roman"/>
          <w:sz w:val="24"/>
          <w:szCs w:val="24"/>
        </w:rPr>
        <w:t>05</w:t>
      </w:r>
      <w:r w:rsidRPr="00B90781">
        <w:rPr>
          <w:rFonts w:ascii="Times New Roman" w:hAnsi="Times New Roman" w:cs="Times New Roman"/>
          <w:sz w:val="24"/>
          <w:szCs w:val="24"/>
        </w:rPr>
        <w:t xml:space="preserve"> fev. 202</w:t>
      </w:r>
      <w:r w:rsidR="00D56362" w:rsidRPr="00B90781">
        <w:rPr>
          <w:rFonts w:ascii="Times New Roman" w:hAnsi="Times New Roman" w:cs="Times New Roman"/>
          <w:sz w:val="24"/>
          <w:szCs w:val="24"/>
        </w:rPr>
        <w:t>5</w:t>
      </w:r>
      <w:r w:rsidRPr="00B90781">
        <w:rPr>
          <w:rFonts w:ascii="Times New Roman" w:hAnsi="Times New Roman" w:cs="Times New Roman"/>
          <w:sz w:val="24"/>
          <w:szCs w:val="24"/>
        </w:rPr>
        <w:t xml:space="preserve">. </w:t>
      </w:r>
      <w:r w:rsidRPr="00B90781">
        <w:rPr>
          <w:rFonts w:ascii="Times New Roman" w:hAnsi="Times New Roman" w:cs="Times New Roman"/>
          <w:sz w:val="24"/>
          <w:szCs w:val="24"/>
        </w:rPr>
        <w:lastRenderedPageBreak/>
        <w:t xml:space="preserve">Disponível em: </w:t>
      </w:r>
      <w:r w:rsidR="00D56362" w:rsidRPr="00B90781">
        <w:rPr>
          <w:rFonts w:ascii="Times New Roman" w:hAnsi="Times New Roman" w:cs="Times New Roman"/>
          <w:sz w:val="24"/>
          <w:szCs w:val="24"/>
        </w:rPr>
        <w:t>https://www.sedec.mt.gov.br/documents/5177949/158ebece-3d2b-47fa-36a3-ac556719e377</w:t>
      </w:r>
      <w:r w:rsidRPr="00B90781">
        <w:rPr>
          <w:rFonts w:ascii="Times New Roman" w:hAnsi="Times New Roman" w:cs="Times New Roman"/>
          <w:sz w:val="24"/>
          <w:szCs w:val="24"/>
        </w:rPr>
        <w:t>Acesso em: 26 jun. 2024.</w:t>
      </w:r>
    </w:p>
    <w:p w14:paraId="49F10A06" w14:textId="77777777" w:rsidR="00B90781" w:rsidRDefault="00B90781" w:rsidP="00B90781">
      <w:pPr>
        <w:spacing w:after="0" w:line="240" w:lineRule="auto"/>
        <w:rPr>
          <w:rFonts w:ascii="Times New Roman" w:hAnsi="Times New Roman" w:cs="Times New Roman"/>
          <w:sz w:val="24"/>
          <w:szCs w:val="24"/>
        </w:rPr>
      </w:pPr>
    </w:p>
    <w:p w14:paraId="7F7180AC" w14:textId="18E5FB94" w:rsidR="00201CFB" w:rsidRPr="00B90781" w:rsidRDefault="00201CFB"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MATO GROSSO DO SUL. </w:t>
      </w:r>
      <w:r w:rsidRPr="00B90781">
        <w:rPr>
          <w:rFonts w:ascii="Times New Roman" w:hAnsi="Times New Roman" w:cs="Times New Roman"/>
          <w:b/>
          <w:bCs/>
          <w:sz w:val="24"/>
          <w:szCs w:val="24"/>
        </w:rPr>
        <w:t>Lei nº 5.626, de 17 de dezembro de 2020</w:t>
      </w:r>
      <w:r w:rsidRPr="00B90781">
        <w:rPr>
          <w:rFonts w:ascii="Times New Roman" w:hAnsi="Times New Roman" w:cs="Times New Roman"/>
          <w:sz w:val="24"/>
          <w:szCs w:val="24"/>
        </w:rPr>
        <w:t>. Institui a Declaração Estadual de Direitos de Liberdade Econômica no âmbito do Estado de Mato Grosso do Sul; estabelece normas para atos de liberação de atividade econômica e análise de impacto regulatório; institui o Comitê para a Implantação da Lei de Liberdade Econômica em Mato Grosso do Sul (CILE-MS), e dá outras providências. Diário Oficial do Estado de Mato Grosso do Sul, Campo Grande, MS, 21 dez. 2020. Disponível em: https://aacpdappls.net.ms.gov.br/appls/legislacao/secoge/govato.nsf/448b683bce4ca84704256c0b00651e9d/790ed688da573df9042586450077fb3e?OpenDocument. Acesso em: 26 jun. 2024.</w:t>
      </w:r>
    </w:p>
    <w:p w14:paraId="0F6B0D32" w14:textId="77777777" w:rsidR="00B90781" w:rsidRDefault="00B90781" w:rsidP="00B90781">
      <w:pPr>
        <w:spacing w:after="0" w:line="240" w:lineRule="auto"/>
        <w:rPr>
          <w:rFonts w:ascii="Times New Roman" w:hAnsi="Times New Roman" w:cs="Times New Roman"/>
          <w:sz w:val="24"/>
          <w:szCs w:val="24"/>
        </w:rPr>
      </w:pPr>
    </w:p>
    <w:p w14:paraId="0AC23C50" w14:textId="592C3145"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MATO GROSSO DO SUL. </w:t>
      </w:r>
      <w:r w:rsidRPr="00B90781">
        <w:rPr>
          <w:rFonts w:ascii="Times New Roman" w:hAnsi="Times New Roman" w:cs="Times New Roman"/>
          <w:b/>
          <w:bCs/>
          <w:sz w:val="24"/>
          <w:szCs w:val="24"/>
        </w:rPr>
        <w:t>Decreto nº 16.338, de 19 de dezembro de 2023.</w:t>
      </w:r>
      <w:r w:rsidRPr="00B90781">
        <w:rPr>
          <w:rFonts w:ascii="Times New Roman" w:hAnsi="Times New Roman" w:cs="Times New Roman"/>
          <w:sz w:val="24"/>
          <w:szCs w:val="24"/>
        </w:rPr>
        <w:t xml:space="preserve"> Dispõe sobre a competência, a forma de elaboração, o procedimento, a técnica legislativa e a publicação dos atos normativos no âmbito dos órgãos da Administração Direta, das autarquias e das fundações do Poder Executivo Estadual, aprova o Manual das Boas Práticas dos Atos Normativos, e dá outras providências. Diário Oficial do Estado de Mato Grosso do Sul, Campo Grande, </w:t>
      </w:r>
      <w:r w:rsidR="00FE6048" w:rsidRPr="00B90781">
        <w:rPr>
          <w:rFonts w:ascii="Times New Roman" w:hAnsi="Times New Roman" w:cs="Times New Roman"/>
          <w:sz w:val="24"/>
          <w:szCs w:val="24"/>
        </w:rPr>
        <w:t xml:space="preserve">MS, </w:t>
      </w:r>
      <w:r w:rsidRPr="00B90781">
        <w:rPr>
          <w:rFonts w:ascii="Times New Roman" w:hAnsi="Times New Roman" w:cs="Times New Roman"/>
          <w:sz w:val="24"/>
          <w:szCs w:val="24"/>
        </w:rPr>
        <w:t>20 dez. 2023. Disponível em: https://leis.org/estaduais/mt/mato-grosso/lei/decreto/2021/827/decreto-n-827-2021-mato-grosso-fixa-procedimentos-de-elaboracao-manifestacao-e-tramitacao-de-propostas-de-atos-normativos-no-ambito-do-poder-executivo. Acesso em: 26 jun. 2024.</w:t>
      </w:r>
    </w:p>
    <w:p w14:paraId="026E3677" w14:textId="77777777" w:rsidR="00B90781" w:rsidRDefault="00B90781" w:rsidP="00B90781">
      <w:pPr>
        <w:spacing w:after="0" w:line="240" w:lineRule="auto"/>
        <w:rPr>
          <w:rFonts w:ascii="Times New Roman" w:hAnsi="Times New Roman" w:cs="Times New Roman"/>
          <w:sz w:val="24"/>
          <w:szCs w:val="24"/>
        </w:rPr>
      </w:pPr>
    </w:p>
    <w:p w14:paraId="7A7F2ECF" w14:textId="48D7308C" w:rsidR="00183DF4" w:rsidRPr="00B90781" w:rsidRDefault="00183DF4"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PARÁ. </w:t>
      </w:r>
      <w:r w:rsidRPr="00B90781">
        <w:rPr>
          <w:rFonts w:ascii="Times New Roman" w:hAnsi="Times New Roman" w:cs="Times New Roman"/>
          <w:b/>
          <w:bCs/>
          <w:sz w:val="24"/>
          <w:szCs w:val="24"/>
        </w:rPr>
        <w:t>Portal do Governo do Pará</w:t>
      </w:r>
      <w:r w:rsidRPr="00B90781">
        <w:rPr>
          <w:rFonts w:ascii="Times New Roman" w:hAnsi="Times New Roman" w:cs="Times New Roman"/>
          <w:sz w:val="24"/>
          <w:szCs w:val="24"/>
        </w:rPr>
        <w:t>. 2026. Disponível em: https://www.pa.gov.br/. Acesso em: 26 jun. 2025.</w:t>
      </w:r>
    </w:p>
    <w:p w14:paraId="3EEC7017" w14:textId="77777777" w:rsidR="00183DF4" w:rsidRPr="00B90781" w:rsidRDefault="00183DF4" w:rsidP="00B90781">
      <w:pPr>
        <w:spacing w:after="0" w:line="240" w:lineRule="auto"/>
        <w:rPr>
          <w:rFonts w:ascii="Times New Roman" w:hAnsi="Times New Roman" w:cs="Times New Roman"/>
          <w:sz w:val="24"/>
          <w:szCs w:val="24"/>
        </w:rPr>
      </w:pPr>
    </w:p>
    <w:p w14:paraId="25194A8E" w14:textId="145ACD35"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PARANÁ. </w:t>
      </w:r>
      <w:r w:rsidRPr="00B90781">
        <w:rPr>
          <w:rFonts w:ascii="Times New Roman" w:hAnsi="Times New Roman" w:cs="Times New Roman"/>
          <w:b/>
          <w:bCs/>
          <w:sz w:val="24"/>
          <w:szCs w:val="24"/>
        </w:rPr>
        <w:t xml:space="preserve">Decreto nº 6265, de 24 de novembro de 2020. </w:t>
      </w:r>
      <w:r w:rsidRPr="00B90781">
        <w:rPr>
          <w:rFonts w:ascii="Times New Roman" w:hAnsi="Times New Roman" w:cs="Times New Roman"/>
          <w:sz w:val="24"/>
          <w:szCs w:val="24"/>
        </w:rPr>
        <w:t xml:space="preserve">Aprova o Regulamento da Agência Reguladora de Serviços Públicos Delegados do Paraná. Diário Oficial do Estado do Paraná, Curitiba, </w:t>
      </w:r>
      <w:r w:rsidR="00FE6048" w:rsidRPr="00B90781">
        <w:rPr>
          <w:rFonts w:ascii="Times New Roman" w:hAnsi="Times New Roman" w:cs="Times New Roman"/>
          <w:sz w:val="24"/>
          <w:szCs w:val="24"/>
        </w:rPr>
        <w:t xml:space="preserve">PR, </w:t>
      </w:r>
      <w:r w:rsidRPr="00B90781">
        <w:rPr>
          <w:rFonts w:ascii="Times New Roman" w:hAnsi="Times New Roman" w:cs="Times New Roman"/>
          <w:sz w:val="24"/>
          <w:szCs w:val="24"/>
        </w:rPr>
        <w:t>11 dez. 2020. Disponível em: https://www.legislacao.pr.gov.br/legislacao/pesquisarAto.do?action=exibir&amp;codAto=243247&amp;indice=1&amp;totalRegistros=1&amp;dt=17.8.2021.10.48.57.716. Acesso em: 26 jun. 2024.</w:t>
      </w:r>
    </w:p>
    <w:p w14:paraId="564DE813" w14:textId="77777777" w:rsidR="001379B9" w:rsidRPr="00B90781" w:rsidRDefault="001379B9" w:rsidP="00B90781">
      <w:pPr>
        <w:spacing w:after="0" w:line="240" w:lineRule="auto"/>
        <w:rPr>
          <w:rFonts w:ascii="Times New Roman" w:hAnsi="Times New Roman" w:cs="Times New Roman"/>
          <w:sz w:val="24"/>
          <w:szCs w:val="24"/>
        </w:rPr>
      </w:pPr>
    </w:p>
    <w:p w14:paraId="05CD0D7A" w14:textId="5D34D6E0"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PARANÁ. </w:t>
      </w:r>
      <w:r w:rsidRPr="00B90781">
        <w:rPr>
          <w:rFonts w:ascii="Times New Roman" w:hAnsi="Times New Roman" w:cs="Times New Roman"/>
          <w:b/>
          <w:bCs/>
          <w:sz w:val="24"/>
          <w:szCs w:val="24"/>
        </w:rPr>
        <w:t xml:space="preserve">Resolução n.º 42-2025 AGEPAR. </w:t>
      </w:r>
      <w:r w:rsidRPr="00B90781">
        <w:rPr>
          <w:rFonts w:ascii="Times New Roman" w:hAnsi="Times New Roman" w:cs="Times New Roman"/>
          <w:sz w:val="24"/>
          <w:szCs w:val="24"/>
        </w:rPr>
        <w:t xml:space="preserve">Disciplina os procedimentos que compõem o ciclo regulatório. Diário Oficial do Estado do Paraná, Curitiba, </w:t>
      </w:r>
      <w:r w:rsidR="00FE6048" w:rsidRPr="00B90781">
        <w:rPr>
          <w:rFonts w:ascii="Times New Roman" w:hAnsi="Times New Roman" w:cs="Times New Roman"/>
          <w:sz w:val="24"/>
          <w:szCs w:val="24"/>
        </w:rPr>
        <w:t xml:space="preserve">PR, </w:t>
      </w:r>
      <w:r w:rsidRPr="00B90781">
        <w:rPr>
          <w:rFonts w:ascii="Times New Roman" w:hAnsi="Times New Roman" w:cs="Times New Roman"/>
          <w:sz w:val="24"/>
          <w:szCs w:val="24"/>
        </w:rPr>
        <w:t>01 set. 2025. Disponível em: https://www.legislacao.pr.gov.br/legislacao/pesquisarAto.do?action=exibir&amp;codAto=369028&amp;indice=1&amp;totalRegistros=30&amp;dt=22.1.2026.23.32.0.749. Acesso em: 26 jun. 2024.</w:t>
      </w:r>
    </w:p>
    <w:p w14:paraId="171BEB29" w14:textId="77777777" w:rsidR="001379B9" w:rsidRPr="00B90781" w:rsidRDefault="001379B9" w:rsidP="00B90781">
      <w:pPr>
        <w:spacing w:after="0" w:line="240" w:lineRule="auto"/>
        <w:rPr>
          <w:rFonts w:ascii="Times New Roman" w:hAnsi="Times New Roman" w:cs="Times New Roman"/>
          <w:sz w:val="24"/>
          <w:szCs w:val="24"/>
        </w:rPr>
      </w:pPr>
    </w:p>
    <w:p w14:paraId="74205789" w14:textId="0E2755AA" w:rsidR="00D639C2"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PIAUÍ. </w:t>
      </w:r>
      <w:r w:rsidR="004B676B" w:rsidRPr="00B90781">
        <w:rPr>
          <w:rFonts w:ascii="Times New Roman" w:hAnsi="Times New Roman" w:cs="Times New Roman"/>
          <w:b/>
          <w:bCs/>
          <w:sz w:val="24"/>
          <w:szCs w:val="24"/>
        </w:rPr>
        <w:t>Portal do Governo do Piauí</w:t>
      </w:r>
      <w:r w:rsidR="0082509C" w:rsidRPr="00B90781">
        <w:rPr>
          <w:rFonts w:ascii="Times New Roman" w:hAnsi="Times New Roman" w:cs="Times New Roman"/>
          <w:sz w:val="24"/>
          <w:szCs w:val="24"/>
        </w:rPr>
        <w:t>. 202</w:t>
      </w:r>
      <w:r w:rsidR="004B676B" w:rsidRPr="00B90781">
        <w:rPr>
          <w:rFonts w:ascii="Times New Roman" w:hAnsi="Times New Roman" w:cs="Times New Roman"/>
          <w:sz w:val="24"/>
          <w:szCs w:val="24"/>
        </w:rPr>
        <w:t>6</w:t>
      </w:r>
      <w:r w:rsidR="0082509C" w:rsidRPr="00B90781">
        <w:rPr>
          <w:rFonts w:ascii="Times New Roman" w:hAnsi="Times New Roman" w:cs="Times New Roman"/>
          <w:sz w:val="24"/>
          <w:szCs w:val="24"/>
        </w:rPr>
        <w:t xml:space="preserve">. Disponível em: </w:t>
      </w:r>
      <w:r w:rsidR="004B676B" w:rsidRPr="00B90781">
        <w:rPr>
          <w:rFonts w:ascii="Times New Roman" w:hAnsi="Times New Roman" w:cs="Times New Roman"/>
          <w:sz w:val="24"/>
          <w:szCs w:val="24"/>
        </w:rPr>
        <w:t xml:space="preserve">https://www.pi.gov.br/. </w:t>
      </w:r>
      <w:r w:rsidR="0082509C" w:rsidRPr="00B90781">
        <w:rPr>
          <w:rFonts w:ascii="Times New Roman" w:hAnsi="Times New Roman" w:cs="Times New Roman"/>
          <w:sz w:val="24"/>
          <w:szCs w:val="24"/>
        </w:rPr>
        <w:t>Acesso em: 1</w:t>
      </w:r>
      <w:r w:rsidRPr="00B90781">
        <w:rPr>
          <w:rFonts w:ascii="Times New Roman" w:hAnsi="Times New Roman" w:cs="Times New Roman"/>
          <w:sz w:val="24"/>
          <w:szCs w:val="24"/>
        </w:rPr>
        <w:t>5</w:t>
      </w:r>
      <w:r w:rsidR="0082509C" w:rsidRPr="00B90781">
        <w:rPr>
          <w:rFonts w:ascii="Times New Roman" w:hAnsi="Times New Roman" w:cs="Times New Roman"/>
          <w:sz w:val="24"/>
          <w:szCs w:val="24"/>
        </w:rPr>
        <w:t xml:space="preserve"> </w:t>
      </w:r>
      <w:r w:rsidR="004B676B" w:rsidRPr="00B90781">
        <w:rPr>
          <w:rFonts w:ascii="Times New Roman" w:hAnsi="Times New Roman" w:cs="Times New Roman"/>
          <w:sz w:val="24"/>
          <w:szCs w:val="24"/>
        </w:rPr>
        <w:t>jan</w:t>
      </w:r>
      <w:r w:rsidR="0082509C" w:rsidRPr="00B90781">
        <w:rPr>
          <w:rFonts w:ascii="Times New Roman" w:hAnsi="Times New Roman" w:cs="Times New Roman"/>
          <w:sz w:val="24"/>
          <w:szCs w:val="24"/>
        </w:rPr>
        <w:t>. 202</w:t>
      </w:r>
      <w:r w:rsidR="004B676B" w:rsidRPr="00B90781">
        <w:rPr>
          <w:rFonts w:ascii="Times New Roman" w:hAnsi="Times New Roman" w:cs="Times New Roman"/>
          <w:sz w:val="24"/>
          <w:szCs w:val="24"/>
        </w:rPr>
        <w:t>6</w:t>
      </w:r>
      <w:r w:rsidR="0082509C" w:rsidRPr="00B90781">
        <w:rPr>
          <w:rFonts w:ascii="Times New Roman" w:hAnsi="Times New Roman" w:cs="Times New Roman"/>
          <w:sz w:val="24"/>
          <w:szCs w:val="24"/>
        </w:rPr>
        <w:t>.</w:t>
      </w:r>
    </w:p>
    <w:p w14:paraId="669C411E" w14:textId="77777777" w:rsidR="00D639C2" w:rsidRPr="00B90781" w:rsidRDefault="00D639C2" w:rsidP="00B90781">
      <w:pPr>
        <w:spacing w:after="0" w:line="240" w:lineRule="auto"/>
        <w:rPr>
          <w:rFonts w:ascii="Times New Roman" w:hAnsi="Times New Roman" w:cs="Times New Roman"/>
          <w:sz w:val="24"/>
          <w:szCs w:val="24"/>
        </w:rPr>
      </w:pPr>
    </w:p>
    <w:p w14:paraId="70A4F4A5" w14:textId="1F2B682B" w:rsidR="00D639C2"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RIO DE JANEIRO. </w:t>
      </w:r>
      <w:r w:rsidR="004B676B" w:rsidRPr="00B90781">
        <w:rPr>
          <w:rFonts w:ascii="Times New Roman" w:hAnsi="Times New Roman" w:cs="Times New Roman"/>
          <w:b/>
          <w:bCs/>
          <w:sz w:val="24"/>
          <w:szCs w:val="24"/>
        </w:rPr>
        <w:t xml:space="preserve">Portal do Governo do </w:t>
      </w:r>
      <w:r w:rsidR="008E1F35" w:rsidRPr="00B90781">
        <w:rPr>
          <w:rFonts w:ascii="Times New Roman" w:hAnsi="Times New Roman" w:cs="Times New Roman"/>
          <w:b/>
          <w:bCs/>
          <w:sz w:val="24"/>
          <w:szCs w:val="24"/>
        </w:rPr>
        <w:t>Rio de Janeiro</w:t>
      </w:r>
      <w:r w:rsidR="004B676B" w:rsidRPr="00B90781">
        <w:rPr>
          <w:rFonts w:ascii="Times New Roman" w:hAnsi="Times New Roman" w:cs="Times New Roman"/>
          <w:sz w:val="24"/>
          <w:szCs w:val="24"/>
        </w:rPr>
        <w:t xml:space="preserve">. </w:t>
      </w:r>
      <w:r w:rsidR="008E1F35" w:rsidRPr="00B90781">
        <w:rPr>
          <w:rFonts w:ascii="Times New Roman" w:hAnsi="Times New Roman" w:cs="Times New Roman"/>
          <w:sz w:val="24"/>
          <w:szCs w:val="24"/>
        </w:rPr>
        <w:t>20</w:t>
      </w:r>
      <w:r w:rsidR="004B676B" w:rsidRPr="00B90781">
        <w:rPr>
          <w:rFonts w:ascii="Times New Roman" w:hAnsi="Times New Roman" w:cs="Times New Roman"/>
          <w:sz w:val="24"/>
          <w:szCs w:val="24"/>
        </w:rPr>
        <w:t>26</w:t>
      </w:r>
      <w:r w:rsidR="008E1F35" w:rsidRPr="00B90781">
        <w:rPr>
          <w:rFonts w:ascii="Times New Roman" w:hAnsi="Times New Roman" w:cs="Times New Roman"/>
          <w:sz w:val="24"/>
          <w:szCs w:val="24"/>
        </w:rPr>
        <w:t>. Disponível em:</w:t>
      </w:r>
      <w:r w:rsidR="004B676B" w:rsidRPr="00B90781">
        <w:rPr>
          <w:rFonts w:ascii="Times New Roman" w:hAnsi="Times New Roman" w:cs="Times New Roman"/>
          <w:sz w:val="24"/>
          <w:szCs w:val="24"/>
        </w:rPr>
        <w:t xml:space="preserve"> https://www.rj.gov.br/</w:t>
      </w:r>
      <w:r w:rsidR="008E1F35" w:rsidRPr="00B90781">
        <w:rPr>
          <w:rFonts w:ascii="Times New Roman" w:hAnsi="Times New Roman" w:cs="Times New Roman"/>
          <w:sz w:val="24"/>
          <w:szCs w:val="24"/>
        </w:rPr>
        <w:t xml:space="preserve">. Acesso em: </w:t>
      </w:r>
      <w:r w:rsidR="004B676B" w:rsidRPr="00B90781">
        <w:rPr>
          <w:rFonts w:ascii="Times New Roman" w:hAnsi="Times New Roman" w:cs="Times New Roman"/>
          <w:sz w:val="24"/>
          <w:szCs w:val="24"/>
        </w:rPr>
        <w:t>15</w:t>
      </w:r>
      <w:r w:rsidR="008E1F35" w:rsidRPr="00B90781">
        <w:rPr>
          <w:rFonts w:ascii="Times New Roman" w:hAnsi="Times New Roman" w:cs="Times New Roman"/>
          <w:sz w:val="24"/>
          <w:szCs w:val="24"/>
        </w:rPr>
        <w:t xml:space="preserve"> </w:t>
      </w:r>
      <w:r w:rsidR="004B676B" w:rsidRPr="00B90781">
        <w:rPr>
          <w:rFonts w:ascii="Times New Roman" w:hAnsi="Times New Roman" w:cs="Times New Roman"/>
          <w:sz w:val="24"/>
          <w:szCs w:val="24"/>
        </w:rPr>
        <w:t>jan</w:t>
      </w:r>
      <w:r w:rsidR="008E1F35" w:rsidRPr="00B90781">
        <w:rPr>
          <w:rFonts w:ascii="Times New Roman" w:hAnsi="Times New Roman" w:cs="Times New Roman"/>
          <w:sz w:val="24"/>
          <w:szCs w:val="24"/>
        </w:rPr>
        <w:t>. 202</w:t>
      </w:r>
      <w:r w:rsidR="004B676B" w:rsidRPr="00B90781">
        <w:rPr>
          <w:rFonts w:ascii="Times New Roman" w:hAnsi="Times New Roman" w:cs="Times New Roman"/>
          <w:sz w:val="24"/>
          <w:szCs w:val="24"/>
        </w:rPr>
        <w:t>6</w:t>
      </w:r>
      <w:r w:rsidR="008E1F35" w:rsidRPr="00B90781">
        <w:rPr>
          <w:rFonts w:ascii="Times New Roman" w:hAnsi="Times New Roman" w:cs="Times New Roman"/>
          <w:sz w:val="24"/>
          <w:szCs w:val="24"/>
        </w:rPr>
        <w:t>.</w:t>
      </w:r>
    </w:p>
    <w:p w14:paraId="434F009C" w14:textId="77777777" w:rsidR="00B90781" w:rsidRDefault="00B90781" w:rsidP="00B90781">
      <w:pPr>
        <w:spacing w:after="0" w:line="240" w:lineRule="auto"/>
        <w:rPr>
          <w:rFonts w:ascii="Times New Roman" w:hAnsi="Times New Roman" w:cs="Times New Roman"/>
          <w:sz w:val="24"/>
          <w:szCs w:val="24"/>
        </w:rPr>
      </w:pPr>
    </w:p>
    <w:p w14:paraId="547D499F" w14:textId="48FD9521" w:rsidR="00183DF4" w:rsidRPr="00B90781" w:rsidRDefault="00183DF4"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RIO GRANDE DO NORTE. </w:t>
      </w:r>
      <w:r w:rsidRPr="00B90781">
        <w:rPr>
          <w:rFonts w:ascii="Times New Roman" w:hAnsi="Times New Roman" w:cs="Times New Roman"/>
          <w:b/>
          <w:bCs/>
          <w:sz w:val="24"/>
          <w:szCs w:val="24"/>
        </w:rPr>
        <w:t xml:space="preserve">Portal do Governo do </w:t>
      </w:r>
      <w:r w:rsidRPr="00B90781">
        <w:rPr>
          <w:rFonts w:ascii="Times New Roman" w:hAnsi="Times New Roman" w:cs="Times New Roman"/>
          <w:sz w:val="24"/>
          <w:szCs w:val="24"/>
        </w:rPr>
        <w:t>Rio Grande do Norte. 2026. Disponível em: https://www.rn.gov.br/. Acesso em: 10 jan. 2026.</w:t>
      </w:r>
    </w:p>
    <w:p w14:paraId="0BC31894" w14:textId="77777777" w:rsidR="00183DF4" w:rsidRPr="00B90781" w:rsidRDefault="00183DF4" w:rsidP="00B90781">
      <w:pPr>
        <w:spacing w:after="0" w:line="240" w:lineRule="auto"/>
        <w:rPr>
          <w:rFonts w:ascii="Times New Roman" w:hAnsi="Times New Roman" w:cs="Times New Roman"/>
          <w:sz w:val="24"/>
          <w:szCs w:val="24"/>
        </w:rPr>
      </w:pPr>
    </w:p>
    <w:p w14:paraId="5A9A0DAE" w14:textId="4ACBE954" w:rsidR="006C1844" w:rsidRPr="00B90781" w:rsidRDefault="006C1844"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RIO GRANDE DO NORTE. </w:t>
      </w:r>
      <w:r w:rsidR="001379B9" w:rsidRPr="00B90781">
        <w:rPr>
          <w:rFonts w:ascii="Times New Roman" w:hAnsi="Times New Roman" w:cs="Times New Roman"/>
          <w:b/>
          <w:bCs/>
          <w:sz w:val="24"/>
          <w:szCs w:val="24"/>
        </w:rPr>
        <w:t>Decreto nº 27.568, de 04 de dezembro de 2017</w:t>
      </w:r>
      <w:r w:rsidRPr="00B90781">
        <w:rPr>
          <w:rFonts w:ascii="Times New Roman" w:hAnsi="Times New Roman" w:cs="Times New Roman"/>
          <w:sz w:val="24"/>
          <w:szCs w:val="24"/>
        </w:rPr>
        <w:t xml:space="preserve">. </w:t>
      </w:r>
      <w:r w:rsidR="003816EB" w:rsidRPr="00B90781">
        <w:rPr>
          <w:rFonts w:ascii="Times New Roman" w:hAnsi="Times New Roman" w:cs="Times New Roman"/>
          <w:sz w:val="24"/>
          <w:szCs w:val="24"/>
        </w:rPr>
        <w:t xml:space="preserve">Dispõe sobre as normas e diretrizes para elaboração, encaminhamento e análise de propostas e projetos de atos normativos e demais assuntos de natureza jurídica de </w:t>
      </w:r>
      <w:r w:rsidR="003816EB" w:rsidRPr="00B90781">
        <w:rPr>
          <w:rFonts w:ascii="Times New Roman" w:hAnsi="Times New Roman" w:cs="Times New Roman"/>
          <w:sz w:val="24"/>
          <w:szCs w:val="24"/>
        </w:rPr>
        <w:lastRenderedPageBreak/>
        <w:t>interesse da Administração Estadual submetidas ao Governador do Estado e dá outras providências</w:t>
      </w:r>
      <w:r w:rsidRPr="00B90781">
        <w:rPr>
          <w:rFonts w:ascii="Times New Roman" w:hAnsi="Times New Roman" w:cs="Times New Roman"/>
          <w:sz w:val="24"/>
          <w:szCs w:val="24"/>
        </w:rPr>
        <w:t xml:space="preserve">. Diário Oficial do Estado do Rio Grande do </w:t>
      </w:r>
      <w:r w:rsidR="003816EB" w:rsidRPr="00B90781">
        <w:rPr>
          <w:rFonts w:ascii="Times New Roman" w:hAnsi="Times New Roman" w:cs="Times New Roman"/>
          <w:sz w:val="24"/>
          <w:szCs w:val="24"/>
        </w:rPr>
        <w:t>Norte</w:t>
      </w:r>
      <w:r w:rsidRPr="00B90781">
        <w:rPr>
          <w:rFonts w:ascii="Times New Roman" w:hAnsi="Times New Roman" w:cs="Times New Roman"/>
          <w:sz w:val="24"/>
          <w:szCs w:val="24"/>
        </w:rPr>
        <w:t xml:space="preserve">, </w:t>
      </w:r>
      <w:r w:rsidR="00D009E5" w:rsidRPr="00B90781">
        <w:rPr>
          <w:rFonts w:ascii="Times New Roman" w:hAnsi="Times New Roman" w:cs="Times New Roman"/>
          <w:sz w:val="24"/>
          <w:szCs w:val="24"/>
        </w:rPr>
        <w:t>Natal</w:t>
      </w:r>
      <w:r w:rsidRPr="00B90781">
        <w:rPr>
          <w:rFonts w:ascii="Times New Roman" w:hAnsi="Times New Roman" w:cs="Times New Roman"/>
          <w:sz w:val="24"/>
          <w:szCs w:val="24"/>
        </w:rPr>
        <w:t xml:space="preserve">, </w:t>
      </w:r>
      <w:r w:rsidR="00FE6048" w:rsidRPr="00B90781">
        <w:rPr>
          <w:rFonts w:ascii="Times New Roman" w:hAnsi="Times New Roman" w:cs="Times New Roman"/>
          <w:sz w:val="24"/>
          <w:szCs w:val="24"/>
        </w:rPr>
        <w:t xml:space="preserve">RN, </w:t>
      </w:r>
      <w:r w:rsidR="00D009E5" w:rsidRPr="00B90781">
        <w:rPr>
          <w:rFonts w:ascii="Times New Roman" w:hAnsi="Times New Roman" w:cs="Times New Roman"/>
          <w:sz w:val="24"/>
          <w:szCs w:val="24"/>
        </w:rPr>
        <w:t>05</w:t>
      </w:r>
      <w:r w:rsidRPr="00B90781">
        <w:rPr>
          <w:rFonts w:ascii="Times New Roman" w:hAnsi="Times New Roman" w:cs="Times New Roman"/>
          <w:sz w:val="24"/>
          <w:szCs w:val="24"/>
        </w:rPr>
        <w:t xml:space="preserve"> </w:t>
      </w:r>
      <w:r w:rsidR="00D009E5" w:rsidRPr="00B90781">
        <w:rPr>
          <w:rFonts w:ascii="Times New Roman" w:hAnsi="Times New Roman" w:cs="Times New Roman"/>
          <w:sz w:val="24"/>
          <w:szCs w:val="24"/>
        </w:rPr>
        <w:t>dez</w:t>
      </w:r>
      <w:r w:rsidRPr="00B90781">
        <w:rPr>
          <w:rFonts w:ascii="Times New Roman" w:hAnsi="Times New Roman" w:cs="Times New Roman"/>
          <w:sz w:val="24"/>
          <w:szCs w:val="24"/>
        </w:rPr>
        <w:t>. 20</w:t>
      </w:r>
      <w:r w:rsidR="00D009E5" w:rsidRPr="00B90781">
        <w:rPr>
          <w:rFonts w:ascii="Times New Roman" w:hAnsi="Times New Roman" w:cs="Times New Roman"/>
          <w:sz w:val="24"/>
          <w:szCs w:val="24"/>
        </w:rPr>
        <w:t>17</w:t>
      </w:r>
      <w:r w:rsidRPr="00B90781">
        <w:rPr>
          <w:rFonts w:ascii="Times New Roman" w:hAnsi="Times New Roman" w:cs="Times New Roman"/>
          <w:sz w:val="24"/>
          <w:szCs w:val="24"/>
        </w:rPr>
        <w:t xml:space="preserve">. Disponível em: </w:t>
      </w:r>
      <w:r w:rsidR="00D5567F" w:rsidRPr="00B90781">
        <w:rPr>
          <w:rFonts w:ascii="Times New Roman" w:hAnsi="Times New Roman" w:cs="Times New Roman"/>
          <w:sz w:val="24"/>
          <w:szCs w:val="24"/>
        </w:rPr>
        <w:t>http://adcon.rn.gov.br/ACERVO/gac/DOC/DOC000000000166770.PDF</w:t>
      </w:r>
      <w:r w:rsidRPr="00B90781">
        <w:rPr>
          <w:rFonts w:ascii="Times New Roman" w:hAnsi="Times New Roman" w:cs="Times New Roman"/>
          <w:sz w:val="24"/>
          <w:szCs w:val="24"/>
        </w:rPr>
        <w:t>. Acesso em: 10 ago. 202</w:t>
      </w:r>
      <w:r w:rsidR="001379B9" w:rsidRPr="00B90781">
        <w:rPr>
          <w:rFonts w:ascii="Times New Roman" w:hAnsi="Times New Roman" w:cs="Times New Roman"/>
          <w:sz w:val="24"/>
          <w:szCs w:val="24"/>
        </w:rPr>
        <w:t>5</w:t>
      </w:r>
      <w:r w:rsidRPr="00B90781">
        <w:rPr>
          <w:rFonts w:ascii="Times New Roman" w:hAnsi="Times New Roman" w:cs="Times New Roman"/>
          <w:sz w:val="24"/>
          <w:szCs w:val="24"/>
        </w:rPr>
        <w:t>.</w:t>
      </w:r>
    </w:p>
    <w:p w14:paraId="1B4FAC84" w14:textId="77777777" w:rsidR="006C1844" w:rsidRPr="00B90781" w:rsidRDefault="006C1844" w:rsidP="00B90781">
      <w:pPr>
        <w:spacing w:after="0" w:line="240" w:lineRule="auto"/>
        <w:rPr>
          <w:rFonts w:ascii="Times New Roman" w:hAnsi="Times New Roman" w:cs="Times New Roman"/>
          <w:sz w:val="24"/>
          <w:szCs w:val="24"/>
        </w:rPr>
      </w:pPr>
    </w:p>
    <w:p w14:paraId="7264F07B" w14:textId="52BC8ED9" w:rsidR="00FD2FCB" w:rsidRPr="00B90781" w:rsidRDefault="00FD2FCB"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RIO GRANDE DO SUL. </w:t>
      </w:r>
      <w:r w:rsidRPr="00B90781">
        <w:rPr>
          <w:rFonts w:ascii="Times New Roman" w:hAnsi="Times New Roman" w:cs="Times New Roman"/>
          <w:b/>
          <w:bCs/>
          <w:sz w:val="24"/>
          <w:szCs w:val="24"/>
        </w:rPr>
        <w:t>Lei nº 15.431, de 27 de dezembro de 2019</w:t>
      </w:r>
      <w:r w:rsidRPr="00B90781">
        <w:rPr>
          <w:rFonts w:ascii="Times New Roman" w:hAnsi="Times New Roman" w:cs="Times New Roman"/>
          <w:sz w:val="24"/>
          <w:szCs w:val="24"/>
        </w:rPr>
        <w:t xml:space="preserve">. Institui a Declaração Estadual de Direitos de Liberdade Econômica, estabelece normas para atos de liberação de atividade econômica e a análise de impacto regulatório e dá outras providências. Diário Oficial do Estado do Rio Grande do Sul, Porto Alegre, </w:t>
      </w:r>
      <w:r w:rsidR="00FE6048" w:rsidRPr="00B90781">
        <w:rPr>
          <w:rFonts w:ascii="Times New Roman" w:hAnsi="Times New Roman" w:cs="Times New Roman"/>
          <w:sz w:val="24"/>
          <w:szCs w:val="24"/>
        </w:rPr>
        <w:t xml:space="preserve">RS, </w:t>
      </w:r>
      <w:r w:rsidRPr="00B90781">
        <w:rPr>
          <w:rFonts w:ascii="Times New Roman" w:hAnsi="Times New Roman" w:cs="Times New Roman"/>
          <w:sz w:val="24"/>
          <w:szCs w:val="24"/>
        </w:rPr>
        <w:t>27 dez. 2019. Disponível em:</w:t>
      </w:r>
      <w:r w:rsidR="001379B9" w:rsidRPr="00B90781">
        <w:rPr>
          <w:rFonts w:ascii="Times New Roman" w:hAnsi="Times New Roman" w:cs="Times New Roman"/>
          <w:sz w:val="24"/>
          <w:szCs w:val="24"/>
        </w:rPr>
        <w:t xml:space="preserve"> h</w:t>
      </w:r>
      <w:r w:rsidRPr="00B90781">
        <w:rPr>
          <w:rFonts w:ascii="Times New Roman" w:hAnsi="Times New Roman" w:cs="Times New Roman"/>
          <w:sz w:val="24"/>
          <w:szCs w:val="24"/>
        </w:rPr>
        <w:t>ttps://ww3.al.rs.gov.br/legis/M010/M0100018.asp?Hid_IdNorma=65964&amp;Texto=&amp;Origem=1. Acesso em: 1</w:t>
      </w:r>
      <w:r w:rsidR="001379B9" w:rsidRPr="00B90781">
        <w:rPr>
          <w:rFonts w:ascii="Times New Roman" w:hAnsi="Times New Roman" w:cs="Times New Roman"/>
          <w:sz w:val="24"/>
          <w:szCs w:val="24"/>
        </w:rPr>
        <w:t>1</w:t>
      </w:r>
      <w:r w:rsidRPr="00B90781">
        <w:rPr>
          <w:rFonts w:ascii="Times New Roman" w:hAnsi="Times New Roman" w:cs="Times New Roman"/>
          <w:sz w:val="24"/>
          <w:szCs w:val="24"/>
        </w:rPr>
        <w:t xml:space="preserve"> ago. 202</w:t>
      </w:r>
      <w:r w:rsidR="001379B9" w:rsidRPr="00B90781">
        <w:rPr>
          <w:rFonts w:ascii="Times New Roman" w:hAnsi="Times New Roman" w:cs="Times New Roman"/>
          <w:sz w:val="24"/>
          <w:szCs w:val="24"/>
        </w:rPr>
        <w:t>5</w:t>
      </w:r>
      <w:r w:rsidRPr="00B90781">
        <w:rPr>
          <w:rFonts w:ascii="Times New Roman" w:hAnsi="Times New Roman" w:cs="Times New Roman"/>
          <w:sz w:val="24"/>
          <w:szCs w:val="24"/>
        </w:rPr>
        <w:t>.</w:t>
      </w:r>
    </w:p>
    <w:p w14:paraId="07556734" w14:textId="77777777" w:rsidR="00FD2FCB" w:rsidRPr="00B90781" w:rsidRDefault="00FD2FCB" w:rsidP="00B90781">
      <w:pPr>
        <w:spacing w:after="0" w:line="240" w:lineRule="auto"/>
        <w:rPr>
          <w:rFonts w:ascii="Times New Roman" w:hAnsi="Times New Roman" w:cs="Times New Roman"/>
          <w:sz w:val="24"/>
          <w:szCs w:val="24"/>
        </w:rPr>
      </w:pPr>
    </w:p>
    <w:p w14:paraId="6AD213C8" w14:textId="019F41C4" w:rsidR="0007651E"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RIO GRANDE DO SUL. </w:t>
      </w:r>
      <w:r w:rsidR="00D0730A" w:rsidRPr="00B90781">
        <w:rPr>
          <w:rFonts w:ascii="Times New Roman" w:hAnsi="Times New Roman" w:cs="Times New Roman"/>
          <w:b/>
          <w:bCs/>
          <w:sz w:val="24"/>
          <w:szCs w:val="24"/>
        </w:rPr>
        <w:t>Resolução Normativa nº 59, de 21 de julho de 2020</w:t>
      </w:r>
      <w:r w:rsidRPr="00B90781">
        <w:rPr>
          <w:rFonts w:ascii="Times New Roman" w:hAnsi="Times New Roman" w:cs="Times New Roman"/>
          <w:sz w:val="24"/>
          <w:szCs w:val="24"/>
        </w:rPr>
        <w:t xml:space="preserve">. </w:t>
      </w:r>
      <w:r w:rsidR="00D0730A" w:rsidRPr="00B90781">
        <w:rPr>
          <w:rFonts w:ascii="Times New Roman" w:hAnsi="Times New Roman" w:cs="Times New Roman"/>
          <w:sz w:val="24"/>
          <w:szCs w:val="24"/>
        </w:rPr>
        <w:t>Estabelece as diretrizes básicas para elaboração de Análise de Impacto Regulatório e de Análise de Resultado Regulatório no âmbito da AGERGS</w:t>
      </w:r>
      <w:r w:rsidRPr="00B90781">
        <w:rPr>
          <w:rFonts w:ascii="Times New Roman" w:hAnsi="Times New Roman" w:cs="Times New Roman"/>
          <w:sz w:val="24"/>
          <w:szCs w:val="24"/>
        </w:rPr>
        <w:t xml:space="preserve">. Diário Oficial do Estado do Rio Grande do Sul, Porto Alegre, </w:t>
      </w:r>
      <w:r w:rsidR="00FE6048" w:rsidRPr="00B90781">
        <w:rPr>
          <w:rFonts w:ascii="Times New Roman" w:hAnsi="Times New Roman" w:cs="Times New Roman"/>
          <w:sz w:val="24"/>
          <w:szCs w:val="24"/>
        </w:rPr>
        <w:t xml:space="preserve">RS, </w:t>
      </w:r>
      <w:r w:rsidR="00D0730A" w:rsidRPr="00B90781">
        <w:rPr>
          <w:rFonts w:ascii="Times New Roman" w:hAnsi="Times New Roman" w:cs="Times New Roman"/>
          <w:sz w:val="24"/>
          <w:szCs w:val="24"/>
        </w:rPr>
        <w:t>22</w:t>
      </w:r>
      <w:r w:rsidRPr="00B90781">
        <w:rPr>
          <w:rFonts w:ascii="Times New Roman" w:hAnsi="Times New Roman" w:cs="Times New Roman"/>
          <w:sz w:val="24"/>
          <w:szCs w:val="24"/>
        </w:rPr>
        <w:t xml:space="preserve"> </w:t>
      </w:r>
      <w:r w:rsidR="00D0730A" w:rsidRPr="00B90781">
        <w:rPr>
          <w:rFonts w:ascii="Times New Roman" w:hAnsi="Times New Roman" w:cs="Times New Roman"/>
          <w:sz w:val="24"/>
          <w:szCs w:val="24"/>
        </w:rPr>
        <w:t>jul</w:t>
      </w:r>
      <w:r w:rsidRPr="00B90781">
        <w:rPr>
          <w:rFonts w:ascii="Times New Roman" w:hAnsi="Times New Roman" w:cs="Times New Roman"/>
          <w:sz w:val="24"/>
          <w:szCs w:val="24"/>
        </w:rPr>
        <w:t>. 202</w:t>
      </w:r>
      <w:r w:rsidR="00D0730A" w:rsidRPr="00B90781">
        <w:rPr>
          <w:rFonts w:ascii="Times New Roman" w:hAnsi="Times New Roman" w:cs="Times New Roman"/>
          <w:sz w:val="24"/>
          <w:szCs w:val="24"/>
        </w:rPr>
        <w:t>0</w:t>
      </w:r>
      <w:r w:rsidRPr="00B90781">
        <w:rPr>
          <w:rFonts w:ascii="Times New Roman" w:hAnsi="Times New Roman" w:cs="Times New Roman"/>
          <w:sz w:val="24"/>
          <w:szCs w:val="24"/>
        </w:rPr>
        <w:t>.</w:t>
      </w:r>
      <w:r w:rsidR="00D0730A" w:rsidRPr="00B90781">
        <w:rPr>
          <w:rFonts w:ascii="Times New Roman" w:hAnsi="Times New Roman" w:cs="Times New Roman"/>
          <w:sz w:val="24"/>
          <w:szCs w:val="24"/>
        </w:rPr>
        <w:t xml:space="preserve"> Disponível em: https://www.diariooficial.rs.gov.br/materia?id=448995. Acesso em: 1</w:t>
      </w:r>
      <w:r w:rsidR="001379B9" w:rsidRPr="00B90781">
        <w:rPr>
          <w:rFonts w:ascii="Times New Roman" w:hAnsi="Times New Roman" w:cs="Times New Roman"/>
          <w:sz w:val="24"/>
          <w:szCs w:val="24"/>
        </w:rPr>
        <w:t>6</w:t>
      </w:r>
      <w:r w:rsidR="00D0730A" w:rsidRPr="00B90781">
        <w:rPr>
          <w:rFonts w:ascii="Times New Roman" w:hAnsi="Times New Roman" w:cs="Times New Roman"/>
          <w:sz w:val="24"/>
          <w:szCs w:val="24"/>
        </w:rPr>
        <w:t xml:space="preserve"> ago. 202</w:t>
      </w:r>
      <w:r w:rsidR="001379B9" w:rsidRPr="00B90781">
        <w:rPr>
          <w:rFonts w:ascii="Times New Roman" w:hAnsi="Times New Roman" w:cs="Times New Roman"/>
          <w:sz w:val="24"/>
          <w:szCs w:val="24"/>
        </w:rPr>
        <w:t>5</w:t>
      </w:r>
      <w:r w:rsidR="00D0730A" w:rsidRPr="00B90781">
        <w:rPr>
          <w:rFonts w:ascii="Times New Roman" w:hAnsi="Times New Roman" w:cs="Times New Roman"/>
          <w:sz w:val="24"/>
          <w:szCs w:val="24"/>
        </w:rPr>
        <w:t>.</w:t>
      </w:r>
    </w:p>
    <w:p w14:paraId="022C50A1" w14:textId="77777777" w:rsidR="00AD45D7" w:rsidRPr="00B90781" w:rsidRDefault="00AD45D7" w:rsidP="00B90781">
      <w:pPr>
        <w:spacing w:after="0" w:line="240" w:lineRule="auto"/>
        <w:rPr>
          <w:rFonts w:ascii="Times New Roman" w:hAnsi="Times New Roman" w:cs="Times New Roman"/>
          <w:sz w:val="24"/>
          <w:szCs w:val="24"/>
        </w:rPr>
      </w:pPr>
    </w:p>
    <w:p w14:paraId="26683BB2" w14:textId="3BD502C0" w:rsidR="001379B9" w:rsidRPr="00B90781" w:rsidRDefault="001379B9"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GOVERNO DO ESTADO DO TOCANTIS. </w:t>
      </w:r>
      <w:r w:rsidR="004B676B" w:rsidRPr="00B90781">
        <w:rPr>
          <w:rFonts w:ascii="Times New Roman" w:hAnsi="Times New Roman" w:cs="Times New Roman"/>
          <w:b/>
          <w:bCs/>
          <w:sz w:val="24"/>
          <w:szCs w:val="24"/>
        </w:rPr>
        <w:t xml:space="preserve">Portal do Governo de </w:t>
      </w:r>
      <w:r w:rsidRPr="00B90781">
        <w:rPr>
          <w:rFonts w:ascii="Times New Roman" w:hAnsi="Times New Roman" w:cs="Times New Roman"/>
          <w:b/>
          <w:bCs/>
          <w:sz w:val="24"/>
          <w:szCs w:val="24"/>
        </w:rPr>
        <w:t>Tocantins</w:t>
      </w:r>
      <w:r w:rsidRPr="00B90781">
        <w:rPr>
          <w:rFonts w:ascii="Times New Roman" w:hAnsi="Times New Roman" w:cs="Times New Roman"/>
          <w:sz w:val="24"/>
          <w:szCs w:val="24"/>
        </w:rPr>
        <w:t>. 20</w:t>
      </w:r>
      <w:r w:rsidR="004B676B" w:rsidRPr="00B90781">
        <w:rPr>
          <w:rFonts w:ascii="Times New Roman" w:hAnsi="Times New Roman" w:cs="Times New Roman"/>
          <w:sz w:val="24"/>
          <w:szCs w:val="24"/>
        </w:rPr>
        <w:t>26</w:t>
      </w:r>
      <w:r w:rsidRPr="00B90781">
        <w:rPr>
          <w:rFonts w:ascii="Times New Roman" w:hAnsi="Times New Roman" w:cs="Times New Roman"/>
          <w:sz w:val="24"/>
          <w:szCs w:val="24"/>
        </w:rPr>
        <w:t xml:space="preserve">. Disponível em: </w:t>
      </w:r>
      <w:r w:rsidR="004B676B" w:rsidRPr="00B90781">
        <w:rPr>
          <w:rFonts w:ascii="Times New Roman" w:hAnsi="Times New Roman" w:cs="Times New Roman"/>
          <w:sz w:val="24"/>
          <w:szCs w:val="24"/>
        </w:rPr>
        <w:t xml:space="preserve">https://www.to.gov.br/ </w:t>
      </w:r>
      <w:r w:rsidRPr="00B90781">
        <w:rPr>
          <w:rFonts w:ascii="Times New Roman" w:hAnsi="Times New Roman" w:cs="Times New Roman"/>
          <w:sz w:val="24"/>
          <w:szCs w:val="24"/>
        </w:rPr>
        <w:t xml:space="preserve">Acesso em: 15 </w:t>
      </w:r>
      <w:r w:rsidR="004B676B" w:rsidRPr="00B90781">
        <w:rPr>
          <w:rFonts w:ascii="Times New Roman" w:hAnsi="Times New Roman" w:cs="Times New Roman"/>
          <w:sz w:val="24"/>
          <w:szCs w:val="24"/>
        </w:rPr>
        <w:t>jan</w:t>
      </w:r>
      <w:r w:rsidRPr="00B90781">
        <w:rPr>
          <w:rFonts w:ascii="Times New Roman" w:hAnsi="Times New Roman" w:cs="Times New Roman"/>
          <w:sz w:val="24"/>
          <w:szCs w:val="24"/>
        </w:rPr>
        <w:t>. 20</w:t>
      </w:r>
      <w:r w:rsidR="004B676B" w:rsidRPr="00B90781">
        <w:rPr>
          <w:rFonts w:ascii="Times New Roman" w:hAnsi="Times New Roman" w:cs="Times New Roman"/>
          <w:sz w:val="24"/>
          <w:szCs w:val="24"/>
        </w:rPr>
        <w:t>26</w:t>
      </w:r>
      <w:r w:rsidRPr="00B90781">
        <w:rPr>
          <w:rFonts w:ascii="Times New Roman" w:hAnsi="Times New Roman" w:cs="Times New Roman"/>
          <w:sz w:val="24"/>
          <w:szCs w:val="24"/>
        </w:rPr>
        <w:t>.</w:t>
      </w:r>
    </w:p>
    <w:p w14:paraId="3666F23F" w14:textId="77777777" w:rsidR="001379B9" w:rsidRDefault="001379B9" w:rsidP="00B90781">
      <w:pPr>
        <w:spacing w:after="0" w:line="240" w:lineRule="auto"/>
        <w:rPr>
          <w:rFonts w:ascii="Times New Roman" w:eastAsia="Times New Roman" w:hAnsi="Times New Roman" w:cs="Times New Roman"/>
          <w:sz w:val="24"/>
          <w:szCs w:val="24"/>
        </w:rPr>
      </w:pPr>
    </w:p>
    <w:p w14:paraId="07104DD1" w14:textId="70F123A7" w:rsidR="003A2E5E" w:rsidRDefault="003A2E5E" w:rsidP="00B90781">
      <w:pPr>
        <w:spacing w:after="0" w:line="240" w:lineRule="auto"/>
        <w:rPr>
          <w:rFonts w:ascii="Times New Roman" w:eastAsia="Times New Roman" w:hAnsi="Times New Roman" w:cs="Times New Roman"/>
          <w:sz w:val="24"/>
          <w:szCs w:val="24"/>
        </w:rPr>
      </w:pPr>
      <w:r w:rsidRPr="003A2E5E">
        <w:rPr>
          <w:rFonts w:ascii="Times New Roman" w:eastAsia="Times New Roman" w:hAnsi="Times New Roman" w:cs="Times New Roman"/>
          <w:sz w:val="24"/>
          <w:szCs w:val="24"/>
          <w:lang w:val="en-US"/>
        </w:rPr>
        <w:t xml:space="preserve">LASCOUMES, Pierre; LE GALÈS, Patrick (Orgs.). </w:t>
      </w:r>
      <w:proofErr w:type="spellStart"/>
      <w:r w:rsidRPr="003A2E5E">
        <w:rPr>
          <w:rFonts w:ascii="Times New Roman" w:eastAsia="Times New Roman" w:hAnsi="Times New Roman" w:cs="Times New Roman"/>
          <w:b/>
          <w:bCs/>
          <w:i/>
          <w:iCs/>
          <w:sz w:val="24"/>
          <w:szCs w:val="24"/>
        </w:rPr>
        <w:t>Gouverner</w:t>
      </w:r>
      <w:proofErr w:type="spellEnd"/>
      <w:r w:rsidRPr="003A2E5E">
        <w:rPr>
          <w:rFonts w:ascii="Times New Roman" w:eastAsia="Times New Roman" w:hAnsi="Times New Roman" w:cs="Times New Roman"/>
          <w:b/>
          <w:bCs/>
          <w:i/>
          <w:iCs/>
          <w:sz w:val="24"/>
          <w:szCs w:val="24"/>
        </w:rPr>
        <w:t xml:space="preserve"> par </w:t>
      </w:r>
      <w:proofErr w:type="spellStart"/>
      <w:r w:rsidRPr="003A2E5E">
        <w:rPr>
          <w:rFonts w:ascii="Times New Roman" w:eastAsia="Times New Roman" w:hAnsi="Times New Roman" w:cs="Times New Roman"/>
          <w:b/>
          <w:bCs/>
          <w:i/>
          <w:iCs/>
          <w:sz w:val="24"/>
          <w:szCs w:val="24"/>
        </w:rPr>
        <w:t>les</w:t>
      </w:r>
      <w:proofErr w:type="spellEnd"/>
      <w:r w:rsidRPr="003A2E5E">
        <w:rPr>
          <w:rFonts w:ascii="Times New Roman" w:eastAsia="Times New Roman" w:hAnsi="Times New Roman" w:cs="Times New Roman"/>
          <w:b/>
          <w:bCs/>
          <w:i/>
          <w:iCs/>
          <w:sz w:val="24"/>
          <w:szCs w:val="24"/>
        </w:rPr>
        <w:t xml:space="preserve"> </w:t>
      </w:r>
      <w:proofErr w:type="spellStart"/>
      <w:r w:rsidRPr="003A2E5E">
        <w:rPr>
          <w:rFonts w:ascii="Times New Roman" w:eastAsia="Times New Roman" w:hAnsi="Times New Roman" w:cs="Times New Roman"/>
          <w:b/>
          <w:bCs/>
          <w:i/>
          <w:iCs/>
          <w:sz w:val="24"/>
          <w:szCs w:val="24"/>
        </w:rPr>
        <w:t>instruments</w:t>
      </w:r>
      <w:proofErr w:type="spellEnd"/>
      <w:r w:rsidRPr="003A2E5E">
        <w:rPr>
          <w:rFonts w:ascii="Times New Roman" w:eastAsia="Times New Roman" w:hAnsi="Times New Roman" w:cs="Times New Roman"/>
          <w:b/>
          <w:bCs/>
          <w:sz w:val="24"/>
          <w:szCs w:val="24"/>
        </w:rPr>
        <w:t xml:space="preserve">. </w:t>
      </w:r>
      <w:r w:rsidRPr="003A2E5E">
        <w:rPr>
          <w:rFonts w:ascii="Times New Roman" w:eastAsia="Times New Roman" w:hAnsi="Times New Roman" w:cs="Times New Roman"/>
          <w:sz w:val="24"/>
          <w:szCs w:val="24"/>
        </w:rPr>
        <w:t xml:space="preserve">Paris: </w:t>
      </w:r>
      <w:proofErr w:type="spellStart"/>
      <w:r w:rsidRPr="003A2E5E">
        <w:rPr>
          <w:rFonts w:ascii="Times New Roman" w:eastAsia="Times New Roman" w:hAnsi="Times New Roman" w:cs="Times New Roman"/>
          <w:sz w:val="24"/>
          <w:szCs w:val="24"/>
        </w:rPr>
        <w:t>Presses</w:t>
      </w:r>
      <w:proofErr w:type="spellEnd"/>
      <w:r w:rsidRPr="003A2E5E">
        <w:rPr>
          <w:rFonts w:ascii="Times New Roman" w:eastAsia="Times New Roman" w:hAnsi="Times New Roman" w:cs="Times New Roman"/>
          <w:sz w:val="24"/>
          <w:szCs w:val="24"/>
        </w:rPr>
        <w:t xml:space="preserve"> de </w:t>
      </w:r>
      <w:proofErr w:type="spellStart"/>
      <w:r w:rsidRPr="003A2E5E">
        <w:rPr>
          <w:rFonts w:ascii="Times New Roman" w:eastAsia="Times New Roman" w:hAnsi="Times New Roman" w:cs="Times New Roman"/>
          <w:sz w:val="24"/>
          <w:szCs w:val="24"/>
        </w:rPr>
        <w:t>Sciences</w:t>
      </w:r>
      <w:proofErr w:type="spellEnd"/>
      <w:r w:rsidRPr="003A2E5E">
        <w:rPr>
          <w:rFonts w:ascii="Times New Roman" w:eastAsia="Times New Roman" w:hAnsi="Times New Roman" w:cs="Times New Roman"/>
          <w:sz w:val="24"/>
          <w:szCs w:val="24"/>
        </w:rPr>
        <w:t xml:space="preserve"> </w:t>
      </w:r>
      <w:proofErr w:type="spellStart"/>
      <w:r w:rsidRPr="003A2E5E">
        <w:rPr>
          <w:rFonts w:ascii="Times New Roman" w:eastAsia="Times New Roman" w:hAnsi="Times New Roman" w:cs="Times New Roman"/>
          <w:sz w:val="24"/>
          <w:szCs w:val="24"/>
        </w:rPr>
        <w:t>Po</w:t>
      </w:r>
      <w:proofErr w:type="spellEnd"/>
      <w:r w:rsidRPr="003A2E5E">
        <w:rPr>
          <w:rFonts w:ascii="Times New Roman" w:eastAsia="Times New Roman" w:hAnsi="Times New Roman" w:cs="Times New Roman"/>
          <w:sz w:val="24"/>
          <w:szCs w:val="24"/>
        </w:rPr>
        <w:t>, 2005. Disponível em: https://shs.cairn.info/gouverner-par-les-instruments--9782724609492?lang=</w:t>
      </w:r>
      <w:proofErr w:type="spellStart"/>
      <w:r w:rsidRPr="003A2E5E">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Acesso em: 10 jan. 2026.</w:t>
      </w:r>
    </w:p>
    <w:p w14:paraId="19DEE383" w14:textId="77777777" w:rsidR="003A2E5E" w:rsidRPr="00B90781" w:rsidRDefault="003A2E5E" w:rsidP="00B90781">
      <w:pPr>
        <w:spacing w:after="0" w:line="240" w:lineRule="auto"/>
        <w:rPr>
          <w:rFonts w:ascii="Times New Roman" w:eastAsia="Times New Roman" w:hAnsi="Times New Roman" w:cs="Times New Roman"/>
          <w:sz w:val="24"/>
          <w:szCs w:val="24"/>
        </w:rPr>
      </w:pPr>
    </w:p>
    <w:p w14:paraId="1D9AF215" w14:textId="5ECB4019" w:rsidR="2D02BCC0" w:rsidRPr="00B90781" w:rsidRDefault="2D02BCC0" w:rsidP="00B90781">
      <w:pPr>
        <w:spacing w:after="0" w:line="240" w:lineRule="auto"/>
        <w:rPr>
          <w:rFonts w:ascii="Times New Roman" w:eastAsia="Times New Roman" w:hAnsi="Times New Roman" w:cs="Times New Roman"/>
          <w:sz w:val="24"/>
          <w:szCs w:val="24"/>
        </w:rPr>
      </w:pPr>
      <w:r w:rsidRPr="00B90781">
        <w:rPr>
          <w:rFonts w:ascii="Times New Roman" w:eastAsia="Times New Roman" w:hAnsi="Times New Roman" w:cs="Times New Roman"/>
          <w:sz w:val="24"/>
          <w:szCs w:val="24"/>
        </w:rPr>
        <w:t xml:space="preserve">MATA, Paula Carolina de Oliveira Azevedo da; BRAGA, Renê Morais da Costa. Análise de impacto legislativo: conteúdo e desafios metodológicos. </w:t>
      </w:r>
      <w:r w:rsidRPr="00B90781">
        <w:rPr>
          <w:rFonts w:ascii="Times New Roman" w:eastAsia="Times New Roman" w:hAnsi="Times New Roman" w:cs="Times New Roman"/>
          <w:i/>
          <w:iCs/>
          <w:sz w:val="24"/>
          <w:szCs w:val="24"/>
        </w:rPr>
        <w:t>In:</w:t>
      </w:r>
      <w:r w:rsidRPr="00B90781">
        <w:rPr>
          <w:rFonts w:ascii="Times New Roman" w:eastAsia="Times New Roman" w:hAnsi="Times New Roman" w:cs="Times New Roman"/>
          <w:sz w:val="24"/>
          <w:szCs w:val="24"/>
        </w:rPr>
        <w:t xml:space="preserve"> SOARES, F. M; KAITEL, C. S.; PRETE, E. K. E. (org.). </w:t>
      </w:r>
      <w:r w:rsidRPr="00B90781">
        <w:rPr>
          <w:rFonts w:ascii="Times New Roman" w:eastAsia="Times New Roman" w:hAnsi="Times New Roman" w:cs="Times New Roman"/>
          <w:b/>
          <w:bCs/>
          <w:sz w:val="24"/>
          <w:szCs w:val="24"/>
        </w:rPr>
        <w:t xml:space="preserve">Estudos em </w:t>
      </w:r>
      <w:proofErr w:type="spellStart"/>
      <w:r w:rsidRPr="00B90781">
        <w:rPr>
          <w:rFonts w:ascii="Times New Roman" w:eastAsia="Times New Roman" w:hAnsi="Times New Roman" w:cs="Times New Roman"/>
          <w:b/>
          <w:bCs/>
          <w:sz w:val="24"/>
          <w:szCs w:val="24"/>
        </w:rPr>
        <w:t>Legística</w:t>
      </w:r>
      <w:proofErr w:type="spellEnd"/>
      <w:r w:rsidRPr="00B90781">
        <w:rPr>
          <w:rFonts w:ascii="Times New Roman" w:eastAsia="Times New Roman" w:hAnsi="Times New Roman" w:cs="Times New Roman"/>
          <w:sz w:val="24"/>
          <w:szCs w:val="24"/>
        </w:rPr>
        <w:t>. Florianópolis: Tribo da Ilha, 2019. p. 121-142. Disponível em: https://www.direito.ufmg.br/wp-content/uploads/2019/10/Miolo_Estudos-em-Legi%CC%81stica-Final2.pdf. Acesso: 22 maio 2025.</w:t>
      </w:r>
    </w:p>
    <w:p w14:paraId="0BF8C3DA" w14:textId="3B341B46" w:rsidR="1E9E1952" w:rsidRPr="00B90781" w:rsidRDefault="1E9E1952" w:rsidP="00B90781">
      <w:pPr>
        <w:spacing w:after="0" w:line="240" w:lineRule="auto"/>
        <w:rPr>
          <w:rFonts w:ascii="Times New Roman" w:hAnsi="Times New Roman" w:cs="Times New Roman"/>
          <w:sz w:val="24"/>
          <w:szCs w:val="24"/>
        </w:rPr>
      </w:pPr>
    </w:p>
    <w:p w14:paraId="184DBD9E" w14:textId="13110C3D" w:rsidR="0007651E"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lang w:val="en-US"/>
        </w:rPr>
        <w:t>ORGANISATION FOR ECONOMIC CO-OPERATION AND DEVELOPMENT</w:t>
      </w:r>
      <w:r w:rsidR="00AD45D7" w:rsidRPr="00B90781">
        <w:rPr>
          <w:rFonts w:ascii="Times New Roman" w:hAnsi="Times New Roman" w:cs="Times New Roman"/>
          <w:sz w:val="24"/>
          <w:szCs w:val="24"/>
          <w:lang w:val="en-US"/>
        </w:rPr>
        <w:t xml:space="preserve"> (OECD)</w:t>
      </w:r>
      <w:r w:rsidRPr="00B90781">
        <w:rPr>
          <w:rFonts w:ascii="Times New Roman" w:hAnsi="Times New Roman" w:cs="Times New Roman"/>
          <w:sz w:val="24"/>
          <w:szCs w:val="24"/>
          <w:lang w:val="en-US"/>
        </w:rPr>
        <w:t xml:space="preserve">. </w:t>
      </w:r>
      <w:r w:rsidRPr="00B90781">
        <w:rPr>
          <w:rFonts w:ascii="Times New Roman" w:hAnsi="Times New Roman" w:cs="Times New Roman"/>
          <w:b/>
          <w:bCs/>
          <w:i/>
          <w:iCs/>
          <w:sz w:val="24"/>
          <w:szCs w:val="24"/>
          <w:lang w:val="en-US"/>
        </w:rPr>
        <w:t>Regulatory Impact Assessment:</w:t>
      </w:r>
      <w:r w:rsidRPr="00B90781">
        <w:rPr>
          <w:rFonts w:ascii="Times New Roman" w:hAnsi="Times New Roman" w:cs="Times New Roman"/>
          <w:sz w:val="24"/>
          <w:szCs w:val="24"/>
          <w:lang w:val="en-US"/>
        </w:rPr>
        <w:t xml:space="preserve"> </w:t>
      </w:r>
      <w:r w:rsidRPr="00B90781">
        <w:rPr>
          <w:rFonts w:ascii="Times New Roman" w:hAnsi="Times New Roman" w:cs="Times New Roman"/>
          <w:i/>
          <w:iCs/>
          <w:sz w:val="24"/>
          <w:szCs w:val="24"/>
          <w:lang w:val="en-US"/>
        </w:rPr>
        <w:t>OECD Best Practice Principles for Regulatory Policy.</w:t>
      </w:r>
      <w:r w:rsidRPr="00B90781">
        <w:rPr>
          <w:rFonts w:ascii="Times New Roman" w:hAnsi="Times New Roman" w:cs="Times New Roman"/>
          <w:sz w:val="24"/>
          <w:szCs w:val="24"/>
          <w:lang w:val="en-US"/>
        </w:rPr>
        <w:t xml:space="preserve"> </w:t>
      </w:r>
      <w:r w:rsidRPr="00B90781">
        <w:rPr>
          <w:rFonts w:ascii="Times New Roman" w:hAnsi="Times New Roman" w:cs="Times New Roman"/>
          <w:sz w:val="24"/>
          <w:szCs w:val="24"/>
        </w:rPr>
        <w:t xml:space="preserve">Paris: </w:t>
      </w:r>
    </w:p>
    <w:p w14:paraId="797027D8" w14:textId="6DAD262B" w:rsidR="0007651E"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OECD </w:t>
      </w:r>
      <w:proofErr w:type="spellStart"/>
      <w:r w:rsidRPr="00B90781">
        <w:rPr>
          <w:rFonts w:ascii="Times New Roman" w:hAnsi="Times New Roman" w:cs="Times New Roman"/>
          <w:sz w:val="24"/>
          <w:szCs w:val="24"/>
        </w:rPr>
        <w:t>Publishing</w:t>
      </w:r>
      <w:proofErr w:type="spellEnd"/>
      <w:r w:rsidRPr="00B90781">
        <w:rPr>
          <w:rFonts w:ascii="Times New Roman" w:hAnsi="Times New Roman" w:cs="Times New Roman"/>
          <w:sz w:val="24"/>
          <w:szCs w:val="24"/>
        </w:rPr>
        <w:t>, 2020. Disponível em:</w:t>
      </w:r>
      <w:r w:rsidR="00A844E5" w:rsidRPr="00B90781">
        <w:rPr>
          <w:rFonts w:ascii="Times New Roman" w:hAnsi="Times New Roman" w:cs="Times New Roman"/>
          <w:sz w:val="24"/>
          <w:szCs w:val="24"/>
        </w:rPr>
        <w:t xml:space="preserve"> https://www.oecd.org/en/publications/regulatory-impact-assessment_7a9638cb-en.html</w:t>
      </w:r>
      <w:r w:rsidRPr="00B90781">
        <w:rPr>
          <w:rFonts w:ascii="Times New Roman" w:hAnsi="Times New Roman" w:cs="Times New Roman"/>
          <w:sz w:val="24"/>
          <w:szCs w:val="24"/>
        </w:rPr>
        <w:t>. Acesso em: 10 fev. 2026.</w:t>
      </w:r>
    </w:p>
    <w:p w14:paraId="2E61CAE0" w14:textId="77777777" w:rsidR="00910822" w:rsidRPr="00B90781" w:rsidRDefault="00910822" w:rsidP="00B90781">
      <w:pPr>
        <w:spacing w:after="0" w:line="240" w:lineRule="auto"/>
        <w:rPr>
          <w:rFonts w:ascii="Times New Roman" w:hAnsi="Times New Roman" w:cs="Times New Roman"/>
          <w:sz w:val="24"/>
          <w:szCs w:val="24"/>
        </w:rPr>
      </w:pPr>
    </w:p>
    <w:p w14:paraId="6F304957" w14:textId="7F88B98A" w:rsidR="008A2425" w:rsidRPr="00B90781" w:rsidRDefault="008A2425"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QUEIROZ, Helder; VIEIRA, Luciana. Qualidade regulatória, avaliação de impacto regulatório e os desafios da regulação setorial no Brasil. </w:t>
      </w:r>
      <w:r w:rsidRPr="00B90781">
        <w:rPr>
          <w:rFonts w:ascii="Times New Roman" w:hAnsi="Times New Roman" w:cs="Times New Roman"/>
          <w:i/>
          <w:iCs/>
          <w:sz w:val="24"/>
          <w:szCs w:val="24"/>
        </w:rPr>
        <w:t>In:</w:t>
      </w:r>
      <w:r w:rsidRPr="00B90781">
        <w:rPr>
          <w:rFonts w:ascii="Times New Roman" w:hAnsi="Times New Roman" w:cs="Times New Roman"/>
          <w:sz w:val="24"/>
          <w:szCs w:val="24"/>
        </w:rPr>
        <w:t xml:space="preserve"> </w:t>
      </w:r>
      <w:r w:rsidRPr="00B90781">
        <w:rPr>
          <w:rFonts w:ascii="Times New Roman" w:hAnsi="Times New Roman" w:cs="Times New Roman"/>
          <w:b/>
          <w:bCs/>
          <w:sz w:val="24"/>
          <w:szCs w:val="24"/>
        </w:rPr>
        <w:t>Experiências Exitosas em Regulação na América Latina e Caribe</w:t>
      </w:r>
      <w:r w:rsidRPr="00B90781">
        <w:rPr>
          <w:rFonts w:ascii="Times New Roman" w:hAnsi="Times New Roman" w:cs="Times New Roman"/>
          <w:sz w:val="24"/>
          <w:szCs w:val="24"/>
        </w:rPr>
        <w:t>. PROENÇA, Jadir Dias; PAULO, Carla Beatriz de (</w:t>
      </w:r>
      <w:proofErr w:type="spellStart"/>
      <w:r w:rsidRPr="00B90781">
        <w:rPr>
          <w:rFonts w:ascii="Times New Roman" w:hAnsi="Times New Roman" w:cs="Times New Roman"/>
          <w:sz w:val="24"/>
          <w:szCs w:val="24"/>
        </w:rPr>
        <w:t>Orgs</w:t>
      </w:r>
      <w:proofErr w:type="spellEnd"/>
      <w:r w:rsidRPr="00B90781">
        <w:rPr>
          <w:rFonts w:ascii="Times New Roman" w:hAnsi="Times New Roman" w:cs="Times New Roman"/>
          <w:sz w:val="24"/>
          <w:szCs w:val="24"/>
        </w:rPr>
        <w:t>.). Brasília: Presidência da República, 2012. Disponível em: https://www.gov.br/casacivil/pt-br/conteudo-de-regulacao/regulacao/documentos/biblioteca-nacional/2012/11662_diamond-revista_miolo_1.pdf. Acesso em: 22 fev. 2026.</w:t>
      </w:r>
    </w:p>
    <w:p w14:paraId="1F382C06" w14:textId="77777777" w:rsidR="00B90781" w:rsidRDefault="00B90781" w:rsidP="00B90781">
      <w:pPr>
        <w:spacing w:after="0" w:line="240" w:lineRule="auto"/>
        <w:rPr>
          <w:rFonts w:ascii="Times New Roman" w:hAnsi="Times New Roman" w:cs="Times New Roman"/>
          <w:sz w:val="24"/>
          <w:szCs w:val="24"/>
        </w:rPr>
      </w:pPr>
    </w:p>
    <w:p w14:paraId="6F4FE586" w14:textId="0A8B5B3F" w:rsidR="00D6670D" w:rsidRPr="00B90781" w:rsidRDefault="00D6670D"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rPr>
        <w:t xml:space="preserve">SAAB, Flavio; SILVA, </w:t>
      </w:r>
      <w:proofErr w:type="spellStart"/>
      <w:r w:rsidRPr="00B90781">
        <w:rPr>
          <w:rFonts w:ascii="Times New Roman" w:hAnsi="Times New Roman" w:cs="Times New Roman"/>
          <w:sz w:val="24"/>
          <w:szCs w:val="24"/>
        </w:rPr>
        <w:t>Suylan</w:t>
      </w:r>
      <w:proofErr w:type="spellEnd"/>
      <w:r w:rsidRPr="00B90781">
        <w:rPr>
          <w:rFonts w:ascii="Times New Roman" w:hAnsi="Times New Roman" w:cs="Times New Roman"/>
          <w:sz w:val="24"/>
          <w:szCs w:val="24"/>
        </w:rPr>
        <w:t xml:space="preserve"> de Almeida Midlej. Qual a qualidade da análise de impacto regulatório elaborada por agências reguladoras do Brasil?. </w:t>
      </w:r>
      <w:r w:rsidRPr="00B90781">
        <w:rPr>
          <w:rFonts w:ascii="Times New Roman" w:hAnsi="Times New Roman" w:cs="Times New Roman"/>
          <w:b/>
          <w:bCs/>
          <w:sz w:val="24"/>
          <w:szCs w:val="24"/>
        </w:rPr>
        <w:t>Revista de Administração Pública</w:t>
      </w:r>
      <w:r w:rsidRPr="00B90781">
        <w:rPr>
          <w:rFonts w:ascii="Times New Roman" w:hAnsi="Times New Roman" w:cs="Times New Roman"/>
          <w:sz w:val="24"/>
          <w:szCs w:val="24"/>
        </w:rPr>
        <w:t>, v. 56, p. 529-549, 2022. Disponível em: https://www.scielo.br/j/rap/a/3RtddtZrVhV7dFQsR5s3rch/?format=html&amp;lang=pt. Acesso em: 20 fev. 2026.</w:t>
      </w:r>
    </w:p>
    <w:p w14:paraId="3222A144" w14:textId="77777777" w:rsidR="00D6670D" w:rsidRPr="00B90781" w:rsidRDefault="00D6670D" w:rsidP="00B90781">
      <w:pPr>
        <w:spacing w:after="0" w:line="240" w:lineRule="auto"/>
        <w:rPr>
          <w:rFonts w:ascii="Times New Roman" w:hAnsi="Times New Roman" w:cs="Times New Roman"/>
          <w:sz w:val="24"/>
          <w:szCs w:val="24"/>
        </w:rPr>
      </w:pPr>
    </w:p>
    <w:p w14:paraId="723C2229" w14:textId="5C923032" w:rsidR="0007651E" w:rsidRPr="00B90781" w:rsidRDefault="0007651E" w:rsidP="00B90781">
      <w:pPr>
        <w:spacing w:after="0" w:line="240" w:lineRule="auto"/>
        <w:rPr>
          <w:rFonts w:ascii="Times New Roman" w:hAnsi="Times New Roman" w:cs="Times New Roman"/>
          <w:sz w:val="24"/>
          <w:szCs w:val="24"/>
          <w:lang w:val="en-US"/>
        </w:rPr>
      </w:pPr>
      <w:r w:rsidRPr="00B90781">
        <w:rPr>
          <w:rFonts w:ascii="Times New Roman" w:hAnsi="Times New Roman" w:cs="Times New Roman"/>
          <w:sz w:val="24"/>
          <w:szCs w:val="24"/>
        </w:rPr>
        <w:t xml:space="preserve">SEIXAS, Luiz F. M.; SACCARO JUNIOR, Nilo L. </w:t>
      </w:r>
      <w:r w:rsidRPr="00B90781">
        <w:rPr>
          <w:rFonts w:ascii="Times New Roman" w:hAnsi="Times New Roman" w:cs="Times New Roman"/>
          <w:b/>
          <w:bCs/>
          <w:sz w:val="24"/>
          <w:szCs w:val="24"/>
        </w:rPr>
        <w:t>Quem faz Análise de Impacto Regulatório no Brasil?</w:t>
      </w:r>
      <w:r w:rsidRPr="00B90781">
        <w:rPr>
          <w:rFonts w:ascii="Times New Roman" w:hAnsi="Times New Roman" w:cs="Times New Roman"/>
          <w:sz w:val="24"/>
          <w:szCs w:val="24"/>
        </w:rPr>
        <w:t xml:space="preserve"> Uma avaliação da experiência federal. Brasília: Ipea, 2024. Disponível em: https://repositorio.ipea.gov.br/bitstreams/85b0484f-c2d0-45a5-be96-93311737445d/download. </w:t>
      </w:r>
      <w:proofErr w:type="spellStart"/>
      <w:r w:rsidRPr="00B90781">
        <w:rPr>
          <w:rFonts w:ascii="Times New Roman" w:hAnsi="Times New Roman" w:cs="Times New Roman"/>
          <w:sz w:val="24"/>
          <w:szCs w:val="24"/>
          <w:lang w:val="en-US"/>
        </w:rPr>
        <w:t>Acesso</w:t>
      </w:r>
      <w:proofErr w:type="spellEnd"/>
      <w:r w:rsidRPr="00B90781">
        <w:rPr>
          <w:rFonts w:ascii="Times New Roman" w:hAnsi="Times New Roman" w:cs="Times New Roman"/>
          <w:sz w:val="24"/>
          <w:szCs w:val="24"/>
          <w:lang w:val="en-US"/>
        </w:rPr>
        <w:t xml:space="preserve"> </w:t>
      </w:r>
      <w:proofErr w:type="spellStart"/>
      <w:r w:rsidRPr="00B90781">
        <w:rPr>
          <w:rFonts w:ascii="Times New Roman" w:hAnsi="Times New Roman" w:cs="Times New Roman"/>
          <w:sz w:val="24"/>
          <w:szCs w:val="24"/>
          <w:lang w:val="en-US"/>
        </w:rPr>
        <w:t>em</w:t>
      </w:r>
      <w:proofErr w:type="spellEnd"/>
      <w:r w:rsidRPr="00B90781">
        <w:rPr>
          <w:rFonts w:ascii="Times New Roman" w:hAnsi="Times New Roman" w:cs="Times New Roman"/>
          <w:sz w:val="24"/>
          <w:szCs w:val="24"/>
          <w:lang w:val="en-US"/>
        </w:rPr>
        <w:t xml:space="preserve">: 10 </w:t>
      </w:r>
      <w:proofErr w:type="spellStart"/>
      <w:r w:rsidRPr="00B90781">
        <w:rPr>
          <w:rFonts w:ascii="Times New Roman" w:hAnsi="Times New Roman" w:cs="Times New Roman"/>
          <w:sz w:val="24"/>
          <w:szCs w:val="24"/>
          <w:lang w:val="en-US"/>
        </w:rPr>
        <w:t>fev</w:t>
      </w:r>
      <w:proofErr w:type="spellEnd"/>
      <w:r w:rsidRPr="00B90781">
        <w:rPr>
          <w:rFonts w:ascii="Times New Roman" w:hAnsi="Times New Roman" w:cs="Times New Roman"/>
          <w:sz w:val="24"/>
          <w:szCs w:val="24"/>
          <w:lang w:val="en-US"/>
        </w:rPr>
        <w:t>. 2026.</w:t>
      </w:r>
    </w:p>
    <w:p w14:paraId="608BB63D" w14:textId="77777777" w:rsidR="008A2425" w:rsidRPr="00B90781" w:rsidRDefault="008A2425" w:rsidP="00B90781">
      <w:pPr>
        <w:spacing w:after="0" w:line="240" w:lineRule="auto"/>
        <w:rPr>
          <w:rFonts w:ascii="Times New Roman" w:hAnsi="Times New Roman" w:cs="Times New Roman"/>
          <w:sz w:val="24"/>
          <w:szCs w:val="24"/>
          <w:lang w:val="en-US"/>
        </w:rPr>
      </w:pPr>
    </w:p>
    <w:p w14:paraId="102043C7" w14:textId="11E27521" w:rsidR="00373607" w:rsidRPr="00B90781" w:rsidRDefault="0007651E" w:rsidP="00B90781">
      <w:pPr>
        <w:spacing w:after="0" w:line="240" w:lineRule="auto"/>
        <w:rPr>
          <w:rFonts w:ascii="Times New Roman" w:hAnsi="Times New Roman" w:cs="Times New Roman"/>
          <w:sz w:val="24"/>
          <w:szCs w:val="24"/>
        </w:rPr>
      </w:pPr>
      <w:r w:rsidRPr="00B90781">
        <w:rPr>
          <w:rFonts w:ascii="Times New Roman" w:hAnsi="Times New Roman" w:cs="Times New Roman"/>
          <w:sz w:val="24"/>
          <w:szCs w:val="24"/>
          <w:lang w:val="en-US"/>
        </w:rPr>
        <w:t xml:space="preserve">WORLD BANK. </w:t>
      </w:r>
      <w:r w:rsidRPr="00B90781">
        <w:rPr>
          <w:rFonts w:ascii="Times New Roman" w:hAnsi="Times New Roman" w:cs="Times New Roman"/>
          <w:b/>
          <w:bCs/>
          <w:i/>
          <w:iCs/>
          <w:sz w:val="24"/>
          <w:szCs w:val="24"/>
          <w:lang w:val="en-US"/>
        </w:rPr>
        <w:t>Regulatory Impact Analysis:</w:t>
      </w:r>
      <w:r w:rsidRPr="00B90781">
        <w:rPr>
          <w:rFonts w:ascii="Times New Roman" w:hAnsi="Times New Roman" w:cs="Times New Roman"/>
          <w:sz w:val="24"/>
          <w:szCs w:val="24"/>
          <w:lang w:val="en-US"/>
        </w:rPr>
        <w:t xml:space="preserve"> </w:t>
      </w:r>
      <w:r w:rsidRPr="00B90781">
        <w:rPr>
          <w:rFonts w:ascii="Times New Roman" w:hAnsi="Times New Roman" w:cs="Times New Roman"/>
          <w:i/>
          <w:iCs/>
          <w:sz w:val="24"/>
          <w:szCs w:val="24"/>
          <w:lang w:val="en-US"/>
        </w:rPr>
        <w:t>A Tool for Policy Coherence.</w:t>
      </w:r>
      <w:r w:rsidRPr="00B90781">
        <w:rPr>
          <w:rFonts w:ascii="Times New Roman" w:hAnsi="Times New Roman" w:cs="Times New Roman"/>
          <w:sz w:val="24"/>
          <w:szCs w:val="24"/>
          <w:lang w:val="en-US"/>
        </w:rPr>
        <w:t xml:space="preserve"> </w:t>
      </w:r>
      <w:r w:rsidRPr="00B90781">
        <w:rPr>
          <w:rFonts w:ascii="Times New Roman" w:hAnsi="Times New Roman" w:cs="Times New Roman"/>
          <w:sz w:val="24"/>
          <w:szCs w:val="24"/>
        </w:rPr>
        <w:t>Washington, DC: World Bank, 2015.</w:t>
      </w:r>
      <w:r w:rsidR="00C52DCB" w:rsidRPr="00B90781">
        <w:rPr>
          <w:rFonts w:ascii="Times New Roman" w:hAnsi="Times New Roman" w:cs="Times New Roman"/>
          <w:sz w:val="24"/>
          <w:szCs w:val="24"/>
        </w:rPr>
        <w:t xml:space="preserve"> Disponível em: https://www.oecd.org/content/dam/oecd/en/publications/reports/2009/09/regulatory-impact-analysis_g1ghb202/9789264067110-en.pdf. Acesso em: 23 set. 2025.</w:t>
      </w:r>
    </w:p>
    <w:sectPr w:rsidR="00373607" w:rsidRPr="00B90781" w:rsidSect="007C7A4A">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640"/>
    <w:multiLevelType w:val="multilevel"/>
    <w:tmpl w:val="110C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910B3"/>
    <w:multiLevelType w:val="multilevel"/>
    <w:tmpl w:val="9356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F3841"/>
    <w:multiLevelType w:val="multilevel"/>
    <w:tmpl w:val="CA0E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13ED2"/>
    <w:multiLevelType w:val="multilevel"/>
    <w:tmpl w:val="6A74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D94381"/>
    <w:multiLevelType w:val="multilevel"/>
    <w:tmpl w:val="D4B8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9527D"/>
    <w:multiLevelType w:val="multilevel"/>
    <w:tmpl w:val="B830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D745F"/>
    <w:multiLevelType w:val="multilevel"/>
    <w:tmpl w:val="7B96A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434900"/>
    <w:multiLevelType w:val="multilevel"/>
    <w:tmpl w:val="77F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E411B"/>
    <w:multiLevelType w:val="multilevel"/>
    <w:tmpl w:val="E49C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537EF"/>
    <w:multiLevelType w:val="multilevel"/>
    <w:tmpl w:val="0950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0D09E7"/>
    <w:multiLevelType w:val="multilevel"/>
    <w:tmpl w:val="133E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8037D"/>
    <w:multiLevelType w:val="multilevel"/>
    <w:tmpl w:val="FC7E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C711C1"/>
    <w:multiLevelType w:val="multilevel"/>
    <w:tmpl w:val="9A2E4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213992"/>
    <w:multiLevelType w:val="multilevel"/>
    <w:tmpl w:val="A4C4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B15A22"/>
    <w:multiLevelType w:val="multilevel"/>
    <w:tmpl w:val="02B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B479FC"/>
    <w:multiLevelType w:val="multilevel"/>
    <w:tmpl w:val="257C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64184C"/>
    <w:multiLevelType w:val="multilevel"/>
    <w:tmpl w:val="929A8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70031A"/>
    <w:multiLevelType w:val="multilevel"/>
    <w:tmpl w:val="3230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1779EC"/>
    <w:multiLevelType w:val="multilevel"/>
    <w:tmpl w:val="6C88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293C1E"/>
    <w:multiLevelType w:val="multilevel"/>
    <w:tmpl w:val="1D92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8E79A0"/>
    <w:multiLevelType w:val="multilevel"/>
    <w:tmpl w:val="93A4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EE0A97"/>
    <w:multiLevelType w:val="multilevel"/>
    <w:tmpl w:val="DCD8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5D1D3B"/>
    <w:multiLevelType w:val="multilevel"/>
    <w:tmpl w:val="23F0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0479BF"/>
    <w:multiLevelType w:val="multilevel"/>
    <w:tmpl w:val="AC1E7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E362A3"/>
    <w:multiLevelType w:val="multilevel"/>
    <w:tmpl w:val="9220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C13BE8"/>
    <w:multiLevelType w:val="multilevel"/>
    <w:tmpl w:val="035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5E63FC"/>
    <w:multiLevelType w:val="multilevel"/>
    <w:tmpl w:val="2052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991ED1"/>
    <w:multiLevelType w:val="multilevel"/>
    <w:tmpl w:val="E7B0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867E7E"/>
    <w:multiLevelType w:val="multilevel"/>
    <w:tmpl w:val="12CEE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860538">
    <w:abstractNumId w:val="18"/>
  </w:num>
  <w:num w:numId="2" w16cid:durableId="1235432771">
    <w:abstractNumId w:val="26"/>
  </w:num>
  <w:num w:numId="3" w16cid:durableId="608002808">
    <w:abstractNumId w:val="28"/>
  </w:num>
  <w:num w:numId="4" w16cid:durableId="2019042446">
    <w:abstractNumId w:val="2"/>
  </w:num>
  <w:num w:numId="5" w16cid:durableId="330715302">
    <w:abstractNumId w:val="17"/>
  </w:num>
  <w:num w:numId="6" w16cid:durableId="2130852121">
    <w:abstractNumId w:val="13"/>
  </w:num>
  <w:num w:numId="7" w16cid:durableId="306663263">
    <w:abstractNumId w:val="4"/>
  </w:num>
  <w:num w:numId="8" w16cid:durableId="1411662320">
    <w:abstractNumId w:val="10"/>
  </w:num>
  <w:num w:numId="9" w16cid:durableId="1333988689">
    <w:abstractNumId w:val="23"/>
  </w:num>
  <w:num w:numId="10" w16cid:durableId="166215095">
    <w:abstractNumId w:val="27"/>
  </w:num>
  <w:num w:numId="11" w16cid:durableId="593974390">
    <w:abstractNumId w:val="15"/>
  </w:num>
  <w:num w:numId="12" w16cid:durableId="1834684272">
    <w:abstractNumId w:val="3"/>
  </w:num>
  <w:num w:numId="13" w16cid:durableId="1145976138">
    <w:abstractNumId w:val="22"/>
  </w:num>
  <w:num w:numId="14" w16cid:durableId="1434665637">
    <w:abstractNumId w:val="6"/>
  </w:num>
  <w:num w:numId="15" w16cid:durableId="495338596">
    <w:abstractNumId w:val="20"/>
  </w:num>
  <w:num w:numId="16" w16cid:durableId="391735960">
    <w:abstractNumId w:val="25"/>
  </w:num>
  <w:num w:numId="17" w16cid:durableId="1404060980">
    <w:abstractNumId w:val="7"/>
  </w:num>
  <w:num w:numId="18" w16cid:durableId="1286614634">
    <w:abstractNumId w:val="19"/>
  </w:num>
  <w:num w:numId="19" w16cid:durableId="1429154417">
    <w:abstractNumId w:val="16"/>
  </w:num>
  <w:num w:numId="20" w16cid:durableId="1546722251">
    <w:abstractNumId w:val="24"/>
  </w:num>
  <w:num w:numId="21" w16cid:durableId="1336954746">
    <w:abstractNumId w:val="21"/>
  </w:num>
  <w:num w:numId="22" w16cid:durableId="600188200">
    <w:abstractNumId w:val="1"/>
  </w:num>
  <w:num w:numId="23" w16cid:durableId="1943876090">
    <w:abstractNumId w:val="12"/>
  </w:num>
  <w:num w:numId="24" w16cid:durableId="1475833316">
    <w:abstractNumId w:val="14"/>
  </w:num>
  <w:num w:numId="25" w16cid:durableId="436754792">
    <w:abstractNumId w:val="5"/>
  </w:num>
  <w:num w:numId="26" w16cid:durableId="1601907114">
    <w:abstractNumId w:val="9"/>
  </w:num>
  <w:num w:numId="27" w16cid:durableId="2121879073">
    <w:abstractNumId w:val="8"/>
  </w:num>
  <w:num w:numId="28" w16cid:durableId="2130082420">
    <w:abstractNumId w:val="0"/>
  </w:num>
  <w:num w:numId="29" w16cid:durableId="15804036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A4A"/>
    <w:rsid w:val="000070D3"/>
    <w:rsid w:val="000141F7"/>
    <w:rsid w:val="000162AB"/>
    <w:rsid w:val="00020CD5"/>
    <w:rsid w:val="00027347"/>
    <w:rsid w:val="00032876"/>
    <w:rsid w:val="000453C4"/>
    <w:rsid w:val="00053659"/>
    <w:rsid w:val="0006309A"/>
    <w:rsid w:val="0007651E"/>
    <w:rsid w:val="00077B7D"/>
    <w:rsid w:val="00083E2F"/>
    <w:rsid w:val="00084DD5"/>
    <w:rsid w:val="00094966"/>
    <w:rsid w:val="00095CFC"/>
    <w:rsid w:val="0009678F"/>
    <w:rsid w:val="000A3833"/>
    <w:rsid w:val="000B7B2D"/>
    <w:rsid w:val="000C4BA0"/>
    <w:rsid w:val="000D4AC1"/>
    <w:rsid w:val="000E78A3"/>
    <w:rsid w:val="000F389E"/>
    <w:rsid w:val="00103F16"/>
    <w:rsid w:val="00105A1A"/>
    <w:rsid w:val="00105E66"/>
    <w:rsid w:val="0011391C"/>
    <w:rsid w:val="001379B9"/>
    <w:rsid w:val="0014241F"/>
    <w:rsid w:val="00183DF4"/>
    <w:rsid w:val="00192453"/>
    <w:rsid w:val="001B76DA"/>
    <w:rsid w:val="001C51CD"/>
    <w:rsid w:val="001D1858"/>
    <w:rsid w:val="001D4491"/>
    <w:rsid w:val="001E15C5"/>
    <w:rsid w:val="00201CFB"/>
    <w:rsid w:val="002060D3"/>
    <w:rsid w:val="00225202"/>
    <w:rsid w:val="00251370"/>
    <w:rsid w:val="00261809"/>
    <w:rsid w:val="00266F88"/>
    <w:rsid w:val="00276571"/>
    <w:rsid w:val="00284570"/>
    <w:rsid w:val="002B2D2C"/>
    <w:rsid w:val="002B4A15"/>
    <w:rsid w:val="002C1078"/>
    <w:rsid w:val="002C2CAC"/>
    <w:rsid w:val="002C401C"/>
    <w:rsid w:val="002C7124"/>
    <w:rsid w:val="002D279B"/>
    <w:rsid w:val="002D2828"/>
    <w:rsid w:val="002D2E8F"/>
    <w:rsid w:val="002F2E22"/>
    <w:rsid w:val="00306D4D"/>
    <w:rsid w:val="003424D8"/>
    <w:rsid w:val="0035422B"/>
    <w:rsid w:val="003625A0"/>
    <w:rsid w:val="00365C70"/>
    <w:rsid w:val="003733DF"/>
    <w:rsid w:val="00373607"/>
    <w:rsid w:val="003816EB"/>
    <w:rsid w:val="003A2E5E"/>
    <w:rsid w:val="003B384F"/>
    <w:rsid w:val="003C0D67"/>
    <w:rsid w:val="003C105E"/>
    <w:rsid w:val="003C4254"/>
    <w:rsid w:val="003F5EE0"/>
    <w:rsid w:val="00412C32"/>
    <w:rsid w:val="00414977"/>
    <w:rsid w:val="00431C68"/>
    <w:rsid w:val="00434CE9"/>
    <w:rsid w:val="00434E70"/>
    <w:rsid w:val="00440D64"/>
    <w:rsid w:val="004462B3"/>
    <w:rsid w:val="00455AE5"/>
    <w:rsid w:val="00472550"/>
    <w:rsid w:val="004742A4"/>
    <w:rsid w:val="004865FB"/>
    <w:rsid w:val="004A736D"/>
    <w:rsid w:val="004B4C19"/>
    <w:rsid w:val="004B676B"/>
    <w:rsid w:val="00500A4F"/>
    <w:rsid w:val="00521F10"/>
    <w:rsid w:val="00525C0D"/>
    <w:rsid w:val="00547601"/>
    <w:rsid w:val="00560649"/>
    <w:rsid w:val="00570C3C"/>
    <w:rsid w:val="00580656"/>
    <w:rsid w:val="00581549"/>
    <w:rsid w:val="00592D4E"/>
    <w:rsid w:val="00593A27"/>
    <w:rsid w:val="00594BD8"/>
    <w:rsid w:val="005B2A35"/>
    <w:rsid w:val="005C4AEF"/>
    <w:rsid w:val="00605451"/>
    <w:rsid w:val="006510AB"/>
    <w:rsid w:val="00680C30"/>
    <w:rsid w:val="00687FEA"/>
    <w:rsid w:val="006900E5"/>
    <w:rsid w:val="006909C6"/>
    <w:rsid w:val="006A3CEA"/>
    <w:rsid w:val="006B49A2"/>
    <w:rsid w:val="006C1844"/>
    <w:rsid w:val="006C59E2"/>
    <w:rsid w:val="006E4AF6"/>
    <w:rsid w:val="006E4B6C"/>
    <w:rsid w:val="007162A9"/>
    <w:rsid w:val="007214A3"/>
    <w:rsid w:val="00725876"/>
    <w:rsid w:val="00731743"/>
    <w:rsid w:val="00732404"/>
    <w:rsid w:val="0073426B"/>
    <w:rsid w:val="007454EE"/>
    <w:rsid w:val="00756710"/>
    <w:rsid w:val="00781037"/>
    <w:rsid w:val="007810BA"/>
    <w:rsid w:val="007954B6"/>
    <w:rsid w:val="007B2E72"/>
    <w:rsid w:val="007C09C8"/>
    <w:rsid w:val="007C7A4A"/>
    <w:rsid w:val="007E57F7"/>
    <w:rsid w:val="007E5ABA"/>
    <w:rsid w:val="007F261C"/>
    <w:rsid w:val="00802FCA"/>
    <w:rsid w:val="00814699"/>
    <w:rsid w:val="008226B1"/>
    <w:rsid w:val="008245EC"/>
    <w:rsid w:val="0082509C"/>
    <w:rsid w:val="008439F0"/>
    <w:rsid w:val="00852C6C"/>
    <w:rsid w:val="00864F18"/>
    <w:rsid w:val="0088412A"/>
    <w:rsid w:val="008A2425"/>
    <w:rsid w:val="008D3F90"/>
    <w:rsid w:val="008E03CB"/>
    <w:rsid w:val="008E1F35"/>
    <w:rsid w:val="0090314A"/>
    <w:rsid w:val="00910822"/>
    <w:rsid w:val="009119B3"/>
    <w:rsid w:val="00947BC0"/>
    <w:rsid w:val="00963D35"/>
    <w:rsid w:val="009B2D4F"/>
    <w:rsid w:val="009B3D6F"/>
    <w:rsid w:val="009B736C"/>
    <w:rsid w:val="009D0191"/>
    <w:rsid w:val="009E1058"/>
    <w:rsid w:val="00A029B8"/>
    <w:rsid w:val="00A40904"/>
    <w:rsid w:val="00A425E3"/>
    <w:rsid w:val="00A63D8D"/>
    <w:rsid w:val="00A66289"/>
    <w:rsid w:val="00A76B4F"/>
    <w:rsid w:val="00A76F53"/>
    <w:rsid w:val="00A77F2A"/>
    <w:rsid w:val="00A844E5"/>
    <w:rsid w:val="00AB1543"/>
    <w:rsid w:val="00AB21B4"/>
    <w:rsid w:val="00AD45D7"/>
    <w:rsid w:val="00AE5D46"/>
    <w:rsid w:val="00AE5D4B"/>
    <w:rsid w:val="00AF4976"/>
    <w:rsid w:val="00AF6894"/>
    <w:rsid w:val="00B2658A"/>
    <w:rsid w:val="00B4073A"/>
    <w:rsid w:val="00B554C2"/>
    <w:rsid w:val="00B612F8"/>
    <w:rsid w:val="00B614BD"/>
    <w:rsid w:val="00B642AF"/>
    <w:rsid w:val="00B8271E"/>
    <w:rsid w:val="00B87F92"/>
    <w:rsid w:val="00B90781"/>
    <w:rsid w:val="00BB65CF"/>
    <w:rsid w:val="00BC3BBB"/>
    <w:rsid w:val="00BE23F3"/>
    <w:rsid w:val="00BF104C"/>
    <w:rsid w:val="00C03593"/>
    <w:rsid w:val="00C12F8A"/>
    <w:rsid w:val="00C261CD"/>
    <w:rsid w:val="00C3160A"/>
    <w:rsid w:val="00C33B31"/>
    <w:rsid w:val="00C34FFC"/>
    <w:rsid w:val="00C35750"/>
    <w:rsid w:val="00C51C15"/>
    <w:rsid w:val="00C52DCB"/>
    <w:rsid w:val="00C605F4"/>
    <w:rsid w:val="00C65D7B"/>
    <w:rsid w:val="00C71B36"/>
    <w:rsid w:val="00C75C88"/>
    <w:rsid w:val="00C87342"/>
    <w:rsid w:val="00C90E3E"/>
    <w:rsid w:val="00C974D3"/>
    <w:rsid w:val="00CB4EAD"/>
    <w:rsid w:val="00CC1288"/>
    <w:rsid w:val="00CC1AF7"/>
    <w:rsid w:val="00CC4C24"/>
    <w:rsid w:val="00CC58E9"/>
    <w:rsid w:val="00CD2946"/>
    <w:rsid w:val="00CF4470"/>
    <w:rsid w:val="00D009E5"/>
    <w:rsid w:val="00D0730A"/>
    <w:rsid w:val="00D079DB"/>
    <w:rsid w:val="00D21169"/>
    <w:rsid w:val="00D2683D"/>
    <w:rsid w:val="00D43194"/>
    <w:rsid w:val="00D5567F"/>
    <w:rsid w:val="00D56362"/>
    <w:rsid w:val="00D639C2"/>
    <w:rsid w:val="00D6670D"/>
    <w:rsid w:val="00D724A3"/>
    <w:rsid w:val="00D7730D"/>
    <w:rsid w:val="00D90D54"/>
    <w:rsid w:val="00D91628"/>
    <w:rsid w:val="00D96B8D"/>
    <w:rsid w:val="00DA30DA"/>
    <w:rsid w:val="00DA3EA9"/>
    <w:rsid w:val="00DA45DA"/>
    <w:rsid w:val="00DE0FF0"/>
    <w:rsid w:val="00DE2AC6"/>
    <w:rsid w:val="00DF2A7B"/>
    <w:rsid w:val="00DF4A52"/>
    <w:rsid w:val="00E008B4"/>
    <w:rsid w:val="00E04F8C"/>
    <w:rsid w:val="00E14E72"/>
    <w:rsid w:val="00E208D5"/>
    <w:rsid w:val="00E22FAF"/>
    <w:rsid w:val="00E72827"/>
    <w:rsid w:val="00E744BB"/>
    <w:rsid w:val="00EA1EBC"/>
    <w:rsid w:val="00EB014C"/>
    <w:rsid w:val="00EE5671"/>
    <w:rsid w:val="00EF03BE"/>
    <w:rsid w:val="00EF0899"/>
    <w:rsid w:val="00F0160B"/>
    <w:rsid w:val="00F031B6"/>
    <w:rsid w:val="00F209CD"/>
    <w:rsid w:val="00F4600B"/>
    <w:rsid w:val="00F46949"/>
    <w:rsid w:val="00F50ADE"/>
    <w:rsid w:val="00F57A22"/>
    <w:rsid w:val="00F730B9"/>
    <w:rsid w:val="00F75566"/>
    <w:rsid w:val="00F7556A"/>
    <w:rsid w:val="00F758E9"/>
    <w:rsid w:val="00F8633A"/>
    <w:rsid w:val="00F918C6"/>
    <w:rsid w:val="00FA20E5"/>
    <w:rsid w:val="00FA593F"/>
    <w:rsid w:val="00FB7C6E"/>
    <w:rsid w:val="00FC60C1"/>
    <w:rsid w:val="00FD03BF"/>
    <w:rsid w:val="00FD2FCB"/>
    <w:rsid w:val="00FD4337"/>
    <w:rsid w:val="00FD6054"/>
    <w:rsid w:val="00FE6048"/>
    <w:rsid w:val="01167038"/>
    <w:rsid w:val="024899EC"/>
    <w:rsid w:val="052296C4"/>
    <w:rsid w:val="062BBC82"/>
    <w:rsid w:val="067D6FB4"/>
    <w:rsid w:val="071C6421"/>
    <w:rsid w:val="0DEA4D5D"/>
    <w:rsid w:val="10928A06"/>
    <w:rsid w:val="12830826"/>
    <w:rsid w:val="142E75DD"/>
    <w:rsid w:val="14B59235"/>
    <w:rsid w:val="14FE7ED5"/>
    <w:rsid w:val="16DAB61C"/>
    <w:rsid w:val="1751F3D4"/>
    <w:rsid w:val="19A1D1BB"/>
    <w:rsid w:val="19E2C8AB"/>
    <w:rsid w:val="1D050DB3"/>
    <w:rsid w:val="1D49BEA8"/>
    <w:rsid w:val="1E9E1952"/>
    <w:rsid w:val="2476161C"/>
    <w:rsid w:val="249BA9F7"/>
    <w:rsid w:val="25E2837B"/>
    <w:rsid w:val="29F8F61F"/>
    <w:rsid w:val="2D02BCC0"/>
    <w:rsid w:val="2F05FD79"/>
    <w:rsid w:val="30A4C3B9"/>
    <w:rsid w:val="33934744"/>
    <w:rsid w:val="348A0C4D"/>
    <w:rsid w:val="35995D23"/>
    <w:rsid w:val="369C134F"/>
    <w:rsid w:val="38145DD9"/>
    <w:rsid w:val="383B68BE"/>
    <w:rsid w:val="3A32091F"/>
    <w:rsid w:val="3B3EF743"/>
    <w:rsid w:val="3BF44D0D"/>
    <w:rsid w:val="3E49B098"/>
    <w:rsid w:val="419C5FE7"/>
    <w:rsid w:val="422790D3"/>
    <w:rsid w:val="45350A6E"/>
    <w:rsid w:val="45BB3E3C"/>
    <w:rsid w:val="4869CA5E"/>
    <w:rsid w:val="4B068487"/>
    <w:rsid w:val="4F411DB7"/>
    <w:rsid w:val="560685A6"/>
    <w:rsid w:val="564DDB0A"/>
    <w:rsid w:val="589D9618"/>
    <w:rsid w:val="59B369CD"/>
    <w:rsid w:val="5C0E1EEF"/>
    <w:rsid w:val="5C565B6A"/>
    <w:rsid w:val="5CD5A96B"/>
    <w:rsid w:val="5D0D9275"/>
    <w:rsid w:val="5D8FBDFC"/>
    <w:rsid w:val="61D87211"/>
    <w:rsid w:val="67D133F8"/>
    <w:rsid w:val="68341DEE"/>
    <w:rsid w:val="6AA016E7"/>
    <w:rsid w:val="6AC9E1C9"/>
    <w:rsid w:val="6B077301"/>
    <w:rsid w:val="6C2E2A4E"/>
    <w:rsid w:val="6C7C3E2D"/>
    <w:rsid w:val="6D064044"/>
    <w:rsid w:val="6DA39D7A"/>
    <w:rsid w:val="6FA8ADA2"/>
    <w:rsid w:val="7006F886"/>
    <w:rsid w:val="711DF2E9"/>
    <w:rsid w:val="76EEE330"/>
    <w:rsid w:val="772866C6"/>
    <w:rsid w:val="786C11DD"/>
    <w:rsid w:val="7D833D1C"/>
    <w:rsid w:val="7E008901"/>
    <w:rsid w:val="7EBEF13F"/>
    <w:rsid w:val="7F5860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783AC"/>
  <w15:chartTrackingRefBased/>
  <w15:docId w15:val="{1F80C02C-678B-490E-B1C3-043EE215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C7A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7C7A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7C7A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7A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7A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7A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7A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7A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7A4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C7A4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7C7A4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7C7A4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C7A4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C7A4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C7A4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C7A4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C7A4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C7A4A"/>
    <w:rPr>
      <w:rFonts w:eastAsiaTheme="majorEastAsia" w:cstheme="majorBidi"/>
      <w:color w:val="272727" w:themeColor="text1" w:themeTint="D8"/>
    </w:rPr>
  </w:style>
  <w:style w:type="paragraph" w:styleId="Ttulo">
    <w:name w:val="Title"/>
    <w:basedOn w:val="Normal"/>
    <w:next w:val="Normal"/>
    <w:link w:val="TtuloChar"/>
    <w:uiPriority w:val="10"/>
    <w:qFormat/>
    <w:rsid w:val="007C7A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C7A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C7A4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C7A4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7A4A"/>
    <w:pPr>
      <w:spacing w:before="160"/>
      <w:jc w:val="center"/>
    </w:pPr>
    <w:rPr>
      <w:i/>
      <w:iCs/>
      <w:color w:val="404040" w:themeColor="text1" w:themeTint="BF"/>
    </w:rPr>
  </w:style>
  <w:style w:type="character" w:customStyle="1" w:styleId="CitaoChar">
    <w:name w:val="Citação Char"/>
    <w:basedOn w:val="Fontepargpadro"/>
    <w:link w:val="Citao"/>
    <w:uiPriority w:val="29"/>
    <w:rsid w:val="007C7A4A"/>
    <w:rPr>
      <w:i/>
      <w:iCs/>
      <w:color w:val="404040" w:themeColor="text1" w:themeTint="BF"/>
    </w:rPr>
  </w:style>
  <w:style w:type="paragraph" w:styleId="PargrafodaLista">
    <w:name w:val="List Paragraph"/>
    <w:basedOn w:val="Normal"/>
    <w:uiPriority w:val="34"/>
    <w:qFormat/>
    <w:rsid w:val="007C7A4A"/>
    <w:pPr>
      <w:ind w:left="720"/>
      <w:contextualSpacing/>
    </w:pPr>
  </w:style>
  <w:style w:type="character" w:styleId="nfaseIntensa">
    <w:name w:val="Intense Emphasis"/>
    <w:basedOn w:val="Fontepargpadro"/>
    <w:uiPriority w:val="21"/>
    <w:qFormat/>
    <w:rsid w:val="007C7A4A"/>
    <w:rPr>
      <w:i/>
      <w:iCs/>
      <w:color w:val="0F4761" w:themeColor="accent1" w:themeShade="BF"/>
    </w:rPr>
  </w:style>
  <w:style w:type="paragraph" w:styleId="CitaoIntensa">
    <w:name w:val="Intense Quote"/>
    <w:basedOn w:val="Normal"/>
    <w:next w:val="Normal"/>
    <w:link w:val="CitaoIntensaChar"/>
    <w:uiPriority w:val="30"/>
    <w:qFormat/>
    <w:rsid w:val="007C7A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C7A4A"/>
    <w:rPr>
      <w:i/>
      <w:iCs/>
      <w:color w:val="0F4761" w:themeColor="accent1" w:themeShade="BF"/>
    </w:rPr>
  </w:style>
  <w:style w:type="character" w:styleId="RefernciaIntensa">
    <w:name w:val="Intense Reference"/>
    <w:basedOn w:val="Fontepargpadro"/>
    <w:uiPriority w:val="32"/>
    <w:qFormat/>
    <w:rsid w:val="007C7A4A"/>
    <w:rPr>
      <w:b/>
      <w:bCs/>
      <w:smallCaps/>
      <w:color w:val="0F4761" w:themeColor="accent1" w:themeShade="BF"/>
      <w:spacing w:val="5"/>
    </w:rPr>
  </w:style>
  <w:style w:type="table" w:styleId="TabeladeGrade6Colorida-nfase4">
    <w:name w:val="Grid Table 6 Colorful Accent 4"/>
    <w:basedOn w:val="Tabelanormal"/>
    <w:uiPriority w:val="51"/>
    <w:rsid w:val="007C7A4A"/>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yperlink">
    <w:name w:val="Hyperlink"/>
    <w:basedOn w:val="Fontepargpadro"/>
    <w:uiPriority w:val="99"/>
    <w:unhideWhenUsed/>
    <w:rsid w:val="0007651E"/>
    <w:rPr>
      <w:color w:val="467886" w:themeColor="hyperlink"/>
      <w:u w:val="single"/>
    </w:rPr>
  </w:style>
  <w:style w:type="character" w:styleId="MenoPendente">
    <w:name w:val="Unresolved Mention"/>
    <w:basedOn w:val="Fontepargpadro"/>
    <w:uiPriority w:val="99"/>
    <w:semiHidden/>
    <w:unhideWhenUsed/>
    <w:rsid w:val="0007651E"/>
    <w:rPr>
      <w:color w:val="605E5C"/>
      <w:shd w:val="clear" w:color="auto" w:fill="E1DFDD"/>
    </w:rPr>
  </w:style>
  <w:style w:type="paragraph" w:styleId="NormalWeb">
    <w:name w:val="Normal (Web)"/>
    <w:basedOn w:val="Normal"/>
    <w:uiPriority w:val="99"/>
    <w:semiHidden/>
    <w:unhideWhenUsed/>
    <w:rsid w:val="00FD03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6969E-6422-475E-B90A-B6B951C6C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29</Pages>
  <Words>11656</Words>
  <Characters>62945</Characters>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2026-02-21T20:42:00Z</cp:lastPrinted>
  <dcterms:created xsi:type="dcterms:W3CDTF">2026-02-21T20:29:00Z</dcterms:created>
  <dcterms:modified xsi:type="dcterms:W3CDTF">2026-02-24T03:16:00Z</dcterms:modified>
</cp:coreProperties>
</file>